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3"/>
        <w:jc w:val="center"/>
        <w:rPr>
          <w:rFonts w:ascii="宋体;SimSun" w:hAnsi="宋体;SimSun" w:cs="仿宋_GB2312" w:hint="eastAsia"/>
          <w:sz w:val="32"/>
          <w:szCs w:val="32"/>
        </w:rPr>
      </w:pPr>
      <w:r>
        <w:rPr>
          <w:rFonts w:cs="仿宋_GB2312" w:hint="eastAsia" w:ascii="宋体;SimSun" w:hAnsi="宋体;SimSun"/>
          <w:sz w:val="32"/>
          <w:szCs w:val="32"/>
        </w:rPr>
      </w:r>
    </w:p>
    <w:p>
      <w:pPr>
        <w:pStyle w:val="Normal"/>
        <w:spacing w:lineRule="exact" w:line="593"/>
        <w:jc w:val="center"/>
        <w:rPr>
          <w:rFonts w:ascii="方正小标宋_GBK" w:hAnsi="方正小标宋_GBK" w:eastAsia="方正小标宋_GBK" w:cs="仿宋_GB2312" w:hint="eastAsia"/>
          <w:sz w:val="44"/>
          <w:szCs w:val="44"/>
        </w:rPr>
      </w:pPr>
      <w:r>
        <w:rPr>
          <w:rFonts w:eastAsia="方正小标宋_GBK" w:cs="仿宋_GB2312" w:hint="eastAsia" w:ascii="方正小标宋_GBK" w:hAnsi="方正小标宋_GBK"/>
          <w:sz w:val="44"/>
          <w:szCs w:val="44"/>
        </w:rPr>
      </w:r>
    </w:p>
    <w:p>
      <w:pPr>
        <w:pStyle w:val="Normal"/>
        <w:spacing w:lineRule="exact" w:line="593"/>
        <w:jc w:val="center"/>
        <w:rPr>
          <w:rFonts w:ascii="宋体;SimSun" w:hAnsi="宋体;SimSun" w:cs="仿宋_GB2312" w:hint="eastAsia"/>
          <w:sz w:val="44"/>
          <w:szCs w:val="44"/>
        </w:rPr>
      </w:pPr>
      <w:r>
        <w:rPr>
          <w:rFonts w:ascii="宋体;SimSun" w:hAnsi="宋体;SimSun" w:cs="仿宋_GB2312" w:hint="eastAsia"/>
          <w:sz w:val="44"/>
          <w:szCs w:val="44"/>
        </w:rPr>
        <w:t>西安市不可移动文物保护条例</w:t>
      </w:r>
    </w:p>
    <w:p>
      <w:pPr>
        <w:pStyle w:val="Normal"/>
        <w:spacing w:lineRule="exact" w:line="593"/>
        <w:jc w:val="center"/>
        <w:rPr>
          <w:rFonts w:ascii="宋体;SimSun" w:hAnsi="宋体;SimSun" w:cs="仿宋_GB2312" w:hint="eastAsia"/>
          <w:sz w:val="32"/>
          <w:szCs w:val="32"/>
        </w:rPr>
      </w:pPr>
      <w:r>
        <w:rPr>
          <w:rFonts w:cs="仿宋_GB2312" w:hint="eastAsia" w:ascii="宋体;SimSun" w:hAnsi="宋体;SimSun"/>
          <w:sz w:val="32"/>
          <w:szCs w:val="32"/>
        </w:rPr>
      </w:r>
    </w:p>
    <w:p>
      <w:pPr>
        <w:pStyle w:val="Normal"/>
        <w:spacing w:lineRule="exact" w:line="593"/>
        <w:ind w:firstLineChars="200" w:startChars="0" w:start="0" w:endChars="0" w:end="0"/>
        <w:rPr>
          <w:rFonts w:eastAsia="楷体_GB2312" w:hint="eastAsia"/>
          <w:sz w:val="32"/>
          <w:szCs w:val="32"/>
        </w:rPr>
      </w:pPr>
      <w:r>
        <w:rPr>
          <w:rFonts w:hint="eastAsia" w:eastAsia="楷体_GB2312"/>
          <w:sz w:val="32"/>
          <w:szCs w:val="32"/>
        </w:rPr>
        <w:t>（</w:t>
      </w:r>
      <w:r>
        <w:rPr>
          <w:rFonts w:eastAsia="楷体_GB2312"/>
          <w:sz w:val="32"/>
          <w:szCs w:val="32"/>
        </w:rPr>
        <w:t>2017</w:t>
      </w:r>
      <w:r>
        <w:rPr>
          <w:rFonts w:hint="eastAsia" w:eastAsia="楷体_GB2312"/>
          <w:sz w:val="32"/>
          <w:szCs w:val="32"/>
        </w:rPr>
        <w:t>年</w:t>
      </w:r>
      <w:r>
        <w:rPr>
          <w:rFonts w:eastAsia="楷体_GB2312"/>
          <w:sz w:val="32"/>
          <w:szCs w:val="32"/>
        </w:rPr>
        <w:t>8</w:t>
      </w:r>
      <w:r>
        <w:rPr>
          <w:rFonts w:hint="eastAsia" w:eastAsia="楷体_GB2312"/>
          <w:sz w:val="32"/>
          <w:szCs w:val="32"/>
        </w:rPr>
        <w:t>月</w:t>
      </w:r>
      <w:r>
        <w:rPr>
          <w:rFonts w:eastAsia="楷体_GB2312"/>
          <w:sz w:val="32"/>
          <w:szCs w:val="32"/>
        </w:rPr>
        <w:t>30</w:t>
      </w:r>
      <w:r>
        <w:rPr>
          <w:rFonts w:hint="eastAsia" w:eastAsia="楷体_GB2312"/>
          <w:sz w:val="32"/>
          <w:szCs w:val="32"/>
        </w:rPr>
        <w:t>日西安市第十六届人民代表大会常务</w:t>
      </w:r>
    </w:p>
    <w:p>
      <w:pPr>
        <w:pStyle w:val="Normal"/>
        <w:spacing w:lineRule="exact" w:line="593"/>
        <w:ind w:firstLineChars="200" w:startChars="0" w:start="0" w:endChars="0" w:end="0"/>
        <w:rPr>
          <w:rFonts w:eastAsia="楷体_GB2312" w:hint="eastAsia"/>
          <w:sz w:val="32"/>
          <w:szCs w:val="32"/>
        </w:rPr>
      </w:pPr>
      <w:r>
        <w:rPr>
          <w:rFonts w:hint="eastAsia" w:eastAsia="楷体_GB2312"/>
          <w:sz w:val="32"/>
          <w:szCs w:val="32"/>
        </w:rPr>
        <w:t xml:space="preserve">委员会第五次会议通过  </w:t>
      </w:r>
      <w:r>
        <w:rPr>
          <w:rFonts w:eastAsia="楷体_GB2312" w:hint="eastAsia"/>
          <w:sz w:val="32"/>
          <w:szCs w:val="32"/>
        </w:rPr>
        <w:t>2017</w:t>
      </w:r>
      <w:r>
        <w:rPr>
          <w:rFonts w:hint="eastAsia" w:eastAsia="楷体_GB2312"/>
          <w:sz w:val="32"/>
          <w:szCs w:val="32"/>
        </w:rPr>
        <w:t>年</w:t>
      </w:r>
      <w:r>
        <w:rPr>
          <w:rFonts w:eastAsia="楷体_GB2312" w:hint="eastAsia"/>
          <w:sz w:val="32"/>
          <w:szCs w:val="32"/>
        </w:rPr>
        <w:t>9</w:t>
      </w:r>
      <w:r>
        <w:rPr>
          <w:rFonts w:hint="eastAsia" w:eastAsia="楷体_GB2312"/>
          <w:sz w:val="32"/>
          <w:szCs w:val="32"/>
        </w:rPr>
        <w:t>月</w:t>
      </w:r>
      <w:r>
        <w:rPr>
          <w:rFonts w:eastAsia="楷体_GB2312" w:hint="eastAsia"/>
          <w:sz w:val="32"/>
          <w:szCs w:val="32"/>
        </w:rPr>
        <w:t>29</w:t>
      </w:r>
      <w:r>
        <w:rPr>
          <w:rFonts w:hint="eastAsia" w:eastAsia="楷体_GB2312"/>
          <w:sz w:val="32"/>
          <w:szCs w:val="32"/>
        </w:rPr>
        <w:t>日陕西省第十</w:t>
      </w:r>
    </w:p>
    <w:p>
      <w:pPr>
        <w:pStyle w:val="Normal"/>
        <w:spacing w:lineRule="exact" w:line="593"/>
        <w:ind w:firstLineChars="200" w:startChars="0" w:start="0" w:endChars="0" w:end="0"/>
        <w:rPr>
          <w:rFonts w:eastAsia="楷体_GB2312" w:hint="eastAsia"/>
          <w:sz w:val="32"/>
          <w:szCs w:val="32"/>
        </w:rPr>
      </w:pPr>
      <w:r>
        <w:rPr>
          <w:rFonts w:hint="eastAsia" w:eastAsia="楷体_GB2312"/>
          <w:sz w:val="32"/>
          <w:szCs w:val="32"/>
        </w:rPr>
        <w:t>二届人民代表大会常务委员会第三十七次会议批准）</w:t>
      </w:r>
    </w:p>
    <w:p>
      <w:pPr>
        <w:pStyle w:val="Normal"/>
        <w:spacing w:lineRule="exact" w:line="593"/>
        <w:rPr>
          <w:rFonts w:ascii="宋体;SimSun" w:hAnsi="宋体;SimSun" w:eastAsia="楷体_GB2312" w:cs="宋体;SimSun" w:hint="eastAsia"/>
          <w:sz w:val="32"/>
          <w:szCs w:val="32"/>
        </w:rPr>
      </w:pPr>
      <w:r>
        <w:rPr>
          <w:rFonts w:eastAsia="楷体_GB2312" w:cs="宋体;SimSun" w:hint="eastAsia" w:ascii="宋体;SimSun" w:hAnsi="宋体;SimSun"/>
          <w:sz w:val="32"/>
          <w:szCs w:val="32"/>
        </w:rPr>
      </w:r>
    </w:p>
    <w:p>
      <w:pPr>
        <w:pStyle w:val="Normal"/>
        <w:spacing w:lineRule="exact" w:line="593"/>
        <w:jc w:val="center"/>
        <w:rPr/>
      </w:pPr>
      <w:r>
        <w:rPr>
          <w:rFonts w:ascii="楷体_GB2312" w:hAnsi="楷体_GB2312" w:cs="黑体;SimHei" w:hint="eastAsia" w:eastAsia="楷体_GB2312"/>
          <w:sz w:val="32"/>
          <w:szCs w:val="32"/>
        </w:rPr>
        <w:t>目</w:t>
      </w:r>
      <w:r>
        <w:rPr>
          <w:rFonts w:ascii="宋体;SimSun" w:hAnsi="宋体;SimSun" w:cs="宋体;SimSun" w:hint="eastAsia"/>
          <w:sz w:val="32"/>
          <w:szCs w:val="32"/>
        </w:rPr>
        <w:t xml:space="preserve">  </w:t>
      </w:r>
      <w:r>
        <w:rPr>
          <w:rFonts w:ascii="楷体_GB2312" w:hAnsi="楷体_GB2312" w:cs="黑体;SimHei" w:hint="eastAsia" w:eastAsia="楷体_GB2312"/>
          <w:sz w:val="32"/>
          <w:szCs w:val="32"/>
        </w:rPr>
        <w:t xml:space="preserve">  录</w:t>
      </w:r>
    </w:p>
    <w:p>
      <w:pPr>
        <w:pStyle w:val="Normal"/>
        <w:spacing w:lineRule="exact" w:line="593"/>
        <w:ind w:firstLineChars="200" w:startChars="0" w:start="0" w:endChars="0" w:end="0"/>
        <w:rPr>
          <w:rFonts w:ascii="楷体_GB2312" w:hAnsi="楷体_GB2312" w:eastAsia="楷体_GB2312" w:cs="宋体;SimSun" w:hint="eastAsia"/>
          <w:color w:val="000000"/>
          <w:sz w:val="32"/>
          <w:szCs w:val="32"/>
        </w:rPr>
      </w:pPr>
      <w:r>
        <w:rPr>
          <w:rFonts w:ascii="楷体_GB2312" w:hAnsi="楷体_GB2312" w:cs="宋体;SimSun" w:hint="eastAsia" w:eastAsia="楷体_GB2312"/>
          <w:color w:val="000000"/>
          <w:sz w:val="32"/>
          <w:szCs w:val="32"/>
        </w:rPr>
        <w:t>第一章  总  则</w:t>
      </w:r>
    </w:p>
    <w:p>
      <w:pPr>
        <w:pStyle w:val="Normal"/>
        <w:spacing w:lineRule="exact" w:line="593"/>
        <w:ind w:firstLineChars="200" w:startChars="0" w:start="0" w:endChars="0" w:end="0"/>
        <w:rPr>
          <w:rFonts w:ascii="楷体_GB2312" w:hAnsi="楷体_GB2312" w:eastAsia="楷体_GB2312" w:cs="宋体;SimSun" w:hint="eastAsia"/>
          <w:color w:val="000000"/>
          <w:sz w:val="32"/>
          <w:szCs w:val="32"/>
        </w:rPr>
      </w:pPr>
      <w:r>
        <w:rPr>
          <w:rFonts w:ascii="楷体_GB2312" w:hAnsi="楷体_GB2312" w:cs="宋体;SimSun" w:hint="eastAsia" w:eastAsia="楷体_GB2312"/>
          <w:color w:val="000000"/>
          <w:sz w:val="32"/>
          <w:szCs w:val="32"/>
        </w:rPr>
        <w:t>第二章  文物保护单位</w:t>
      </w:r>
    </w:p>
    <w:p>
      <w:pPr>
        <w:pStyle w:val="Normal"/>
        <w:spacing w:lineRule="exact" w:line="593"/>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一般不可移动文物</w:t>
      </w:r>
    </w:p>
    <w:p>
      <w:pPr>
        <w:pStyle w:val="Normal"/>
        <w:spacing w:lineRule="exact" w:line="593"/>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考古勘探与发现</w:t>
      </w:r>
    </w:p>
    <w:p>
      <w:pPr>
        <w:pStyle w:val="Normal"/>
        <w:spacing w:lineRule="exact" w:line="593"/>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利用与社会参与</w:t>
      </w:r>
    </w:p>
    <w:p>
      <w:pPr>
        <w:pStyle w:val="Normal"/>
        <w:spacing w:lineRule="exact" w:line="593"/>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法律责任</w:t>
      </w:r>
    </w:p>
    <w:p>
      <w:pPr>
        <w:pStyle w:val="Normal"/>
        <w:spacing w:lineRule="exact" w:line="593"/>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第七章  附  则</w:t>
      </w:r>
    </w:p>
    <w:p>
      <w:pPr>
        <w:pStyle w:val="Normal"/>
        <w:spacing w:lineRule="exact" w:line="593"/>
        <w:ind w:firstLineChars="200" w:startChars="0" w:start="0" w:endChars="0" w:end="0"/>
        <w:rPr>
          <w:rFonts w:ascii="宋体;SimSun" w:hAnsi="宋体;SimSun" w:eastAsia="楷体_GB2312" w:cs="宋体;SimSun" w:hint="eastAsia"/>
          <w:sz w:val="32"/>
          <w:szCs w:val="32"/>
        </w:rPr>
      </w:pPr>
      <w:r>
        <w:rPr>
          <w:rFonts w:eastAsia="楷体_GB2312" w:cs="宋体;SimSun" w:hint="eastAsia" w:ascii="宋体;SimSun" w:hAnsi="宋体;SimSun"/>
          <w:sz w:val="32"/>
          <w:szCs w:val="32"/>
        </w:rPr>
      </w:r>
    </w:p>
    <w:p>
      <w:pPr>
        <w:pStyle w:val="Normal"/>
        <w:spacing w:lineRule="exact" w:line="593"/>
        <w:jc w:val="center"/>
        <w:rPr>
          <w:rFonts w:ascii="黑体;SimHei" w:hAnsi="黑体;SimHei" w:eastAsia="黑体;SimHei" w:cs="宋体;SimSun" w:hint="eastAsia"/>
          <w:color w:val="000000"/>
          <w:sz w:val="32"/>
          <w:szCs w:val="32"/>
        </w:rPr>
      </w:pPr>
      <w:r>
        <w:rPr>
          <w:rFonts w:ascii="黑体;SimHei" w:hAnsi="黑体;SimHei" w:cs="宋体;SimSun" w:hint="eastAsia" w:eastAsia="黑体;SimHei"/>
          <w:color w:val="000000"/>
          <w:sz w:val="32"/>
          <w:szCs w:val="32"/>
        </w:rPr>
        <w:t>第一章  总  则</w:t>
      </w:r>
    </w:p>
    <w:p>
      <w:pPr>
        <w:pStyle w:val="Style15"/>
        <w:widowControl w:val="false"/>
        <w:spacing w:lineRule="exact" w:line="593" w:before="0" w:after="0"/>
        <w:jc w:val="both"/>
        <w:rPr>
          <w:rFonts w:ascii="黑体;SimHei" w:hAnsi="黑体;SimHei" w:eastAsia="黑体;SimHei" w:cs="微软雅黑" w:hint="eastAsia"/>
          <w:color w:val="000000"/>
          <w:kern w:val="2"/>
          <w:sz w:val="32"/>
          <w:szCs w:val="32"/>
        </w:rPr>
      </w:pPr>
      <w:r>
        <w:rPr>
          <w:rFonts w:eastAsia="黑体;SimHei" w:cs="微软雅黑" w:hint="eastAsia" w:ascii="黑体;SimHei" w:hAnsi="黑体;SimHei"/>
          <w:color w:val="000000"/>
          <w:kern w:val="2"/>
          <w:sz w:val="32"/>
          <w:szCs w:val="32"/>
        </w:rPr>
      </w:r>
    </w:p>
    <w:p>
      <w:pPr>
        <w:pStyle w:val="Style15"/>
        <w:widowControl w:val="false"/>
        <w:spacing w:lineRule="exact" w:line="593" w:before="0" w:after="0"/>
        <w:ind w:firstLineChars="200" w:startChars="0" w:start="0" w:endChars="0" w:end="0"/>
        <w:jc w:val="both"/>
        <w:rPr/>
      </w:pPr>
      <w:r>
        <w:rPr>
          <w:rFonts w:ascii="黑体;SimHei" w:hAnsi="黑体;SimHei" w:cs="微软雅黑" w:hint="eastAsia" w:eastAsia="黑体;SimHei"/>
          <w:color w:val="000000"/>
          <w:kern w:val="2"/>
          <w:sz w:val="32"/>
          <w:szCs w:val="32"/>
        </w:rPr>
        <w:t>第一条</w:t>
      </w:r>
      <w:r>
        <w:rPr>
          <w:rFonts w:ascii="仿宋_GB2312" w:hAnsi="仿宋_GB2312" w:cs="微软雅黑" w:hint="eastAsia" w:eastAsia="仿宋_GB2312"/>
          <w:color w:val="000000"/>
          <w:kern w:val="2"/>
          <w:sz w:val="32"/>
          <w:szCs w:val="32"/>
        </w:rPr>
        <w:t xml:space="preserve">  为了加强对不可移动文物的保护，根据《中华人民共和国文物保护法》《中华人民共和国文物保护法实施条例》《陕西省文物保护条例》等法律、法规，结合本市实际，制定本条例。</w:t>
      </w:r>
    </w:p>
    <w:p>
      <w:pPr>
        <w:pStyle w:val="Style15"/>
        <w:widowControl w:val="false"/>
        <w:spacing w:lineRule="exact" w:line="593" w:before="0" w:after="0"/>
        <w:ind w:firstLineChars="200" w:startChars="0" w:start="0" w:endChars="0" w:end="0"/>
        <w:jc w:val="both"/>
        <w:rPr/>
      </w:pPr>
      <w:r>
        <w:rPr>
          <w:rFonts w:ascii="黑体;SimHei" w:hAnsi="黑体;SimHei" w:cs="微软雅黑" w:hint="eastAsia" w:eastAsia="黑体;SimHei"/>
          <w:color w:val="000000"/>
          <w:kern w:val="2"/>
          <w:sz w:val="32"/>
          <w:szCs w:val="32"/>
        </w:rPr>
        <w:t>第二条</w:t>
      </w:r>
      <w:r>
        <w:rPr>
          <w:rFonts w:ascii="仿宋_GB2312" w:hAnsi="仿宋_GB2312" w:cs="微软雅黑" w:hint="eastAsia" w:eastAsia="仿宋_GB2312"/>
          <w:color w:val="000000"/>
          <w:kern w:val="2"/>
          <w:sz w:val="32"/>
          <w:szCs w:val="32"/>
        </w:rPr>
        <w:t xml:space="preserve">  本市行政区域内的不可移动文物保护工作及其相关活动适用本条例。</w:t>
      </w:r>
    </w:p>
    <w:p>
      <w:pPr>
        <w:pStyle w:val="Style15"/>
        <w:widowControl w:val="false"/>
        <w:spacing w:lineRule="exact" w:line="593" w:before="0" w:after="0"/>
        <w:ind w:firstLineChars="200" w:startChars="0" w:start="0" w:endChars="0" w:end="0"/>
        <w:jc w:val="both"/>
        <w:rPr>
          <w:rFonts w:ascii="仿宋_GB2312" w:hAnsi="仿宋_GB2312" w:eastAsia="仿宋_GB2312" w:cs="微软雅黑" w:hint="eastAsia"/>
          <w:color w:val="000000"/>
          <w:kern w:val="2"/>
          <w:sz w:val="32"/>
          <w:szCs w:val="32"/>
        </w:rPr>
      </w:pPr>
      <w:r>
        <w:rPr>
          <w:rFonts w:ascii="仿宋_GB2312" w:hAnsi="仿宋_GB2312" w:cs="微软雅黑" w:hint="eastAsia" w:eastAsia="仿宋_GB2312"/>
          <w:color w:val="000000"/>
          <w:kern w:val="2"/>
          <w:sz w:val="32"/>
          <w:szCs w:val="32"/>
        </w:rPr>
        <w:t>历史文化名城、街区的保护按照《西安历史文化名城保护条例》的规定执行。</w:t>
      </w:r>
    </w:p>
    <w:p>
      <w:pPr>
        <w:pStyle w:val="Style15"/>
        <w:widowControl w:val="false"/>
        <w:spacing w:lineRule="exact" w:line="593" w:before="0" w:after="0"/>
        <w:ind w:firstLineChars="200" w:startChars="0" w:start="0" w:endChars="0" w:end="0"/>
        <w:jc w:val="both"/>
        <w:rPr/>
      </w:pPr>
      <w:r>
        <w:rPr>
          <w:rFonts w:ascii="黑体;SimHei" w:hAnsi="黑体;SimHei" w:cs="微软雅黑" w:hint="eastAsia" w:eastAsia="黑体;SimHei"/>
          <w:color w:val="000000"/>
          <w:kern w:val="2"/>
          <w:sz w:val="32"/>
          <w:szCs w:val="32"/>
        </w:rPr>
        <w:t>第三条</w:t>
      </w:r>
      <w:r>
        <w:rPr>
          <w:rFonts w:ascii="仿宋_GB2312" w:hAnsi="仿宋_GB2312" w:cs="微软雅黑" w:hint="eastAsia" w:eastAsia="仿宋_GB2312"/>
          <w:color w:val="000000"/>
          <w:kern w:val="2"/>
          <w:sz w:val="32"/>
          <w:szCs w:val="32"/>
        </w:rPr>
        <w:t xml:space="preserve">  本条例所称的不可移动文物包括：</w:t>
      </w:r>
    </w:p>
    <w:p>
      <w:pPr>
        <w:pStyle w:val="Style15"/>
        <w:widowControl w:val="false"/>
        <w:spacing w:lineRule="exact" w:line="593" w:before="0" w:after="0"/>
        <w:ind w:firstLineChars="200" w:startChars="0" w:start="0" w:endChars="0" w:end="0"/>
        <w:jc w:val="both"/>
        <w:rPr>
          <w:rFonts w:ascii="仿宋_GB2312" w:hAnsi="仿宋_GB2312" w:eastAsia="仿宋_GB2312" w:cs="微软雅黑" w:hint="eastAsia"/>
          <w:color w:val="000000"/>
          <w:kern w:val="2"/>
          <w:sz w:val="32"/>
          <w:szCs w:val="32"/>
        </w:rPr>
      </w:pPr>
      <w:r>
        <w:rPr>
          <w:rFonts w:ascii="仿宋_GB2312" w:hAnsi="仿宋_GB2312" w:cs="微软雅黑" w:hint="eastAsia" w:eastAsia="仿宋_GB2312"/>
          <w:color w:val="000000"/>
          <w:kern w:val="2"/>
          <w:sz w:val="32"/>
          <w:szCs w:val="32"/>
        </w:rPr>
        <w:t>（一）具有历史、艺术、科学价值的古文化遗址、古墓葬、古建筑、石窟寺和石刻、壁画；</w:t>
      </w:r>
    </w:p>
    <w:p>
      <w:pPr>
        <w:pStyle w:val="Style15"/>
        <w:widowControl w:val="false"/>
        <w:spacing w:lineRule="exact" w:line="593" w:before="0" w:after="0"/>
        <w:ind w:firstLineChars="200" w:startChars="0" w:start="0" w:endChars="0" w:end="0"/>
        <w:jc w:val="both"/>
        <w:rPr>
          <w:rFonts w:ascii="仿宋_GB2312" w:hAnsi="仿宋_GB2312" w:eastAsia="仿宋_GB2312" w:cs="微软雅黑" w:hint="eastAsia"/>
          <w:color w:val="000000"/>
          <w:kern w:val="2"/>
          <w:sz w:val="32"/>
          <w:szCs w:val="32"/>
        </w:rPr>
      </w:pPr>
      <w:r>
        <w:rPr>
          <w:rFonts w:ascii="仿宋_GB2312" w:hAnsi="仿宋_GB2312" w:cs="微软雅黑" w:hint="eastAsia" w:eastAsia="仿宋_GB2312"/>
          <w:color w:val="000000"/>
          <w:kern w:val="2"/>
          <w:sz w:val="32"/>
          <w:szCs w:val="32"/>
        </w:rPr>
        <w:t>（二）与重大历史事件、革命运动或者著名人物有关的以及具有重要纪念意义、教育意义或者史料价值的近代现代重要史迹、代表性建筑；</w:t>
      </w:r>
    </w:p>
    <w:p>
      <w:pPr>
        <w:pStyle w:val="Style15"/>
        <w:widowControl w:val="false"/>
        <w:spacing w:lineRule="exact" w:line="593" w:before="0" w:after="0"/>
        <w:ind w:firstLineChars="200" w:startChars="0" w:start="0" w:endChars="0" w:end="0"/>
        <w:jc w:val="both"/>
        <w:rPr>
          <w:rFonts w:ascii="仿宋_GB2312" w:hAnsi="仿宋_GB2312" w:eastAsia="仿宋_GB2312" w:cs="微软雅黑" w:hint="eastAsia"/>
          <w:color w:val="000000"/>
          <w:kern w:val="2"/>
          <w:sz w:val="32"/>
          <w:szCs w:val="32"/>
        </w:rPr>
      </w:pPr>
      <w:r>
        <w:rPr>
          <w:rFonts w:ascii="仿宋_GB2312" w:hAnsi="仿宋_GB2312" w:cs="微软雅黑" w:hint="eastAsia" w:eastAsia="仿宋_GB2312"/>
          <w:color w:val="000000"/>
          <w:kern w:val="2"/>
          <w:sz w:val="32"/>
          <w:szCs w:val="32"/>
        </w:rPr>
        <w:t>（三）法律、法规规定的其他不可移动文物。</w:t>
      </w:r>
    </w:p>
    <w:p>
      <w:pPr>
        <w:pStyle w:val="Style15"/>
        <w:widowControl w:val="false"/>
        <w:spacing w:lineRule="exact" w:line="593" w:before="0" w:after="0"/>
        <w:ind w:firstLineChars="200" w:startChars="0" w:start="0" w:endChars="0" w:end="0"/>
        <w:jc w:val="both"/>
        <w:rPr/>
      </w:pPr>
      <w:r>
        <w:rPr>
          <w:rFonts w:ascii="黑体;SimHei" w:hAnsi="黑体;SimHei" w:cs="微软雅黑" w:hint="eastAsia" w:eastAsia="黑体;SimHei"/>
          <w:color w:val="000000"/>
          <w:kern w:val="2"/>
          <w:sz w:val="32"/>
          <w:szCs w:val="32"/>
        </w:rPr>
        <w:t>第四条</w:t>
      </w:r>
      <w:r>
        <w:rPr>
          <w:rFonts w:ascii="仿宋_GB2312" w:hAnsi="仿宋_GB2312" w:cs="微软雅黑" w:hint="eastAsia" w:eastAsia="仿宋_GB2312"/>
          <w:color w:val="000000"/>
          <w:kern w:val="2"/>
          <w:sz w:val="32"/>
          <w:szCs w:val="32"/>
        </w:rPr>
        <w:t xml:space="preserve">  不可移动文物根据其历史、艺术、科学价值，分别确定为文物保护单位和一般不可移动文物。</w:t>
      </w:r>
    </w:p>
    <w:p>
      <w:pPr>
        <w:pStyle w:val="Style15"/>
        <w:widowControl w:val="false"/>
        <w:spacing w:lineRule="exact" w:line="593" w:before="0" w:after="0"/>
        <w:ind w:firstLineChars="200" w:startChars="0" w:start="0" w:endChars="0" w:end="0"/>
        <w:jc w:val="both"/>
        <w:rPr/>
      </w:pPr>
      <w:r>
        <w:rPr>
          <w:rFonts w:ascii="黑体;SimHei" w:hAnsi="黑体;SimHei" w:cs="微软雅黑" w:hint="eastAsia" w:eastAsia="黑体;SimHei"/>
          <w:color w:val="000000"/>
          <w:kern w:val="2"/>
          <w:sz w:val="32"/>
          <w:szCs w:val="32"/>
        </w:rPr>
        <w:t>第五条</w:t>
      </w:r>
      <w:r>
        <w:rPr>
          <w:rFonts w:ascii="仿宋_GB2312" w:hAnsi="仿宋_GB2312" w:cs="微软雅黑" w:hint="eastAsia" w:eastAsia="仿宋_GB2312"/>
          <w:color w:val="000000"/>
          <w:kern w:val="2"/>
          <w:sz w:val="32"/>
          <w:szCs w:val="32"/>
        </w:rPr>
        <w:t xml:space="preserve">  市文物行政管理部门是本市不可移动文物保护的行政主管部门，对全市不可移动文物保护实施统一监督管理。区县文物行政主管部门对本辖区内的不可移动文物保护实施监督管理。</w:t>
      </w:r>
    </w:p>
    <w:p>
      <w:pPr>
        <w:pStyle w:val="Style15"/>
        <w:widowControl w:val="false"/>
        <w:spacing w:lineRule="exact" w:line="593" w:before="0" w:after="0"/>
        <w:ind w:firstLineChars="200" w:startChars="0" w:start="0" w:endChars="0" w:end="0"/>
        <w:jc w:val="both"/>
        <w:rPr>
          <w:rFonts w:ascii="仿宋_GB2312" w:hAnsi="仿宋_GB2312" w:eastAsia="仿宋_GB2312" w:cs="微软雅黑" w:hint="eastAsia"/>
          <w:color w:val="000000"/>
          <w:kern w:val="2"/>
          <w:sz w:val="32"/>
          <w:szCs w:val="32"/>
        </w:rPr>
      </w:pPr>
      <w:r>
        <w:rPr>
          <w:rFonts w:ascii="仿宋_GB2312" w:hAnsi="仿宋_GB2312" w:cs="微软雅黑" w:hint="eastAsia" w:eastAsia="仿宋_GB2312"/>
          <w:color w:val="000000"/>
          <w:kern w:val="2"/>
          <w:sz w:val="32"/>
          <w:szCs w:val="32"/>
        </w:rPr>
        <w:t>开发区管理委员会按照本条例规定负责开发区范围内不可移动文物的保护及其相关管理工作。</w:t>
      </w:r>
    </w:p>
    <w:p>
      <w:pPr>
        <w:pStyle w:val="Style15"/>
        <w:widowControl w:val="false"/>
        <w:spacing w:lineRule="exact" w:line="593" w:before="0" w:after="0"/>
        <w:ind w:firstLineChars="200" w:startChars="0" w:start="0" w:endChars="0" w:end="0"/>
        <w:jc w:val="both"/>
        <w:rPr>
          <w:rFonts w:ascii="仿宋_GB2312" w:hAnsi="仿宋_GB2312" w:eastAsia="仿宋_GB2312" w:cs="微软雅黑" w:hint="eastAsia"/>
          <w:color w:val="000000"/>
          <w:kern w:val="2"/>
          <w:sz w:val="32"/>
          <w:szCs w:val="32"/>
        </w:rPr>
      </w:pPr>
      <w:r>
        <w:rPr>
          <w:rFonts w:ascii="仿宋_GB2312" w:hAnsi="仿宋_GB2312" w:cs="微软雅黑" w:hint="eastAsia" w:eastAsia="仿宋_GB2312"/>
          <w:color w:val="000000"/>
          <w:kern w:val="2"/>
          <w:sz w:val="32"/>
          <w:szCs w:val="32"/>
        </w:rPr>
        <w:t>发展和改革、财政、规划、国土资源、建设、公安、城管、水务、农林、房管、工商、旅游、宗教、环保等行政管理部门，按照各自职责，共同做好与不可移动文物保护管理有关的工作。</w:t>
      </w:r>
    </w:p>
    <w:p>
      <w:pPr>
        <w:pStyle w:val="Style15"/>
        <w:widowControl w:val="false"/>
        <w:spacing w:lineRule="exact" w:line="593" w:before="0" w:after="0"/>
        <w:ind w:firstLineChars="200" w:startChars="0" w:start="0" w:endChars="0" w:end="0"/>
        <w:jc w:val="both"/>
        <w:rPr/>
      </w:pPr>
      <w:r>
        <w:rPr>
          <w:rFonts w:ascii="黑体;SimHei" w:hAnsi="黑体;SimHei" w:cs="微软雅黑" w:hint="eastAsia" w:eastAsia="黑体;SimHei"/>
          <w:color w:val="000000"/>
          <w:kern w:val="2"/>
          <w:sz w:val="32"/>
          <w:szCs w:val="32"/>
        </w:rPr>
        <w:t>第六条</w:t>
      </w:r>
      <w:r>
        <w:rPr>
          <w:rFonts w:ascii="仿宋_GB2312" w:hAnsi="仿宋_GB2312" w:cs="微软雅黑" w:hint="eastAsia" w:eastAsia="仿宋_GB2312"/>
          <w:color w:val="000000"/>
          <w:kern w:val="2"/>
          <w:sz w:val="32"/>
          <w:szCs w:val="32"/>
        </w:rPr>
        <w:t xml:space="preserve">  市、区县人民政府和开发区管理委员会应当将不可移动文物保护所需经费列入年度财政预算。</w:t>
      </w:r>
    </w:p>
    <w:p>
      <w:pPr>
        <w:pStyle w:val="Style15"/>
        <w:widowControl w:val="false"/>
        <w:spacing w:lineRule="exact" w:line="593" w:before="0" w:after="0"/>
        <w:ind w:firstLineChars="200" w:startChars="0" w:start="0" w:endChars="0" w:end="0"/>
        <w:jc w:val="both"/>
        <w:rPr>
          <w:rFonts w:ascii="仿宋_GB2312" w:hAnsi="仿宋_GB2312" w:eastAsia="仿宋_GB2312" w:cs="微软雅黑" w:hint="eastAsia"/>
          <w:color w:val="000000"/>
          <w:kern w:val="2"/>
          <w:sz w:val="32"/>
          <w:szCs w:val="32"/>
        </w:rPr>
      </w:pPr>
      <w:r>
        <w:rPr>
          <w:rFonts w:ascii="仿宋_GB2312" w:hAnsi="仿宋_GB2312" w:cs="微软雅黑" w:hint="eastAsia" w:eastAsia="仿宋_GB2312"/>
          <w:color w:val="000000"/>
          <w:kern w:val="2"/>
          <w:sz w:val="32"/>
          <w:szCs w:val="32"/>
        </w:rPr>
        <w:t>市、区县人民政府和开发区管理委员会应当逐步建立健全多元化的不可移动文物保护资金投融资机制，鼓励社会资金支持不可移动文物保护工作。</w:t>
      </w:r>
    </w:p>
    <w:p>
      <w:pPr>
        <w:pStyle w:val="Style15"/>
        <w:widowControl w:val="false"/>
        <w:spacing w:lineRule="exact" w:line="593" w:before="0" w:after="0"/>
        <w:ind w:firstLineChars="200" w:startChars="0" w:start="0" w:endChars="0" w:end="0"/>
        <w:jc w:val="both"/>
        <w:rPr/>
      </w:pPr>
      <w:r>
        <w:rPr>
          <w:rFonts w:ascii="黑体;SimHei" w:hAnsi="黑体;SimHei" w:cs="微软雅黑" w:hint="eastAsia" w:eastAsia="黑体;SimHei"/>
          <w:color w:val="000000"/>
          <w:kern w:val="2"/>
          <w:sz w:val="32"/>
          <w:szCs w:val="32"/>
        </w:rPr>
        <w:t>第七条</w:t>
      </w:r>
      <w:r>
        <w:rPr>
          <w:rFonts w:ascii="仿宋_GB2312" w:hAnsi="仿宋_GB2312" w:cs="微软雅黑" w:hint="eastAsia" w:eastAsia="仿宋_GB2312"/>
          <w:color w:val="000000"/>
          <w:kern w:val="2"/>
          <w:sz w:val="32"/>
          <w:szCs w:val="32"/>
        </w:rPr>
        <w:t xml:space="preserve">  文物行政主管部门和开发区管理委员会应当加强文物保护的宣传教育，增强公众文物保护意识。</w:t>
      </w:r>
    </w:p>
    <w:p>
      <w:pPr>
        <w:pStyle w:val="Style15"/>
        <w:widowControl w:val="false"/>
        <w:spacing w:lineRule="exact" w:line="593" w:before="0" w:after="0"/>
        <w:ind w:firstLineChars="200" w:startChars="0" w:start="0" w:endChars="0" w:end="0"/>
        <w:jc w:val="both"/>
        <w:rPr>
          <w:rFonts w:ascii="仿宋_GB2312" w:hAnsi="仿宋_GB2312" w:eastAsia="仿宋_GB2312" w:cs="微软雅黑" w:hint="eastAsia"/>
          <w:color w:val="000000"/>
          <w:kern w:val="2"/>
          <w:sz w:val="32"/>
          <w:szCs w:val="32"/>
        </w:rPr>
      </w:pPr>
      <w:r>
        <w:rPr>
          <w:rFonts w:ascii="仿宋_GB2312" w:hAnsi="仿宋_GB2312" w:cs="微软雅黑" w:hint="eastAsia" w:eastAsia="仿宋_GB2312"/>
          <w:color w:val="000000"/>
          <w:kern w:val="2"/>
          <w:sz w:val="32"/>
          <w:szCs w:val="32"/>
        </w:rPr>
        <w:t>鼓励和支持机关、团体、企业事业单位以及其他组织开展多种形式的不可移动文物保护知识宣传活动，提高公众对不可移动文物保护的意识。</w:t>
      </w:r>
    </w:p>
    <w:p>
      <w:pPr>
        <w:pStyle w:val="Style15"/>
        <w:widowControl w:val="false"/>
        <w:spacing w:lineRule="exact" w:line="593" w:before="0" w:after="0"/>
        <w:ind w:firstLineChars="200" w:startChars="0" w:start="0" w:endChars="0" w:end="0"/>
        <w:jc w:val="both"/>
        <w:rPr>
          <w:rFonts w:ascii="仿宋_GB2312" w:hAnsi="仿宋_GB2312" w:eastAsia="仿宋_GB2312" w:cs="微软雅黑" w:hint="eastAsia"/>
          <w:color w:val="000000"/>
          <w:kern w:val="2"/>
          <w:sz w:val="32"/>
          <w:szCs w:val="32"/>
        </w:rPr>
      </w:pPr>
      <w:r>
        <w:rPr>
          <w:rFonts w:ascii="仿宋_GB2312" w:hAnsi="仿宋_GB2312" w:cs="微软雅黑" w:hint="eastAsia" w:eastAsia="仿宋_GB2312"/>
          <w:color w:val="000000"/>
          <w:kern w:val="2"/>
          <w:sz w:val="32"/>
          <w:szCs w:val="32"/>
        </w:rPr>
        <w:t>新闻媒体应当加强对不可移动文物保护的公益性宣传，对违反文物保护的行为进行舆论监督。</w:t>
      </w:r>
    </w:p>
    <w:p>
      <w:pPr>
        <w:pStyle w:val="Style15"/>
        <w:widowControl w:val="false"/>
        <w:spacing w:lineRule="exact" w:line="593" w:before="0" w:after="0"/>
        <w:ind w:firstLineChars="200" w:startChars="0" w:start="0" w:endChars="0" w:end="0"/>
        <w:jc w:val="both"/>
        <w:rPr/>
      </w:pPr>
      <w:r>
        <w:rPr>
          <w:rFonts w:ascii="黑体;SimHei" w:hAnsi="黑体;SimHei" w:cs="微软雅黑" w:hint="eastAsia" w:eastAsia="黑体;SimHei"/>
          <w:color w:val="000000"/>
          <w:kern w:val="2"/>
          <w:sz w:val="32"/>
          <w:szCs w:val="32"/>
        </w:rPr>
        <w:t>第八条</w:t>
      </w:r>
      <w:r>
        <w:rPr>
          <w:rFonts w:ascii="仿宋_GB2312" w:hAnsi="仿宋_GB2312" w:cs="微软雅黑" w:hint="eastAsia" w:eastAsia="仿宋_GB2312"/>
          <w:color w:val="000000"/>
          <w:kern w:val="2"/>
          <w:sz w:val="32"/>
          <w:szCs w:val="32"/>
        </w:rPr>
        <w:t xml:space="preserve">  任何单位和个人都有依法保护不可移动文物的义务，对破坏、损害不可移动文物的行为，有权进行劝阻，并向文物行政主管部门、公安机关或者开发区管理委员会举报。有关部门接到举报后，应当及时处理，并将处理结果告知举报人。</w:t>
      </w:r>
    </w:p>
    <w:p>
      <w:pPr>
        <w:pStyle w:val="Style15"/>
        <w:widowControl w:val="false"/>
        <w:spacing w:lineRule="exact" w:line="593" w:before="0" w:after="0"/>
        <w:ind w:firstLineChars="200" w:startChars="0" w:start="0" w:endChars="0" w:end="0"/>
        <w:jc w:val="both"/>
        <w:rPr/>
      </w:pPr>
      <w:r>
        <w:rPr>
          <w:rFonts w:ascii="黑体;SimHei" w:hAnsi="黑体;SimHei" w:cs="微软雅黑" w:hint="eastAsia" w:eastAsia="黑体;SimHei"/>
          <w:color w:val="000000"/>
          <w:kern w:val="2"/>
          <w:sz w:val="32"/>
          <w:szCs w:val="32"/>
        </w:rPr>
        <w:t>第九条</w:t>
      </w:r>
      <w:r>
        <w:rPr>
          <w:rFonts w:ascii="仿宋_GB2312" w:hAnsi="仿宋_GB2312" w:cs="微软雅黑" w:hint="eastAsia" w:eastAsia="仿宋_GB2312"/>
          <w:color w:val="000000"/>
          <w:kern w:val="2"/>
          <w:sz w:val="32"/>
          <w:szCs w:val="32"/>
        </w:rPr>
        <w:t xml:space="preserve">  市、区县人民政府及其文物行政主管部门、开发区管理委员会应当依法对在文物保护工作中做出贡献的单位和个人给予奖励。</w:t>
      </w:r>
    </w:p>
    <w:p>
      <w:pPr>
        <w:pStyle w:val="Style15"/>
        <w:widowControl w:val="false"/>
        <w:spacing w:lineRule="exact" w:line="593" w:before="0" w:after="0"/>
        <w:ind w:firstLineChars="200" w:startChars="0" w:start="0" w:endChars="0" w:end="0"/>
        <w:jc w:val="both"/>
        <w:rPr>
          <w:rFonts w:ascii="仿宋_GB2312" w:hAnsi="仿宋_GB2312" w:eastAsia="仿宋_GB2312" w:cs="微软雅黑" w:hint="eastAsia"/>
          <w:color w:val="000000"/>
          <w:kern w:val="2"/>
          <w:sz w:val="32"/>
          <w:szCs w:val="32"/>
        </w:rPr>
      </w:pPr>
      <w:r>
        <w:rPr>
          <w:rFonts w:ascii="仿宋_GB2312" w:hAnsi="仿宋_GB2312" w:cs="微软雅黑" w:hint="eastAsia" w:eastAsia="仿宋_GB2312"/>
          <w:color w:val="000000"/>
          <w:kern w:val="2"/>
          <w:sz w:val="32"/>
          <w:szCs w:val="32"/>
        </w:rPr>
        <w:t>具体奖励办法由市人民政府制定。</w:t>
      </w:r>
    </w:p>
    <w:p>
      <w:pPr>
        <w:pStyle w:val="Style15"/>
        <w:widowControl w:val="false"/>
        <w:spacing w:lineRule="exact" w:line="593" w:before="0" w:after="0"/>
        <w:ind w:firstLineChars="200" w:startChars="0" w:start="0" w:endChars="0" w:end="0"/>
        <w:jc w:val="both"/>
        <w:rPr>
          <w:rFonts w:ascii="仿宋_GB2312" w:hAnsi="仿宋_GB2312" w:eastAsia="仿宋_GB2312" w:cs="微软雅黑" w:hint="eastAsia"/>
          <w:color w:val="000000"/>
          <w:kern w:val="2"/>
          <w:sz w:val="32"/>
          <w:szCs w:val="32"/>
        </w:rPr>
      </w:pPr>
      <w:r>
        <w:rPr>
          <w:rFonts w:eastAsia="仿宋_GB2312" w:cs="微软雅黑" w:hint="eastAsia" w:ascii="仿宋_GB2312" w:hAnsi="仿宋_GB2312"/>
          <w:color w:val="000000"/>
          <w:kern w:val="2"/>
          <w:sz w:val="32"/>
          <w:szCs w:val="32"/>
        </w:rPr>
      </w:r>
    </w:p>
    <w:p>
      <w:pPr>
        <w:pStyle w:val="Style15"/>
        <w:widowControl w:val="false"/>
        <w:spacing w:lineRule="exact" w:line="593" w:before="0" w:after="0"/>
        <w:ind w:firstLineChars="200" w:startChars="0" w:start="0" w:endChars="0" w:end="0"/>
        <w:jc w:val="both"/>
        <w:rPr>
          <w:rFonts w:ascii="仿宋_GB2312" w:hAnsi="仿宋_GB2312" w:eastAsia="仿宋_GB2312" w:cs="微软雅黑" w:hint="eastAsia"/>
          <w:color w:val="000000"/>
          <w:kern w:val="2"/>
          <w:sz w:val="32"/>
          <w:szCs w:val="32"/>
        </w:rPr>
      </w:pPr>
      <w:r>
        <w:rPr>
          <w:rFonts w:eastAsia="仿宋_GB2312" w:cs="微软雅黑" w:hint="eastAsia" w:ascii="仿宋_GB2312" w:hAnsi="仿宋_GB2312"/>
          <w:color w:val="000000"/>
          <w:kern w:val="2"/>
          <w:sz w:val="32"/>
          <w:szCs w:val="32"/>
        </w:rPr>
      </w:r>
    </w:p>
    <w:p>
      <w:pPr>
        <w:pStyle w:val="Normal"/>
        <w:spacing w:lineRule="exact" w:line="593"/>
        <w:jc w:val="center"/>
        <w:rPr>
          <w:rFonts w:ascii="黑体;SimHei" w:hAnsi="黑体;SimHei" w:eastAsia="黑体;SimHei" w:cs="宋体;SimSun" w:hint="eastAsia"/>
          <w:color w:val="000000"/>
          <w:sz w:val="32"/>
          <w:szCs w:val="32"/>
        </w:rPr>
      </w:pPr>
      <w:r>
        <w:rPr>
          <w:rFonts w:ascii="黑体;SimHei" w:hAnsi="黑体;SimHei" w:cs="宋体;SimSun" w:hint="eastAsia" w:eastAsia="黑体;SimHei"/>
          <w:color w:val="000000"/>
          <w:sz w:val="32"/>
          <w:szCs w:val="32"/>
        </w:rPr>
        <w:t>第二章  文物保护单位</w:t>
      </w:r>
    </w:p>
    <w:p>
      <w:pPr>
        <w:pStyle w:val="Normal"/>
        <w:spacing w:lineRule="exact" w:line="593"/>
        <w:ind w:firstLineChars="200" w:startChars="0" w:start="0" w:endChars="0" w:end="0"/>
        <w:jc w:val="center"/>
        <w:rPr>
          <w:rFonts w:ascii="黑体;SimHei" w:hAnsi="黑体;SimHei" w:eastAsia="黑体;SimHei" w:cs="宋体;SimSun" w:hint="eastAsia"/>
          <w:color w:val="000000"/>
          <w:sz w:val="32"/>
          <w:szCs w:val="32"/>
        </w:rPr>
      </w:pPr>
      <w:r>
        <w:rPr>
          <w:rFonts w:eastAsia="黑体;SimHei" w:cs="宋体;SimSun" w:hint="eastAsia" w:ascii="黑体;SimHei" w:hAnsi="黑体;SimHei"/>
          <w:color w:val="000000"/>
          <w:sz w:val="32"/>
          <w:szCs w:val="32"/>
        </w:rPr>
      </w:r>
    </w:p>
    <w:p>
      <w:pPr>
        <w:pStyle w:val="Style15"/>
        <w:widowControl w:val="false"/>
        <w:spacing w:lineRule="exact" w:line="593" w:before="0" w:after="0"/>
        <w:ind w:firstLineChars="200" w:startChars="0" w:start="0" w:endChars="0" w:end="0"/>
        <w:jc w:val="both"/>
        <w:rPr/>
      </w:pPr>
      <w:r>
        <w:rPr>
          <w:rFonts w:ascii="黑体;SimHei" w:hAnsi="黑体;SimHei" w:cs="微软雅黑" w:hint="eastAsia" w:eastAsia="黑体;SimHei"/>
          <w:color w:val="000000"/>
          <w:kern w:val="2"/>
          <w:sz w:val="32"/>
          <w:szCs w:val="32"/>
        </w:rPr>
        <w:t>第十条</w:t>
      </w:r>
      <w:r>
        <w:rPr>
          <w:rFonts w:ascii="仿宋_GB2312" w:hAnsi="仿宋_GB2312" w:cs="微软雅黑" w:hint="eastAsia" w:eastAsia="仿宋_GB2312"/>
          <w:color w:val="000000"/>
          <w:kern w:val="2"/>
          <w:sz w:val="32"/>
          <w:szCs w:val="32"/>
        </w:rPr>
        <w:t xml:space="preserve">  文物保护单位分为全国重点文物保护单位、省级文物保护单位和市、县级文物保护单位。</w:t>
      </w:r>
    </w:p>
    <w:p>
      <w:pPr>
        <w:pStyle w:val="Style15"/>
        <w:widowControl w:val="false"/>
        <w:spacing w:lineRule="exact" w:line="593" w:before="0" w:after="0"/>
        <w:ind w:firstLineChars="200" w:startChars="0" w:start="0" w:endChars="0" w:end="0"/>
        <w:jc w:val="both"/>
        <w:rPr/>
      </w:pPr>
      <w:r>
        <w:rPr>
          <w:rFonts w:ascii="黑体;SimHei" w:hAnsi="黑体;SimHei" w:cs="微软雅黑" w:hint="eastAsia" w:eastAsia="黑体;SimHei"/>
          <w:color w:val="000000"/>
          <w:kern w:val="2"/>
          <w:sz w:val="32"/>
          <w:szCs w:val="32"/>
        </w:rPr>
        <w:t>第十一条</w:t>
      </w:r>
      <w:r>
        <w:rPr>
          <w:rFonts w:ascii="仿宋_GB2312" w:hAnsi="仿宋_GB2312" w:cs="微软雅黑" w:hint="eastAsia" w:eastAsia="仿宋_GB2312"/>
          <w:color w:val="000000"/>
          <w:kern w:val="2"/>
          <w:sz w:val="32"/>
          <w:szCs w:val="32"/>
        </w:rPr>
        <w:t xml:space="preserve">  市、区县人民政府应当组织制定本级文物保护单位的保护规划，并予以公布。</w:t>
      </w:r>
    </w:p>
    <w:p>
      <w:pPr>
        <w:pStyle w:val="Style15"/>
        <w:widowControl w:val="false"/>
        <w:spacing w:lineRule="exact" w:line="593" w:before="0" w:after="0"/>
        <w:ind w:firstLineChars="200" w:startChars="0" w:start="0" w:endChars="0" w:end="0"/>
        <w:jc w:val="both"/>
        <w:rPr>
          <w:rFonts w:ascii="仿宋_GB2312" w:hAnsi="仿宋_GB2312" w:eastAsia="仿宋_GB2312" w:cs="微软雅黑" w:hint="eastAsia"/>
          <w:color w:val="000000"/>
          <w:kern w:val="2"/>
          <w:sz w:val="32"/>
          <w:szCs w:val="32"/>
        </w:rPr>
      </w:pPr>
      <w:r>
        <w:rPr>
          <w:rFonts w:ascii="仿宋_GB2312" w:hAnsi="仿宋_GB2312" w:cs="微软雅黑" w:hint="eastAsia" w:eastAsia="仿宋_GB2312"/>
          <w:color w:val="000000"/>
          <w:kern w:val="2"/>
          <w:sz w:val="32"/>
          <w:szCs w:val="32"/>
        </w:rPr>
        <w:t>市、区县人民政府编制土地利用总体规划、城乡建设规划、环境保护规划和风景名胜区规划应当符合文物保护的要求，与文物保护规划相衔接。</w:t>
      </w:r>
    </w:p>
    <w:p>
      <w:pPr>
        <w:pStyle w:val="Style15"/>
        <w:widowControl w:val="false"/>
        <w:spacing w:lineRule="exact" w:line="593" w:before="0" w:after="0"/>
        <w:ind w:firstLineChars="200" w:startChars="0" w:start="0" w:endChars="0" w:end="0"/>
        <w:jc w:val="both"/>
        <w:rPr/>
      </w:pPr>
      <w:r>
        <w:rPr>
          <w:rFonts w:ascii="黑体;SimHei" w:hAnsi="黑体;SimHei" w:cs="微软雅黑" w:hint="eastAsia" w:eastAsia="黑体;SimHei"/>
          <w:color w:val="000000"/>
          <w:kern w:val="2"/>
          <w:sz w:val="32"/>
          <w:szCs w:val="32"/>
        </w:rPr>
        <w:t>第十二条</w:t>
      </w:r>
      <w:r>
        <w:rPr>
          <w:rFonts w:ascii="仿宋_GB2312" w:hAnsi="仿宋_GB2312" w:cs="微软雅黑" w:hint="eastAsia" w:eastAsia="仿宋_GB2312"/>
          <w:color w:val="000000"/>
          <w:kern w:val="2"/>
          <w:sz w:val="32"/>
          <w:szCs w:val="32"/>
        </w:rPr>
        <w:t xml:space="preserve">  文物保护单位的申报、核定、公布、备案、保护，依据法律、法规和国家有关规定的程序和权限执行。</w:t>
      </w:r>
    </w:p>
    <w:p>
      <w:pPr>
        <w:pStyle w:val="Style15"/>
        <w:widowControl w:val="false"/>
        <w:spacing w:lineRule="exact" w:line="593" w:before="0" w:after="0"/>
        <w:ind w:firstLineChars="200" w:startChars="0" w:start="0" w:endChars="0" w:end="0"/>
        <w:jc w:val="both"/>
        <w:rPr>
          <w:rFonts w:ascii="仿宋_GB2312" w:hAnsi="仿宋_GB2312" w:eastAsia="仿宋_GB2312" w:cs="微软雅黑" w:hint="eastAsia"/>
          <w:color w:val="000000"/>
          <w:kern w:val="2"/>
          <w:sz w:val="32"/>
          <w:szCs w:val="32"/>
        </w:rPr>
      </w:pPr>
      <w:r>
        <w:rPr>
          <w:rFonts w:ascii="仿宋_GB2312" w:hAnsi="仿宋_GB2312" w:cs="微软雅黑" w:hint="eastAsia" w:eastAsia="仿宋_GB2312"/>
          <w:color w:val="000000"/>
          <w:kern w:val="2"/>
          <w:sz w:val="32"/>
          <w:szCs w:val="32"/>
        </w:rPr>
        <w:t>市、区县人民政府应当及时核定公布本级新增文物保护单位。市、区县文物行政主管部门应当每年向社会公布本级文物保护单位清单。全国重点文物保护单位和省级文物保护单位清单由市文物行政主管部门负责公布。</w:t>
      </w:r>
    </w:p>
    <w:p>
      <w:pPr>
        <w:pStyle w:val="Style15"/>
        <w:widowControl w:val="false"/>
        <w:spacing w:lineRule="exact" w:line="593" w:before="0" w:after="0"/>
        <w:ind w:firstLineChars="200" w:startChars="0" w:start="0" w:endChars="0" w:end="0"/>
        <w:jc w:val="both"/>
        <w:rPr>
          <w:rFonts w:ascii="华文仿宋;华文中宋" w:hAnsi="华文仿宋;华文中宋" w:eastAsia="华文仿宋;华文中宋" w:cs="华文仿宋;华文中宋" w:hint="eastAsia"/>
          <w:b/>
          <w:color w:val="000000"/>
          <w:kern w:val="2"/>
          <w:sz w:val="32"/>
          <w:szCs w:val="32"/>
        </w:rPr>
      </w:pPr>
      <w:r>
        <w:rPr>
          <w:rFonts w:ascii="黑体;SimHei" w:hAnsi="黑体;SimHei" w:cs="微软雅黑" w:hint="eastAsia" w:eastAsia="黑体;SimHei"/>
          <w:color w:val="000000"/>
          <w:kern w:val="2"/>
          <w:sz w:val="32"/>
          <w:szCs w:val="32"/>
        </w:rPr>
        <w:t>第十三条</w:t>
      </w:r>
      <w:r>
        <w:rPr>
          <w:rFonts w:ascii="仿宋_GB2312" w:hAnsi="仿宋_GB2312" w:cs="微软雅黑" w:hint="eastAsia" w:eastAsia="仿宋_GB2312"/>
          <w:color w:val="000000"/>
          <w:kern w:val="2"/>
          <w:sz w:val="32"/>
          <w:szCs w:val="32"/>
        </w:rPr>
        <w:t xml:space="preserve">  市、区县人民政府应当对其核定公布的文物保护单位，自公布之日起一年内，划定并公布保护范围，作出标志说明，建立记录档案，设置专门机构或者指定专人负责管理。</w:t>
      </w:r>
    </w:p>
    <w:p>
      <w:pPr>
        <w:pStyle w:val="Style15"/>
        <w:widowControl w:val="false"/>
        <w:spacing w:lineRule="exact" w:line="593" w:before="0" w:after="0"/>
        <w:ind w:firstLineChars="200" w:startChars="0" w:start="0" w:endChars="0" w:end="0"/>
        <w:jc w:val="both"/>
        <w:rPr/>
      </w:pPr>
      <w:r>
        <w:rPr>
          <w:rFonts w:ascii="黑体;SimHei" w:hAnsi="黑体;SimHei" w:cs="微软雅黑" w:hint="eastAsia" w:eastAsia="黑体;SimHei"/>
          <w:color w:val="000000"/>
          <w:kern w:val="2"/>
          <w:sz w:val="32"/>
          <w:szCs w:val="32"/>
        </w:rPr>
        <w:t>第十四条</w:t>
      </w:r>
      <w:r>
        <w:rPr>
          <w:rFonts w:ascii="仿宋_GB2312" w:hAnsi="仿宋_GB2312" w:cs="微软雅黑" w:hint="eastAsia" w:eastAsia="仿宋_GB2312"/>
          <w:color w:val="000000"/>
          <w:kern w:val="2"/>
          <w:sz w:val="32"/>
          <w:szCs w:val="32"/>
        </w:rPr>
        <w:t xml:space="preserve">  在文物保护单位的保护范围内的非文物建筑物、构筑物等不得改建、扩建，发生严重损毁或者达到设计使用年限时应当拆除。因特殊情况确需保留或者改建的，应当符合文物保护单位的保护规划。</w:t>
      </w:r>
    </w:p>
    <w:p>
      <w:pPr>
        <w:pStyle w:val="Style15"/>
        <w:widowControl w:val="false"/>
        <w:spacing w:lineRule="exact" w:line="593" w:before="0" w:after="0"/>
        <w:ind w:firstLineChars="200" w:startChars="0" w:start="0" w:endChars="0" w:end="0"/>
        <w:jc w:val="both"/>
        <w:rPr/>
      </w:pPr>
      <w:r>
        <w:rPr>
          <w:rFonts w:ascii="黑体;SimHei" w:hAnsi="黑体;SimHei" w:cs="微软雅黑" w:hint="eastAsia" w:eastAsia="黑体;SimHei"/>
          <w:color w:val="000000"/>
          <w:kern w:val="2"/>
          <w:sz w:val="32"/>
          <w:szCs w:val="32"/>
        </w:rPr>
        <w:t>第十五条</w:t>
      </w:r>
      <w:r>
        <w:rPr>
          <w:rFonts w:ascii="仿宋_GB2312" w:hAnsi="仿宋_GB2312" w:cs="微软雅黑" w:hint="eastAsia" w:eastAsia="仿宋_GB2312"/>
          <w:color w:val="000000"/>
          <w:kern w:val="2"/>
          <w:sz w:val="32"/>
          <w:szCs w:val="32"/>
        </w:rPr>
        <w:t xml:space="preserve">  在文物保护单位依法设立的文物保护机构，负责该文物保护单位的日常保护管理工作。</w:t>
      </w:r>
    </w:p>
    <w:p>
      <w:pPr>
        <w:pStyle w:val="Style15"/>
        <w:widowControl w:val="false"/>
        <w:spacing w:lineRule="exact" w:line="593" w:before="0" w:after="0"/>
        <w:ind w:firstLineChars="200" w:startChars="0" w:start="0" w:endChars="0" w:end="0"/>
        <w:jc w:val="both"/>
        <w:rPr/>
      </w:pPr>
      <w:r>
        <w:rPr>
          <w:rFonts w:ascii="黑体;SimHei" w:hAnsi="黑体;SimHei" w:cs="微软雅黑" w:hint="eastAsia" w:eastAsia="黑体;SimHei"/>
          <w:color w:val="000000"/>
          <w:kern w:val="2"/>
          <w:sz w:val="32"/>
          <w:szCs w:val="32"/>
        </w:rPr>
        <w:t>第十六条</w:t>
      </w:r>
      <w:r>
        <w:rPr>
          <w:rFonts w:ascii="仿宋_GB2312" w:hAnsi="仿宋_GB2312" w:cs="微软雅黑" w:hint="eastAsia" w:eastAsia="仿宋_GB2312"/>
          <w:color w:val="000000"/>
          <w:kern w:val="2"/>
          <w:sz w:val="32"/>
          <w:szCs w:val="32"/>
        </w:rPr>
        <w:t xml:space="preserve">  除法律、法规另有规定外，在文物保护单位保护范围内禁止下列行为：</w:t>
      </w:r>
    </w:p>
    <w:p>
      <w:pPr>
        <w:pStyle w:val="Style15"/>
        <w:widowControl w:val="false"/>
        <w:spacing w:lineRule="exact" w:line="593" w:before="0" w:after="0"/>
        <w:ind w:firstLineChars="200" w:startChars="0" w:start="0" w:endChars="0" w:end="0"/>
        <w:jc w:val="both"/>
        <w:rPr>
          <w:rFonts w:ascii="仿宋_GB2312" w:hAnsi="仿宋_GB2312" w:eastAsia="仿宋_GB2312" w:cs="微软雅黑" w:hint="eastAsia"/>
          <w:color w:val="000000"/>
          <w:kern w:val="2"/>
          <w:sz w:val="32"/>
          <w:szCs w:val="32"/>
        </w:rPr>
      </w:pPr>
      <w:r>
        <w:rPr>
          <w:rFonts w:ascii="仿宋_GB2312" w:hAnsi="仿宋_GB2312" w:cs="微软雅黑" w:hint="eastAsia" w:eastAsia="仿宋_GB2312"/>
          <w:color w:val="000000"/>
          <w:kern w:val="2"/>
          <w:sz w:val="32"/>
          <w:szCs w:val="32"/>
        </w:rPr>
        <w:t>（一）在文物和文物保护单位标志上刻划、涂画、张贴；</w:t>
      </w:r>
    </w:p>
    <w:p>
      <w:pPr>
        <w:pStyle w:val="Style15"/>
        <w:widowControl w:val="false"/>
        <w:spacing w:lineRule="exact" w:line="593" w:before="0" w:after="0"/>
        <w:ind w:firstLineChars="200" w:startChars="0" w:start="0" w:endChars="0" w:end="0"/>
        <w:jc w:val="both"/>
        <w:rPr>
          <w:rFonts w:ascii="仿宋_GB2312" w:hAnsi="仿宋_GB2312" w:eastAsia="仿宋_GB2312" w:cs="微软雅黑" w:hint="eastAsia"/>
          <w:color w:val="000000"/>
          <w:kern w:val="2"/>
          <w:sz w:val="32"/>
          <w:szCs w:val="32"/>
        </w:rPr>
      </w:pPr>
      <w:r>
        <w:rPr>
          <w:rFonts w:ascii="仿宋_GB2312" w:hAnsi="仿宋_GB2312" w:cs="微软雅黑" w:hint="eastAsia" w:eastAsia="仿宋_GB2312"/>
          <w:color w:val="000000"/>
          <w:kern w:val="2"/>
          <w:sz w:val="32"/>
          <w:szCs w:val="32"/>
        </w:rPr>
        <w:t>（二）排放污水、挖砂取土取石、修建坟墓、堆放垃圾和其他可能损害文物安全的行为；</w:t>
      </w:r>
    </w:p>
    <w:p>
      <w:pPr>
        <w:pStyle w:val="Style15"/>
        <w:widowControl w:val="false"/>
        <w:spacing w:lineRule="exact" w:line="593" w:before="0" w:after="0"/>
        <w:ind w:firstLineChars="200" w:startChars="0" w:start="0" w:endChars="0" w:end="0"/>
        <w:jc w:val="both"/>
        <w:rPr>
          <w:rFonts w:ascii="仿宋_GB2312" w:hAnsi="仿宋_GB2312" w:eastAsia="仿宋_GB2312" w:cs="微软雅黑" w:hint="eastAsia"/>
          <w:color w:val="000000"/>
          <w:kern w:val="2"/>
          <w:sz w:val="32"/>
          <w:szCs w:val="32"/>
        </w:rPr>
      </w:pPr>
      <w:r>
        <w:rPr>
          <w:rFonts w:ascii="仿宋_GB2312" w:hAnsi="仿宋_GB2312" w:cs="微软雅黑" w:hint="eastAsia" w:eastAsia="仿宋_GB2312"/>
          <w:color w:val="000000"/>
          <w:kern w:val="2"/>
          <w:sz w:val="32"/>
          <w:szCs w:val="32"/>
        </w:rPr>
        <w:t>（三）存储易燃、易爆等危险物品；</w:t>
      </w:r>
    </w:p>
    <w:p>
      <w:pPr>
        <w:pStyle w:val="Style15"/>
        <w:widowControl w:val="false"/>
        <w:spacing w:lineRule="exact" w:line="593" w:before="0" w:after="0"/>
        <w:ind w:firstLineChars="200" w:startChars="0" w:start="0" w:endChars="0" w:end="0"/>
        <w:jc w:val="both"/>
        <w:rPr>
          <w:rFonts w:ascii="仿宋_GB2312" w:hAnsi="仿宋_GB2312" w:eastAsia="仿宋_GB2312" w:cs="微软雅黑" w:hint="eastAsia"/>
          <w:color w:val="000000"/>
          <w:kern w:val="2"/>
          <w:sz w:val="32"/>
          <w:szCs w:val="32"/>
        </w:rPr>
      </w:pPr>
      <w:r>
        <w:rPr>
          <w:rFonts w:ascii="仿宋_GB2312" w:hAnsi="仿宋_GB2312" w:cs="微软雅黑" w:hint="eastAsia" w:eastAsia="仿宋_GB2312"/>
          <w:color w:val="000000"/>
          <w:kern w:val="2"/>
          <w:sz w:val="32"/>
          <w:szCs w:val="32"/>
        </w:rPr>
        <w:t>（四）设置户外广告设施，修建人造景点和其他与文物保护无关的工程。</w:t>
      </w:r>
    </w:p>
    <w:p>
      <w:pPr>
        <w:pStyle w:val="Style15"/>
        <w:widowControl w:val="false"/>
        <w:spacing w:lineRule="exact" w:line="593" w:before="0" w:after="0"/>
        <w:ind w:firstLineChars="200" w:startChars="0" w:start="0" w:endChars="0" w:end="0"/>
        <w:jc w:val="both"/>
        <w:rPr/>
      </w:pPr>
      <w:r>
        <w:rPr>
          <w:rFonts w:ascii="黑体;SimHei" w:hAnsi="黑体;SimHei" w:cs="微软雅黑" w:hint="eastAsia" w:eastAsia="黑体;SimHei"/>
          <w:color w:val="000000"/>
          <w:kern w:val="2"/>
          <w:sz w:val="32"/>
          <w:szCs w:val="32"/>
        </w:rPr>
        <w:t>第十七条</w:t>
      </w:r>
      <w:r>
        <w:rPr>
          <w:rFonts w:ascii="仿宋_GB2312" w:hAnsi="仿宋_GB2312" w:cs="微软雅黑" w:hint="eastAsia" w:eastAsia="仿宋_GB2312"/>
          <w:color w:val="000000"/>
          <w:kern w:val="2"/>
          <w:sz w:val="32"/>
          <w:szCs w:val="32"/>
        </w:rPr>
        <w:t xml:space="preserve">  根据文物保护的实际需要，可以由文物行政主管部门会同规划行政管理部门在文物保护单位保护范围外，划定文物保护单位的建设控制地带，并按照法定程序报批。</w:t>
      </w:r>
    </w:p>
    <w:p>
      <w:pPr>
        <w:pStyle w:val="Style15"/>
        <w:widowControl w:val="false"/>
        <w:spacing w:lineRule="exact" w:line="593" w:before="0" w:after="0"/>
        <w:ind w:firstLineChars="200" w:startChars="0" w:start="0" w:endChars="0" w:end="0"/>
        <w:jc w:val="both"/>
        <w:rPr>
          <w:rFonts w:ascii="仿宋_GB2312" w:hAnsi="仿宋_GB2312" w:eastAsia="仿宋_GB2312" w:cs="微软雅黑" w:hint="eastAsia"/>
          <w:color w:val="000000"/>
          <w:kern w:val="2"/>
          <w:sz w:val="32"/>
          <w:szCs w:val="32"/>
        </w:rPr>
      </w:pPr>
      <w:r>
        <w:rPr>
          <w:rFonts w:ascii="仿宋_GB2312" w:hAnsi="仿宋_GB2312" w:cs="微软雅黑" w:hint="eastAsia" w:eastAsia="仿宋_GB2312"/>
          <w:color w:val="000000"/>
          <w:kern w:val="2"/>
          <w:sz w:val="32"/>
          <w:szCs w:val="32"/>
        </w:rPr>
        <w:t>文物保护单位的建设控制地带应当设置保护标志和界碑。</w:t>
      </w:r>
    </w:p>
    <w:p>
      <w:pPr>
        <w:pStyle w:val="Style15"/>
        <w:widowControl w:val="false"/>
        <w:spacing w:lineRule="exact" w:line="593" w:before="0" w:after="0"/>
        <w:ind w:firstLineChars="200" w:startChars="0" w:start="0" w:endChars="0" w:end="0"/>
        <w:jc w:val="both"/>
        <w:rPr/>
      </w:pPr>
      <w:r>
        <w:rPr>
          <w:rFonts w:ascii="黑体;SimHei" w:hAnsi="黑体;SimHei" w:cs="微软雅黑" w:hint="eastAsia" w:eastAsia="黑体;SimHei"/>
          <w:color w:val="000000"/>
          <w:kern w:val="2"/>
          <w:sz w:val="32"/>
          <w:szCs w:val="32"/>
        </w:rPr>
        <w:t>第十八条</w:t>
      </w:r>
      <w:r>
        <w:rPr>
          <w:rFonts w:ascii="仿宋_GB2312" w:hAnsi="仿宋_GB2312" w:cs="微软雅黑" w:hint="eastAsia" w:eastAsia="仿宋_GB2312"/>
          <w:color w:val="000000"/>
          <w:kern w:val="2"/>
          <w:sz w:val="32"/>
          <w:szCs w:val="32"/>
        </w:rPr>
        <w:t xml:space="preserve">  市、县级文物保护单位灭失、损毁，且不具备遗址保护价值的，由文物行政主管部门认定后，报本级人民政府核定予以公布撤销。本级人民政府在做出撤销决定前，应当事先进行论证或者听证，听取有关专家和公众的意见，并征得上一级文物行政主管部门同意。</w:t>
      </w:r>
    </w:p>
    <w:p>
      <w:pPr>
        <w:pStyle w:val="Normal"/>
        <w:spacing w:lineRule="exact" w:line="593"/>
        <w:ind w:firstLineChars="200" w:startChars="0" w:start="0" w:endChars="0" w:end="0"/>
        <w:rPr>
          <w:rFonts w:ascii="仿宋_GB2312" w:hAnsi="仿宋_GB2312" w:eastAsia="仿宋_GB2312" w:cs="微软雅黑" w:hint="eastAsia"/>
          <w:color w:val="000000"/>
          <w:sz w:val="32"/>
          <w:szCs w:val="32"/>
        </w:rPr>
      </w:pPr>
      <w:r>
        <w:rPr>
          <w:rFonts w:ascii="仿宋_GB2312" w:hAnsi="仿宋_GB2312" w:cs="微软雅黑" w:hint="eastAsia" w:eastAsia="仿宋_GB2312"/>
          <w:color w:val="000000"/>
          <w:sz w:val="32"/>
          <w:szCs w:val="32"/>
        </w:rPr>
        <w:t>市、县级文物保护单位历史、艺术、科学价值严重减损的，按照文物保护单位定级的程序重新确定等级。</w:t>
      </w:r>
    </w:p>
    <w:p>
      <w:pPr>
        <w:pStyle w:val="Normal"/>
        <w:spacing w:lineRule="exact" w:line="593"/>
        <w:ind w:firstLineChars="200" w:startChars="0" w:start="0" w:endChars="0" w:end="0"/>
        <w:rPr>
          <w:rFonts w:ascii="仿宋_GB2312" w:hAnsi="仿宋_GB2312" w:eastAsia="仿宋_GB2312" w:cs="微软雅黑" w:hint="eastAsia"/>
          <w:color w:val="000000"/>
          <w:sz w:val="32"/>
          <w:szCs w:val="32"/>
        </w:rPr>
      </w:pPr>
      <w:r>
        <w:rPr>
          <w:rFonts w:eastAsia="仿宋_GB2312" w:cs="微软雅黑" w:hint="eastAsia" w:ascii="仿宋_GB2312" w:hAnsi="仿宋_GB2312"/>
          <w:color w:val="000000"/>
          <w:sz w:val="32"/>
          <w:szCs w:val="32"/>
        </w:rPr>
      </w:r>
    </w:p>
    <w:p>
      <w:pPr>
        <w:pStyle w:val="Normal"/>
        <w:spacing w:lineRule="exact" w:line="593"/>
        <w:jc w:val="center"/>
        <w:rPr>
          <w:rFonts w:ascii="黑体;SimHei" w:hAnsi="黑体;SimHei" w:eastAsia="黑体;SimHei" w:cs="宋体;SimSun" w:hint="eastAsia"/>
          <w:color w:val="000000"/>
          <w:sz w:val="32"/>
          <w:szCs w:val="32"/>
        </w:rPr>
      </w:pPr>
      <w:r>
        <w:rPr>
          <w:rFonts w:ascii="黑体;SimHei" w:hAnsi="黑体;SimHei" w:cs="宋体;SimSun" w:hint="eastAsia" w:eastAsia="黑体;SimHei"/>
          <w:color w:val="000000"/>
          <w:sz w:val="32"/>
          <w:szCs w:val="32"/>
        </w:rPr>
        <w:t>第三章  一般不可移动文物</w:t>
      </w:r>
    </w:p>
    <w:p>
      <w:pPr>
        <w:pStyle w:val="Normal"/>
        <w:spacing w:lineRule="exact" w:line="593"/>
        <w:ind w:firstLineChars="200" w:startChars="0" w:start="0" w:endChars="0" w:end="0"/>
        <w:jc w:val="center"/>
        <w:rPr>
          <w:rFonts w:ascii="黑体;SimHei" w:hAnsi="黑体;SimHei" w:eastAsia="黑体;SimHei" w:cs="宋体;SimSun" w:hint="eastAsia"/>
          <w:color w:val="000000"/>
          <w:sz w:val="32"/>
          <w:szCs w:val="32"/>
        </w:rPr>
      </w:pPr>
      <w:r>
        <w:rPr>
          <w:rFonts w:eastAsia="黑体;SimHei" w:cs="宋体;SimSun" w:hint="eastAsia" w:ascii="黑体;SimHei" w:hAnsi="黑体;SimHei"/>
          <w:color w:val="000000"/>
          <w:sz w:val="32"/>
          <w:szCs w:val="32"/>
        </w:rPr>
      </w:r>
    </w:p>
    <w:p>
      <w:pPr>
        <w:pStyle w:val="Style15"/>
        <w:widowControl w:val="false"/>
        <w:spacing w:lineRule="exact" w:line="593" w:before="0" w:after="0"/>
        <w:ind w:firstLineChars="200" w:startChars="0" w:start="0" w:endChars="0" w:end="0"/>
        <w:jc w:val="both"/>
        <w:rPr/>
      </w:pPr>
      <w:r>
        <w:rPr>
          <w:rFonts w:ascii="黑体;SimHei" w:hAnsi="黑体;SimHei" w:cs="微软雅黑" w:hint="eastAsia" w:eastAsia="黑体;SimHei"/>
          <w:color w:val="000000"/>
          <w:kern w:val="2"/>
          <w:sz w:val="32"/>
          <w:szCs w:val="32"/>
        </w:rPr>
        <w:t>第十九条</w:t>
      </w:r>
      <w:r>
        <w:rPr>
          <w:rFonts w:ascii="仿宋_GB2312" w:hAnsi="仿宋_GB2312" w:cs="微软雅黑" w:hint="eastAsia" w:eastAsia="仿宋_GB2312"/>
          <w:color w:val="000000"/>
          <w:kern w:val="2"/>
          <w:sz w:val="32"/>
          <w:szCs w:val="32"/>
        </w:rPr>
        <w:t xml:space="preserve">  一般不可移动文物是指尚未核定公布为文物保护单位的不可移动文物。</w:t>
      </w:r>
    </w:p>
    <w:p>
      <w:pPr>
        <w:pStyle w:val="Style15"/>
        <w:widowControl w:val="false"/>
        <w:spacing w:lineRule="exact" w:line="593" w:before="0" w:after="0"/>
        <w:ind w:firstLineChars="200" w:startChars="0" w:start="0" w:endChars="0" w:end="0"/>
        <w:jc w:val="both"/>
        <w:rPr>
          <w:rFonts w:ascii="仿宋_GB2312" w:hAnsi="仿宋_GB2312" w:eastAsia="仿宋_GB2312" w:cs="微软雅黑" w:hint="eastAsia"/>
          <w:color w:val="000000"/>
          <w:kern w:val="2"/>
          <w:sz w:val="32"/>
          <w:szCs w:val="32"/>
        </w:rPr>
      </w:pPr>
      <w:r>
        <w:rPr>
          <w:rFonts w:ascii="仿宋_GB2312" w:hAnsi="仿宋_GB2312" w:cs="微软雅黑" w:hint="eastAsia" w:eastAsia="仿宋_GB2312"/>
          <w:color w:val="000000"/>
          <w:kern w:val="2"/>
          <w:sz w:val="32"/>
          <w:szCs w:val="32"/>
        </w:rPr>
        <w:t>一般不可移动文物由区县文物行政主管部门或者开发区管理委员会予以登记并公布。</w:t>
      </w:r>
    </w:p>
    <w:p>
      <w:pPr>
        <w:pStyle w:val="Style15"/>
        <w:widowControl w:val="false"/>
        <w:spacing w:lineRule="exact" w:line="593" w:before="0" w:after="0"/>
        <w:ind w:firstLineChars="200" w:startChars="0" w:start="0" w:endChars="0" w:end="0"/>
        <w:jc w:val="both"/>
        <w:rPr/>
      </w:pPr>
      <w:r>
        <w:rPr>
          <w:rFonts w:ascii="黑体;SimHei" w:hAnsi="黑体;SimHei" w:cs="微软雅黑" w:hint="eastAsia" w:eastAsia="黑体;SimHei"/>
          <w:color w:val="000000"/>
          <w:kern w:val="2"/>
          <w:sz w:val="32"/>
          <w:szCs w:val="32"/>
        </w:rPr>
        <w:t>第二十条</w:t>
      </w:r>
      <w:r>
        <w:rPr>
          <w:rFonts w:ascii="仿宋_GB2312" w:hAnsi="仿宋_GB2312" w:cs="微软雅黑" w:hint="eastAsia" w:eastAsia="仿宋_GB2312"/>
          <w:color w:val="000000"/>
          <w:kern w:val="2"/>
          <w:sz w:val="32"/>
          <w:szCs w:val="32"/>
        </w:rPr>
        <w:t xml:space="preserve">  区县文物行政主管部门和开发区管理委员会应当完善一般不可移动文物登记、公布制度，每年应当对已公布的一般不可移动文物进行核查登记，向社会公布本区域范围内的一般不可移动文物清单，并报市文物行政主管部门备案。</w:t>
      </w:r>
    </w:p>
    <w:p>
      <w:pPr>
        <w:pStyle w:val="Style15"/>
        <w:widowControl w:val="false"/>
        <w:spacing w:lineRule="exact" w:line="593" w:before="0" w:after="0"/>
        <w:ind w:firstLineChars="200" w:startChars="0" w:start="0" w:endChars="0" w:end="0"/>
        <w:jc w:val="both"/>
        <w:rPr>
          <w:rFonts w:ascii="仿宋_GB2312" w:hAnsi="仿宋_GB2312" w:eastAsia="仿宋_GB2312" w:cs="微软雅黑" w:hint="eastAsia"/>
          <w:color w:val="000000"/>
          <w:kern w:val="2"/>
          <w:sz w:val="32"/>
          <w:szCs w:val="32"/>
        </w:rPr>
      </w:pPr>
      <w:r>
        <w:rPr>
          <w:rFonts w:ascii="仿宋_GB2312" w:hAnsi="仿宋_GB2312" w:cs="微软雅黑" w:hint="eastAsia" w:eastAsia="仿宋_GB2312"/>
          <w:color w:val="000000"/>
          <w:kern w:val="2"/>
          <w:sz w:val="32"/>
          <w:szCs w:val="32"/>
        </w:rPr>
        <w:t>一般不可移动文物登记和公布的内容包括文物名称、文物年代、文物地址、本体构成、权属性质、保存现状、保护设施、责任主体、保护措施、管理和监管部门、登记日期、登记机关等。</w:t>
      </w:r>
    </w:p>
    <w:p>
      <w:pPr>
        <w:pStyle w:val="Style15"/>
        <w:widowControl w:val="false"/>
        <w:spacing w:lineRule="exact" w:line="593" w:before="0" w:after="0"/>
        <w:ind w:firstLineChars="200" w:startChars="0" w:start="0" w:endChars="0" w:end="0"/>
        <w:jc w:val="both"/>
        <w:rPr/>
      </w:pPr>
      <w:r>
        <w:rPr>
          <w:rFonts w:ascii="黑体;SimHei" w:hAnsi="黑体;SimHei" w:cs="微软雅黑" w:hint="eastAsia" w:eastAsia="黑体;SimHei"/>
          <w:color w:val="000000"/>
          <w:kern w:val="2"/>
          <w:sz w:val="32"/>
          <w:szCs w:val="32"/>
        </w:rPr>
        <w:t>第二十一条</w:t>
      </w:r>
      <w:r>
        <w:rPr>
          <w:rFonts w:ascii="仿宋_GB2312" w:hAnsi="仿宋_GB2312" w:cs="微软雅黑" w:hint="eastAsia" w:eastAsia="仿宋_GB2312"/>
          <w:color w:val="000000"/>
          <w:kern w:val="2"/>
          <w:sz w:val="32"/>
          <w:szCs w:val="32"/>
        </w:rPr>
        <w:t xml:space="preserve">  区县文物行政主管部门和开发区管理委员会可以成立由文物、文化、规划、建设、房管、民政、宗教、地方志等部门，以及专家和公众代表组成的文物审查委员会，对一般不可移动文物的价值进行研究，提出保护措施建议。</w:t>
      </w:r>
    </w:p>
    <w:p>
      <w:pPr>
        <w:pStyle w:val="Style15"/>
        <w:widowControl w:val="false"/>
        <w:spacing w:lineRule="exact" w:line="593" w:before="0" w:after="0"/>
        <w:ind w:firstLineChars="200" w:startChars="0" w:start="0" w:endChars="0" w:end="0"/>
        <w:jc w:val="both"/>
        <w:rPr/>
      </w:pPr>
      <w:r>
        <w:rPr>
          <w:rFonts w:ascii="黑体;SimHei" w:hAnsi="黑体;SimHei" w:cs="微软雅黑" w:hint="eastAsia" w:eastAsia="黑体;SimHei"/>
          <w:color w:val="000000"/>
          <w:kern w:val="2"/>
          <w:sz w:val="32"/>
          <w:szCs w:val="32"/>
        </w:rPr>
        <w:t>第二十二条</w:t>
      </w:r>
      <w:r>
        <w:rPr>
          <w:rFonts w:ascii="仿宋_GB2312" w:hAnsi="仿宋_GB2312" w:cs="微软雅黑" w:hint="eastAsia" w:eastAsia="仿宋_GB2312"/>
          <w:color w:val="000000"/>
          <w:kern w:val="2"/>
          <w:sz w:val="32"/>
          <w:szCs w:val="32"/>
        </w:rPr>
        <w:t xml:space="preserve">  区县文物行政主管部门和开发区管理委员会应当根据一般不可移动文物的保护需要及文物审查委员会提出的保护措施建议，制定具体保护措施，并公告施行。</w:t>
      </w:r>
    </w:p>
    <w:p>
      <w:pPr>
        <w:pStyle w:val="Style15"/>
        <w:widowControl w:val="false"/>
        <w:spacing w:lineRule="exact" w:line="593" w:before="0" w:after="0"/>
        <w:ind w:firstLineChars="200" w:startChars="0" w:start="0" w:endChars="0" w:end="0"/>
        <w:jc w:val="both"/>
        <w:rPr/>
      </w:pPr>
      <w:r>
        <w:rPr>
          <w:rFonts w:ascii="黑体;SimHei" w:hAnsi="黑体;SimHei" w:cs="微软雅黑" w:hint="eastAsia" w:eastAsia="黑体;SimHei"/>
          <w:color w:val="000000"/>
          <w:kern w:val="2"/>
          <w:sz w:val="32"/>
          <w:szCs w:val="32"/>
        </w:rPr>
        <w:t>第二十三条</w:t>
      </w:r>
      <w:r>
        <w:rPr>
          <w:rFonts w:ascii="仿宋_GB2312" w:hAnsi="仿宋_GB2312" w:cs="微软雅黑" w:hint="eastAsia" w:eastAsia="仿宋_GB2312"/>
          <w:color w:val="000000"/>
          <w:kern w:val="2"/>
          <w:sz w:val="32"/>
          <w:szCs w:val="32"/>
        </w:rPr>
        <w:t xml:space="preserve">  已登记公布的一般不可移动文物，由区县文物行政主管部门或者开发区管理委员会建立资料档案，设立保护标志，明确保护管理责任人并书面告知其法定的权利和义务。</w:t>
      </w:r>
    </w:p>
    <w:p>
      <w:pPr>
        <w:pStyle w:val="Style15"/>
        <w:widowControl w:val="false"/>
        <w:spacing w:lineRule="exact" w:line="593" w:before="0" w:after="0"/>
        <w:ind w:firstLineChars="200" w:startChars="0" w:start="0" w:endChars="0" w:end="0"/>
        <w:jc w:val="both"/>
        <w:rPr/>
      </w:pPr>
      <w:r>
        <w:rPr>
          <w:rFonts w:ascii="黑体;SimHei" w:hAnsi="黑体;SimHei" w:cs="微软雅黑" w:hint="eastAsia" w:eastAsia="黑体;SimHei"/>
          <w:color w:val="000000"/>
          <w:kern w:val="2"/>
          <w:sz w:val="32"/>
          <w:szCs w:val="32"/>
        </w:rPr>
        <w:t>第二十四条</w:t>
      </w:r>
      <w:r>
        <w:rPr>
          <w:rFonts w:ascii="仿宋_GB2312" w:hAnsi="仿宋_GB2312" w:cs="微软雅黑" w:hint="eastAsia" w:eastAsia="仿宋_GB2312"/>
          <w:color w:val="000000"/>
          <w:kern w:val="2"/>
          <w:sz w:val="32"/>
          <w:szCs w:val="32"/>
        </w:rPr>
        <w:t xml:space="preserve">  国有一般不可移动文物的使用人和非国有一般不可移动文物的所有人，是一般不可移动文物的保护管理责任人。</w:t>
      </w:r>
    </w:p>
    <w:p>
      <w:pPr>
        <w:pStyle w:val="Style15"/>
        <w:widowControl w:val="false"/>
        <w:spacing w:lineRule="exact" w:line="593" w:before="0" w:after="0"/>
        <w:ind w:firstLineChars="200" w:startChars="0" w:start="0" w:endChars="0" w:end="0"/>
        <w:jc w:val="both"/>
        <w:rPr>
          <w:rFonts w:ascii="仿宋_GB2312" w:hAnsi="仿宋_GB2312" w:eastAsia="仿宋_GB2312" w:cs="微软雅黑" w:hint="eastAsia"/>
          <w:color w:val="000000"/>
          <w:kern w:val="2"/>
          <w:sz w:val="32"/>
          <w:szCs w:val="32"/>
        </w:rPr>
      </w:pPr>
      <w:r>
        <w:rPr>
          <w:rFonts w:ascii="仿宋_GB2312" w:hAnsi="仿宋_GB2312" w:cs="微软雅黑" w:hint="eastAsia" w:eastAsia="仿宋_GB2312"/>
          <w:color w:val="000000"/>
          <w:kern w:val="2"/>
          <w:sz w:val="32"/>
          <w:szCs w:val="32"/>
        </w:rPr>
        <w:t>区县文物行政主管部门或者开发区管理委员会应当与一般不可移动文物的保护管理责任人签订文物保护责任书。文物保护责任书应当载明保护管理责任人的保护管理义务和依法获得政府及其文物行政主管部门、开发区管理委员会的指导、帮助、资助等权利。</w:t>
      </w:r>
    </w:p>
    <w:p>
      <w:pPr>
        <w:pStyle w:val="Style15"/>
        <w:widowControl w:val="false"/>
        <w:spacing w:lineRule="exact" w:line="593" w:before="0" w:after="0"/>
        <w:ind w:firstLineChars="200" w:startChars="0" w:start="0" w:endChars="0" w:end="0"/>
        <w:jc w:val="both"/>
        <w:rPr/>
      </w:pPr>
      <w:r>
        <w:rPr>
          <w:rFonts w:ascii="黑体;SimHei" w:hAnsi="黑体;SimHei" w:cs="微软雅黑" w:hint="eastAsia" w:eastAsia="黑体;SimHei"/>
          <w:color w:val="000000"/>
          <w:kern w:val="2"/>
          <w:sz w:val="32"/>
          <w:szCs w:val="32"/>
        </w:rPr>
        <w:t>第二十五条</w:t>
      </w:r>
      <w:r>
        <w:rPr>
          <w:rFonts w:ascii="仿宋_GB2312" w:hAnsi="仿宋_GB2312" w:cs="微软雅黑" w:hint="eastAsia" w:eastAsia="仿宋_GB2312"/>
          <w:color w:val="000000"/>
          <w:kern w:val="2"/>
          <w:sz w:val="32"/>
          <w:szCs w:val="32"/>
        </w:rPr>
        <w:t xml:space="preserve">  国有一般不可移动文物由区县文物行政主管部门或者开发区管理委员会和一般不可移动文物的使用人签订文物保护责任书。没有使用人的，由区县文物行政主管部门或者开发区管理委员会与不可移动文物所在国有土地的使用权人或者集体土地的所有权人签订文物保护责任书。无法确定保护管理责任人的，由区县文物行政主管部门或者开发区管理委员会负责管理。</w:t>
      </w:r>
    </w:p>
    <w:p>
      <w:pPr>
        <w:pStyle w:val="Style15"/>
        <w:widowControl w:val="false"/>
        <w:spacing w:lineRule="exact" w:line="593" w:before="0" w:after="0"/>
        <w:ind w:firstLineChars="200" w:startChars="0" w:start="0" w:endChars="0" w:end="0"/>
        <w:jc w:val="both"/>
        <w:rPr>
          <w:rFonts w:ascii="仿宋_GB2312" w:hAnsi="仿宋_GB2312" w:eastAsia="仿宋_GB2312" w:cs="微软雅黑" w:hint="eastAsia"/>
          <w:color w:val="000000"/>
          <w:kern w:val="2"/>
          <w:sz w:val="32"/>
          <w:szCs w:val="32"/>
        </w:rPr>
      </w:pPr>
      <w:r>
        <w:rPr>
          <w:rFonts w:ascii="仿宋_GB2312" w:hAnsi="仿宋_GB2312" w:cs="微软雅黑" w:hint="eastAsia" w:eastAsia="仿宋_GB2312"/>
          <w:color w:val="000000"/>
          <w:kern w:val="2"/>
          <w:sz w:val="32"/>
          <w:szCs w:val="32"/>
        </w:rPr>
        <w:t>非国有一般不可移动文物，由区县文物行政主管部门或者开发区管理委员会与文物所有人签订文物保护责任书。</w:t>
      </w:r>
    </w:p>
    <w:p>
      <w:pPr>
        <w:pStyle w:val="Style15"/>
        <w:widowControl w:val="false"/>
        <w:spacing w:lineRule="exact" w:line="593" w:before="0" w:after="0"/>
        <w:ind w:firstLineChars="200" w:startChars="0" w:start="0" w:endChars="0" w:end="0"/>
        <w:jc w:val="both"/>
        <w:rPr/>
      </w:pPr>
      <w:r>
        <w:rPr>
          <w:rFonts w:ascii="黑体;SimHei" w:hAnsi="黑体;SimHei" w:cs="微软雅黑" w:hint="eastAsia" w:eastAsia="黑体;SimHei"/>
          <w:color w:val="000000"/>
          <w:kern w:val="2"/>
          <w:sz w:val="32"/>
          <w:szCs w:val="32"/>
        </w:rPr>
        <w:t>第二十六条</w:t>
      </w:r>
      <w:r>
        <w:rPr>
          <w:rFonts w:ascii="仿宋_GB2312" w:hAnsi="仿宋_GB2312" w:cs="微软雅黑" w:hint="eastAsia" w:eastAsia="仿宋_GB2312"/>
          <w:color w:val="000000"/>
          <w:kern w:val="2"/>
          <w:sz w:val="32"/>
          <w:szCs w:val="32"/>
        </w:rPr>
        <w:t xml:space="preserve">  一般不可移动文物的保护管理责任人发生变更时，保护管理责任人应当在十个工作日内到与其签订文物保护责任书的文物行政主管部门或者开发区管理委员会办理保护管理责任转移手续。</w:t>
      </w:r>
    </w:p>
    <w:p>
      <w:pPr>
        <w:pStyle w:val="Style15"/>
        <w:widowControl w:val="false"/>
        <w:spacing w:lineRule="exact" w:line="593" w:before="0" w:after="0"/>
        <w:ind w:firstLineChars="200" w:startChars="0" w:start="0" w:endChars="0" w:end="0"/>
        <w:jc w:val="both"/>
        <w:rPr/>
      </w:pPr>
      <w:r>
        <w:rPr>
          <w:rFonts w:ascii="黑体;SimHei" w:hAnsi="黑体;SimHei" w:cs="微软雅黑" w:hint="eastAsia" w:eastAsia="黑体;SimHei"/>
          <w:color w:val="000000"/>
          <w:kern w:val="2"/>
          <w:sz w:val="32"/>
          <w:szCs w:val="32"/>
        </w:rPr>
        <w:t>第二十七条</w:t>
      </w:r>
      <w:r>
        <w:rPr>
          <w:rFonts w:ascii="仿宋_GB2312" w:hAnsi="仿宋_GB2312" w:cs="微软雅黑" w:hint="eastAsia" w:eastAsia="仿宋_GB2312"/>
          <w:color w:val="000000"/>
          <w:kern w:val="2"/>
          <w:sz w:val="32"/>
          <w:szCs w:val="32"/>
        </w:rPr>
        <w:t xml:space="preserve">  一般不可移动文物，不得擅自迁移、拆除。因建设工程确需迁移、拆除的，由建设单位依法逐级向省人民政府报请批准。</w:t>
      </w:r>
    </w:p>
    <w:p>
      <w:pPr>
        <w:pStyle w:val="Style15"/>
        <w:widowControl w:val="false"/>
        <w:spacing w:lineRule="exact" w:line="593" w:before="0" w:after="0"/>
        <w:ind w:firstLineChars="200" w:startChars="0" w:start="0" w:endChars="0" w:end="0"/>
        <w:jc w:val="both"/>
        <w:rPr>
          <w:rFonts w:ascii="仿宋_GB2312" w:hAnsi="仿宋_GB2312" w:eastAsia="仿宋_GB2312" w:cs="微软雅黑" w:hint="eastAsia"/>
          <w:color w:val="000000"/>
          <w:kern w:val="2"/>
          <w:sz w:val="32"/>
          <w:szCs w:val="32"/>
        </w:rPr>
      </w:pPr>
      <w:r>
        <w:rPr>
          <w:rFonts w:ascii="仿宋_GB2312" w:hAnsi="仿宋_GB2312" w:cs="微软雅黑" w:hint="eastAsia" w:eastAsia="仿宋_GB2312"/>
          <w:color w:val="000000"/>
          <w:kern w:val="2"/>
          <w:sz w:val="32"/>
          <w:szCs w:val="32"/>
        </w:rPr>
        <w:t>迁移一般不可移动文物，应当事先制定异地迁移保护方案。拆除一般不可移动文物，属于古文化遗址、古墓葬的，应当进行考古发掘。拆除的国有一般不可移动文物中具有收藏价值的壁画、雕塑、建筑构件等，由文物行政主管部门指定国有博物馆收藏。</w:t>
      </w:r>
    </w:p>
    <w:p>
      <w:pPr>
        <w:pStyle w:val="Style15"/>
        <w:widowControl w:val="false"/>
        <w:spacing w:lineRule="exact" w:line="593" w:before="0" w:after="0"/>
        <w:ind w:firstLineChars="200" w:startChars="0" w:start="0" w:endChars="0" w:end="0"/>
        <w:jc w:val="both"/>
        <w:rPr>
          <w:rFonts w:ascii="仿宋_GB2312" w:hAnsi="仿宋_GB2312" w:eastAsia="仿宋_GB2312" w:cs="微软雅黑" w:hint="eastAsia"/>
          <w:color w:val="000000"/>
          <w:kern w:val="2"/>
          <w:sz w:val="32"/>
          <w:szCs w:val="32"/>
        </w:rPr>
      </w:pPr>
      <w:r>
        <w:rPr>
          <w:rFonts w:ascii="仿宋_GB2312" w:hAnsi="仿宋_GB2312" w:cs="微软雅黑" w:hint="eastAsia" w:eastAsia="仿宋_GB2312"/>
          <w:color w:val="000000"/>
          <w:kern w:val="2"/>
          <w:sz w:val="32"/>
          <w:szCs w:val="32"/>
        </w:rPr>
        <w:t>迁移、拆除所需费用，由建设单位列入建设工程预算。</w:t>
      </w:r>
    </w:p>
    <w:p>
      <w:pPr>
        <w:pStyle w:val="Style15"/>
        <w:widowControl w:val="false"/>
        <w:spacing w:lineRule="exact" w:line="593" w:before="0" w:after="0"/>
        <w:ind w:firstLineChars="200" w:startChars="0" w:start="0" w:endChars="0" w:end="0"/>
        <w:jc w:val="both"/>
        <w:rPr/>
      </w:pPr>
      <w:r>
        <w:rPr>
          <w:rFonts w:ascii="黑体;SimHei" w:hAnsi="黑体;SimHei" w:cs="微软雅黑" w:hint="eastAsia" w:eastAsia="黑体;SimHei"/>
          <w:color w:val="000000"/>
          <w:kern w:val="2"/>
          <w:sz w:val="32"/>
          <w:szCs w:val="32"/>
        </w:rPr>
        <w:t>第二十八条</w:t>
      </w:r>
      <w:r>
        <w:rPr>
          <w:rFonts w:ascii="仿宋_GB2312" w:hAnsi="仿宋_GB2312" w:cs="微软雅黑" w:hint="eastAsia" w:eastAsia="仿宋_GB2312"/>
          <w:color w:val="000000"/>
          <w:kern w:val="2"/>
          <w:sz w:val="32"/>
          <w:szCs w:val="32"/>
        </w:rPr>
        <w:t xml:space="preserve">  为一般不可移动文物配备安防、消防、防雷等安全保护装置或者设施，应当符合相关法律、法规和技术标准、规范的规定，保证文物本体的安全，保持整体环境风貌。</w:t>
      </w:r>
    </w:p>
    <w:p>
      <w:pPr>
        <w:pStyle w:val="Style15"/>
        <w:widowControl w:val="false"/>
        <w:spacing w:lineRule="exact" w:line="593" w:before="0" w:after="0"/>
        <w:ind w:firstLineChars="200" w:startChars="0" w:start="0" w:endChars="0" w:end="0"/>
        <w:jc w:val="both"/>
        <w:rPr/>
      </w:pPr>
      <w:r>
        <w:rPr>
          <w:rFonts w:ascii="黑体;SimHei" w:hAnsi="黑体;SimHei" w:cs="微软雅黑" w:hint="eastAsia" w:eastAsia="黑体;SimHei"/>
          <w:color w:val="000000"/>
          <w:kern w:val="2"/>
          <w:sz w:val="32"/>
          <w:szCs w:val="32"/>
        </w:rPr>
        <w:t>第二十九条</w:t>
      </w:r>
      <w:r>
        <w:rPr>
          <w:rFonts w:ascii="仿宋_GB2312" w:hAnsi="仿宋_GB2312" w:cs="微软雅黑" w:hint="eastAsia" w:eastAsia="仿宋_GB2312"/>
          <w:color w:val="000000"/>
          <w:kern w:val="2"/>
          <w:sz w:val="32"/>
          <w:szCs w:val="32"/>
        </w:rPr>
        <w:t xml:space="preserve">  修缮一般不可移动文物，保护管理责任人应当遵守不改变文物原状的原则，编制修缮方案，并报登记的区县文物行政主管部门或者开发区管理委员会批准。修缮方案变更的，应当报原批准机关重新批准。</w:t>
      </w:r>
    </w:p>
    <w:p>
      <w:pPr>
        <w:pStyle w:val="Style15"/>
        <w:widowControl w:val="false"/>
        <w:spacing w:lineRule="exact" w:line="593" w:before="0" w:after="0"/>
        <w:ind w:firstLineChars="200" w:startChars="0" w:start="0" w:endChars="0" w:end="0"/>
        <w:jc w:val="both"/>
        <w:rPr>
          <w:rFonts w:ascii="仿宋_GB2312" w:hAnsi="仿宋_GB2312" w:eastAsia="仿宋_GB2312" w:cs="微软雅黑" w:hint="eastAsia"/>
          <w:color w:val="000000"/>
          <w:kern w:val="2"/>
          <w:sz w:val="32"/>
          <w:szCs w:val="32"/>
        </w:rPr>
      </w:pPr>
      <w:r>
        <w:rPr>
          <w:rFonts w:ascii="仿宋_GB2312" w:hAnsi="仿宋_GB2312" w:cs="微软雅黑" w:hint="eastAsia" w:eastAsia="仿宋_GB2312"/>
          <w:color w:val="000000"/>
          <w:kern w:val="2"/>
          <w:sz w:val="32"/>
          <w:szCs w:val="32"/>
        </w:rPr>
        <w:t>国有一般不可移动文物由使用人负责修缮；非国有一般不可移动文物由所有人负责修缮。非国有一般不可移动文物有损毁危险，所有人不具备修缮能力的，所在区县人民政府或者开发区管理委员会应当给予帮助；所有人具备修缮能力而拒不依法履行修缮义务的，所在区县人民政府或者开发区管理委员会可以给予抢救修缮，所需费用由所有人承担。</w:t>
      </w:r>
    </w:p>
    <w:p>
      <w:pPr>
        <w:pStyle w:val="Style15"/>
        <w:widowControl w:val="false"/>
        <w:spacing w:lineRule="exact" w:line="593" w:before="0" w:after="0"/>
        <w:ind w:firstLineChars="200" w:startChars="0" w:start="0" w:endChars="0" w:end="0"/>
        <w:jc w:val="both"/>
        <w:rPr/>
      </w:pPr>
      <w:r>
        <w:rPr>
          <w:rFonts w:ascii="黑体;SimHei" w:hAnsi="黑体;SimHei" w:cs="微软雅黑" w:hint="eastAsia" w:eastAsia="黑体;SimHei"/>
          <w:color w:val="000000"/>
          <w:kern w:val="2"/>
          <w:sz w:val="32"/>
          <w:szCs w:val="32"/>
        </w:rPr>
        <w:t>第三十条</w:t>
      </w:r>
      <w:r>
        <w:rPr>
          <w:rFonts w:ascii="仿宋_GB2312" w:hAnsi="仿宋_GB2312" w:cs="微软雅黑" w:hint="eastAsia" w:eastAsia="仿宋_GB2312"/>
          <w:color w:val="000000"/>
          <w:kern w:val="2"/>
          <w:sz w:val="32"/>
          <w:szCs w:val="32"/>
        </w:rPr>
        <w:t xml:space="preserve">  房屋征收主管部门、土地储备机构在实施房屋征收或者土地储备时，应当就征收或者储备范围内的一般不可移动文物保护征求同级文物行政主管部门或者开发区管理委员会的意见。</w:t>
      </w:r>
    </w:p>
    <w:p>
      <w:pPr>
        <w:pStyle w:val="Style15"/>
        <w:widowControl w:val="false"/>
        <w:spacing w:lineRule="exact" w:line="593" w:before="0" w:after="0"/>
        <w:ind w:firstLineChars="200" w:startChars="0" w:start="0" w:endChars="0" w:end="0"/>
        <w:jc w:val="both"/>
        <w:rPr/>
      </w:pPr>
      <w:r>
        <w:rPr>
          <w:rFonts w:ascii="黑体;SimHei" w:hAnsi="黑体;SimHei" w:cs="微软雅黑" w:hint="eastAsia" w:eastAsia="黑体;SimHei"/>
          <w:color w:val="000000"/>
          <w:kern w:val="2"/>
          <w:sz w:val="32"/>
          <w:szCs w:val="32"/>
        </w:rPr>
        <w:t>第三十一条</w:t>
      </w:r>
      <w:r>
        <w:rPr>
          <w:rFonts w:ascii="仿宋_GB2312" w:hAnsi="仿宋_GB2312" w:cs="微软雅黑" w:hint="eastAsia" w:eastAsia="仿宋_GB2312"/>
          <w:color w:val="000000"/>
          <w:kern w:val="2"/>
          <w:sz w:val="32"/>
          <w:szCs w:val="32"/>
        </w:rPr>
        <w:t xml:space="preserve">  区县文物行政主管部门和开发区管理委员会应当对本区域范围内新发现的一般不可移动文物予以登记并公布。</w:t>
      </w:r>
    </w:p>
    <w:p>
      <w:pPr>
        <w:pStyle w:val="Style15"/>
        <w:widowControl w:val="false"/>
        <w:spacing w:lineRule="exact" w:line="593" w:before="0" w:after="0"/>
        <w:ind w:firstLineChars="200" w:startChars="0" w:start="0" w:endChars="0" w:end="0"/>
        <w:jc w:val="both"/>
        <w:rPr>
          <w:rFonts w:ascii="仿宋_GB2312" w:hAnsi="仿宋_GB2312" w:eastAsia="仿宋_GB2312" w:cs="微软雅黑" w:hint="eastAsia"/>
          <w:color w:val="000000"/>
          <w:kern w:val="2"/>
          <w:sz w:val="32"/>
          <w:szCs w:val="32"/>
        </w:rPr>
      </w:pPr>
      <w:r>
        <w:rPr>
          <w:rFonts w:ascii="仿宋_GB2312" w:hAnsi="仿宋_GB2312" w:cs="微软雅黑" w:hint="eastAsia" w:eastAsia="仿宋_GB2312"/>
          <w:color w:val="000000"/>
          <w:kern w:val="2"/>
          <w:sz w:val="32"/>
          <w:szCs w:val="32"/>
        </w:rPr>
        <w:t>单位或者个人可以向文物行政主管部门或者开发区管理委员会提出认定一般不可移动文物的建议或者申请，文物行政主管部门或者开发区管理委员会接到建议或者申请后，应当按照有关规定及时组织认定。属于一般不可移动文物的，应当及时登记并公布。</w:t>
      </w:r>
    </w:p>
    <w:p>
      <w:pPr>
        <w:pStyle w:val="Style15"/>
        <w:widowControl w:val="false"/>
        <w:spacing w:lineRule="exact" w:line="593" w:before="0" w:after="0"/>
        <w:ind w:firstLineChars="200" w:startChars="0" w:start="0" w:endChars="0" w:end="0"/>
        <w:jc w:val="both"/>
        <w:rPr/>
      </w:pPr>
      <w:r>
        <w:rPr>
          <w:rFonts w:ascii="仿宋_GB2312" w:hAnsi="仿宋_GB2312" w:cs="微软雅黑" w:hint="eastAsia" w:eastAsia="仿宋_GB2312"/>
          <w:color w:val="000000"/>
          <w:spacing w:val="-8"/>
          <w:kern w:val="2"/>
          <w:sz w:val="32"/>
          <w:szCs w:val="32"/>
        </w:rPr>
        <w:t>涉及非国有一般不可移动文物的，登记前应当征得所有人同意</w:t>
      </w:r>
      <w:r>
        <w:rPr>
          <w:rFonts w:ascii="仿宋_GB2312" w:hAnsi="仿宋_GB2312" w:cs="微软雅黑" w:hint="eastAsia" w:eastAsia="仿宋_GB2312"/>
          <w:color w:val="000000"/>
          <w:kern w:val="2"/>
          <w:sz w:val="32"/>
          <w:szCs w:val="32"/>
        </w:rPr>
        <w:t>。</w:t>
      </w:r>
    </w:p>
    <w:p>
      <w:pPr>
        <w:pStyle w:val="Style15"/>
        <w:widowControl w:val="false"/>
        <w:spacing w:lineRule="exact" w:line="593" w:before="0" w:after="0"/>
        <w:ind w:firstLineChars="200" w:startChars="0" w:start="0" w:endChars="0" w:end="0"/>
        <w:jc w:val="both"/>
        <w:rPr/>
      </w:pPr>
      <w:r>
        <w:rPr>
          <w:rFonts w:ascii="黑体;SimHei" w:hAnsi="黑体;SimHei" w:cs="微软雅黑" w:hint="eastAsia" w:eastAsia="黑体;SimHei"/>
          <w:color w:val="000000"/>
          <w:kern w:val="2"/>
          <w:sz w:val="32"/>
          <w:szCs w:val="32"/>
        </w:rPr>
        <w:t>第三十二条</w:t>
      </w:r>
      <w:r>
        <w:rPr>
          <w:rFonts w:ascii="仿宋_GB2312" w:hAnsi="仿宋_GB2312" w:cs="微软雅黑" w:hint="eastAsia" w:eastAsia="仿宋_GB2312"/>
          <w:color w:val="000000"/>
          <w:kern w:val="2"/>
          <w:sz w:val="32"/>
          <w:szCs w:val="32"/>
        </w:rPr>
        <w:t xml:space="preserve">  文物行政主管部门和开发区管理委员会可以从一般不可移动文物中，选择具有较高历史、艺术、科学价值的依法申报为文物保护单位。</w:t>
      </w:r>
    </w:p>
    <w:p>
      <w:pPr>
        <w:pStyle w:val="Style15"/>
        <w:widowControl w:val="false"/>
        <w:spacing w:lineRule="exact" w:line="593" w:before="0" w:after="0"/>
        <w:ind w:firstLineChars="200" w:startChars="0" w:start="0" w:endChars="0" w:end="0"/>
        <w:jc w:val="both"/>
        <w:rPr>
          <w:rFonts w:ascii="仿宋_GB2312" w:hAnsi="仿宋_GB2312" w:eastAsia="仿宋_GB2312" w:cs="微软雅黑" w:hint="eastAsia"/>
          <w:color w:val="000000"/>
          <w:kern w:val="2"/>
          <w:sz w:val="32"/>
          <w:szCs w:val="32"/>
        </w:rPr>
      </w:pPr>
      <w:r>
        <w:rPr>
          <w:rFonts w:ascii="仿宋_GB2312" w:hAnsi="仿宋_GB2312" w:cs="微软雅黑" w:hint="eastAsia" w:eastAsia="仿宋_GB2312"/>
          <w:color w:val="000000"/>
          <w:kern w:val="2"/>
          <w:sz w:val="32"/>
          <w:szCs w:val="32"/>
        </w:rPr>
        <w:t>单位或者个人认为一般不可移动文物应当申报为文物保护单位的，可以向文物行政主管部门或者开发区管理委员会提出建议或者申请，文物行政主管部门或者开发区管理委员会应当组织研究，并征求所有人、使用人和有关部门的意见，符合条件的，依法进行申报。</w:t>
      </w:r>
    </w:p>
    <w:p>
      <w:pPr>
        <w:pStyle w:val="Style15"/>
        <w:widowControl w:val="false"/>
        <w:spacing w:lineRule="exact" w:line="593" w:before="0" w:after="0"/>
        <w:ind w:firstLineChars="200" w:startChars="0" w:start="0" w:endChars="0" w:end="0"/>
        <w:jc w:val="both"/>
        <w:rPr/>
      </w:pPr>
      <w:r>
        <w:rPr>
          <w:rFonts w:ascii="黑体;SimHei" w:hAnsi="黑体;SimHei" w:cs="微软雅黑" w:hint="eastAsia" w:eastAsia="黑体;SimHei"/>
          <w:color w:val="000000"/>
          <w:kern w:val="2"/>
          <w:sz w:val="32"/>
          <w:szCs w:val="32"/>
        </w:rPr>
        <w:t>第三十三条</w:t>
      </w:r>
      <w:r>
        <w:rPr>
          <w:rFonts w:ascii="仿宋_GB2312" w:hAnsi="仿宋_GB2312" w:cs="微软雅黑" w:hint="eastAsia" w:eastAsia="仿宋_GB2312"/>
          <w:color w:val="000000"/>
          <w:kern w:val="2"/>
          <w:sz w:val="32"/>
          <w:szCs w:val="32"/>
        </w:rPr>
        <w:t xml:space="preserve">  因自然灾害、城乡建设等原因造成一般不可移动文物本体灭失或者损毁且不具备保护价值的，经文物审查委员会确认后，由登记的区县文物行政主管部门或者开发区管理委员会向社会公示，并在征得市文物行政主管部门同意后，予以撤销和公布。</w:t>
      </w:r>
    </w:p>
    <w:p>
      <w:pPr>
        <w:pStyle w:val="Style15"/>
        <w:widowControl w:val="false"/>
        <w:spacing w:lineRule="exact" w:line="593" w:before="0" w:after="0"/>
        <w:ind w:firstLineChars="200" w:startChars="0" w:start="0" w:endChars="0" w:end="0"/>
        <w:jc w:val="both"/>
        <w:rPr>
          <w:rFonts w:ascii="仿宋_GB2312" w:hAnsi="仿宋_GB2312" w:eastAsia="仿宋_GB2312" w:cs="微软雅黑" w:hint="eastAsia"/>
          <w:color w:val="000000"/>
          <w:kern w:val="2"/>
          <w:sz w:val="32"/>
          <w:szCs w:val="32"/>
        </w:rPr>
      </w:pPr>
      <w:r>
        <w:rPr>
          <w:rFonts w:eastAsia="仿宋_GB2312" w:cs="微软雅黑" w:hint="eastAsia" w:ascii="仿宋_GB2312" w:hAnsi="仿宋_GB2312"/>
          <w:color w:val="000000"/>
          <w:kern w:val="2"/>
          <w:sz w:val="32"/>
          <w:szCs w:val="32"/>
        </w:rPr>
      </w:r>
    </w:p>
    <w:p>
      <w:pPr>
        <w:pStyle w:val="Normal"/>
        <w:spacing w:lineRule="exact" w:line="593"/>
        <w:jc w:val="center"/>
        <w:rPr>
          <w:rFonts w:ascii="黑体;SimHei" w:hAnsi="黑体;SimHei" w:eastAsia="黑体;SimHei" w:cs="宋体;SimSun" w:hint="eastAsia"/>
          <w:color w:val="000000"/>
          <w:sz w:val="32"/>
          <w:szCs w:val="32"/>
        </w:rPr>
      </w:pPr>
      <w:r>
        <w:rPr>
          <w:rFonts w:ascii="黑体;SimHei" w:hAnsi="黑体;SimHei" w:cs="宋体;SimSun" w:hint="eastAsia" w:eastAsia="黑体;SimHei"/>
          <w:color w:val="000000"/>
          <w:sz w:val="32"/>
          <w:szCs w:val="32"/>
        </w:rPr>
        <w:t>第四章  考古勘探与发现</w:t>
      </w:r>
    </w:p>
    <w:p>
      <w:pPr>
        <w:pStyle w:val="Normal"/>
        <w:spacing w:lineRule="exact" w:line="593"/>
        <w:ind w:firstLineChars="200" w:startChars="0" w:start="0" w:endChars="0" w:end="0"/>
        <w:jc w:val="center"/>
        <w:rPr>
          <w:rFonts w:ascii="黑体;SimHei" w:hAnsi="黑体;SimHei" w:eastAsia="黑体;SimHei" w:cs="宋体;SimSun" w:hint="eastAsia"/>
          <w:color w:val="000000"/>
          <w:sz w:val="32"/>
          <w:szCs w:val="32"/>
        </w:rPr>
      </w:pPr>
      <w:r>
        <w:rPr>
          <w:rFonts w:eastAsia="黑体;SimHei" w:cs="宋体;SimSun" w:hint="eastAsia" w:ascii="黑体;SimHei" w:hAnsi="黑体;SimHei"/>
          <w:color w:val="000000"/>
          <w:sz w:val="32"/>
          <w:szCs w:val="32"/>
        </w:rPr>
      </w:r>
    </w:p>
    <w:p>
      <w:pPr>
        <w:pStyle w:val="Style15"/>
        <w:widowControl w:val="false"/>
        <w:spacing w:lineRule="exact" w:line="593" w:before="0" w:after="0"/>
        <w:ind w:firstLineChars="200" w:startChars="0" w:start="0" w:endChars="0" w:end="0"/>
        <w:jc w:val="both"/>
        <w:rPr/>
      </w:pPr>
      <w:r>
        <w:rPr>
          <w:rFonts w:ascii="黑体;SimHei" w:hAnsi="黑体;SimHei" w:cs="微软雅黑" w:hint="eastAsia" w:eastAsia="黑体;SimHei"/>
          <w:color w:val="000000"/>
          <w:kern w:val="2"/>
          <w:sz w:val="32"/>
          <w:szCs w:val="32"/>
        </w:rPr>
        <w:t>第三十四条</w:t>
      </w:r>
      <w:r>
        <w:rPr>
          <w:rFonts w:ascii="仿宋_GB2312" w:hAnsi="仿宋_GB2312" w:cs="微软雅黑" w:hint="eastAsia" w:eastAsia="仿宋_GB2312"/>
          <w:color w:val="000000"/>
          <w:kern w:val="2"/>
          <w:sz w:val="32"/>
          <w:szCs w:val="32"/>
        </w:rPr>
        <w:t xml:space="preserve">  土地使用权划拨、出让前，由市文物行政主管部门组织开展考古调查、勘探，提出供地意见。考古调查、勘探所需费用由市、区县人民政府承担。</w:t>
      </w:r>
    </w:p>
    <w:p>
      <w:pPr>
        <w:pStyle w:val="Style15"/>
        <w:widowControl w:val="false"/>
        <w:spacing w:lineRule="exact" w:line="593" w:before="0" w:after="0"/>
        <w:ind w:firstLineChars="200" w:startChars="0" w:start="0" w:endChars="0" w:end="0"/>
        <w:jc w:val="both"/>
        <w:rPr/>
      </w:pPr>
      <w:r>
        <w:rPr>
          <w:rFonts w:ascii="黑体;SimHei" w:hAnsi="黑体;SimHei" w:cs="微软雅黑" w:hint="eastAsia" w:eastAsia="黑体;SimHei"/>
          <w:color w:val="000000"/>
          <w:kern w:val="2"/>
          <w:sz w:val="32"/>
          <w:szCs w:val="32"/>
        </w:rPr>
        <w:t>第三十五条</w:t>
      </w:r>
      <w:r>
        <w:rPr>
          <w:rFonts w:ascii="仿宋_GB2312" w:hAnsi="仿宋_GB2312" w:cs="微软雅黑" w:hint="eastAsia" w:eastAsia="仿宋_GB2312"/>
          <w:color w:val="000000"/>
          <w:kern w:val="2"/>
          <w:sz w:val="32"/>
          <w:szCs w:val="32"/>
        </w:rPr>
        <w:t xml:space="preserve">  转让的土地未做过考古调查、勘探的，在进行建设工程前，建设单位应当报市文物行政主管部门，并依法委托从事考古发掘的单位在建设工程范围内进行考古调查、勘探。</w:t>
      </w:r>
    </w:p>
    <w:p>
      <w:pPr>
        <w:pStyle w:val="Style15"/>
        <w:widowControl w:val="false"/>
        <w:spacing w:lineRule="exact" w:line="593" w:before="0" w:after="0"/>
        <w:ind w:firstLineChars="200" w:startChars="0" w:start="0" w:endChars="0" w:end="0"/>
        <w:jc w:val="both"/>
        <w:rPr>
          <w:rFonts w:ascii="仿宋_GB2312" w:hAnsi="仿宋_GB2312" w:eastAsia="仿宋_GB2312" w:cs="微软雅黑" w:hint="eastAsia"/>
          <w:color w:val="000000"/>
          <w:kern w:val="2"/>
          <w:sz w:val="32"/>
          <w:szCs w:val="32"/>
        </w:rPr>
      </w:pPr>
      <w:r>
        <w:rPr>
          <w:rFonts w:ascii="仿宋_GB2312" w:hAnsi="仿宋_GB2312" w:cs="微软雅黑" w:hint="eastAsia" w:eastAsia="仿宋_GB2312"/>
          <w:color w:val="000000"/>
          <w:kern w:val="2"/>
          <w:sz w:val="32"/>
          <w:szCs w:val="32"/>
        </w:rPr>
        <w:t>考古调查、勘探工作结束后，从事考古发掘的单位应当如实向建设单位出具考古调查、勘探报告。市文物行政主管部门应当在接到建设单位提交的考古调查、勘探报告后三十个工作日内，出具考古勘探意见书。规划行政管理部门根据考古勘探意见书办理审批手续。</w:t>
      </w:r>
    </w:p>
    <w:p>
      <w:pPr>
        <w:pStyle w:val="Style15"/>
        <w:widowControl w:val="false"/>
        <w:spacing w:lineRule="exact" w:line="593" w:before="0" w:after="0"/>
        <w:ind w:firstLineChars="200" w:startChars="0" w:start="0" w:endChars="0" w:end="0"/>
        <w:jc w:val="both"/>
        <w:rPr>
          <w:rFonts w:ascii="仿宋_GB2312" w:hAnsi="仿宋_GB2312" w:eastAsia="仿宋_GB2312" w:cs="微软雅黑" w:hint="eastAsia"/>
          <w:color w:val="000000"/>
          <w:kern w:val="2"/>
          <w:sz w:val="32"/>
          <w:szCs w:val="32"/>
        </w:rPr>
      </w:pPr>
      <w:r>
        <w:rPr>
          <w:rFonts w:ascii="仿宋_GB2312" w:hAnsi="仿宋_GB2312" w:cs="微软雅黑" w:hint="eastAsia" w:eastAsia="仿宋_GB2312"/>
          <w:color w:val="000000"/>
          <w:kern w:val="2"/>
          <w:sz w:val="32"/>
          <w:szCs w:val="32"/>
        </w:rPr>
        <w:t>考古调查、勘探、发掘，所需费用由建设单位列入建设工程预算。</w:t>
      </w:r>
    </w:p>
    <w:p>
      <w:pPr>
        <w:pStyle w:val="Style15"/>
        <w:widowControl w:val="false"/>
        <w:spacing w:lineRule="exact" w:line="593" w:before="0" w:after="0"/>
        <w:ind w:firstLineChars="200" w:startChars="0" w:start="0" w:endChars="0" w:end="0"/>
        <w:jc w:val="both"/>
        <w:rPr/>
      </w:pPr>
      <w:r>
        <w:rPr>
          <w:rFonts w:ascii="黑体;SimHei" w:hAnsi="黑体;SimHei" w:cs="微软雅黑" w:hint="eastAsia" w:eastAsia="黑体;SimHei"/>
          <w:color w:val="000000"/>
          <w:kern w:val="2"/>
          <w:sz w:val="32"/>
          <w:szCs w:val="32"/>
        </w:rPr>
        <w:t>第三十六条</w:t>
      </w:r>
      <w:r>
        <w:rPr>
          <w:rFonts w:ascii="仿宋_GB2312" w:hAnsi="仿宋_GB2312" w:cs="微软雅黑" w:hint="eastAsia" w:eastAsia="仿宋_GB2312"/>
          <w:color w:val="000000"/>
          <w:kern w:val="2"/>
          <w:sz w:val="32"/>
          <w:szCs w:val="32"/>
        </w:rPr>
        <w:t xml:space="preserve">  建设单位、施工单位在施工过程中发现不可移动文物的，应当立即停工、采取保护措施并报告文物行政主管部门或者开发区管理委员会。监理单位在监理过程中，发现施工单位未依法保护不可移动文物仍继续施工的，应当及时制止并报告文物行政主管部门或者开发区管理委员会。</w:t>
      </w:r>
    </w:p>
    <w:p>
      <w:pPr>
        <w:pStyle w:val="Style15"/>
        <w:widowControl w:val="false"/>
        <w:spacing w:lineRule="exact" w:line="593" w:before="0" w:after="0"/>
        <w:ind w:firstLineChars="200" w:startChars="0" w:start="0" w:endChars="0" w:end="0"/>
        <w:jc w:val="both"/>
        <w:rPr>
          <w:rFonts w:ascii="仿宋_GB2312" w:hAnsi="仿宋_GB2312" w:eastAsia="仿宋_GB2312" w:cs="微软雅黑" w:hint="eastAsia"/>
          <w:color w:val="000000"/>
          <w:kern w:val="2"/>
          <w:sz w:val="32"/>
          <w:szCs w:val="32"/>
        </w:rPr>
      </w:pPr>
      <w:r>
        <w:rPr>
          <w:rFonts w:ascii="仿宋_GB2312" w:hAnsi="仿宋_GB2312" w:cs="微软雅黑" w:hint="eastAsia" w:eastAsia="仿宋_GB2312"/>
          <w:color w:val="000000"/>
          <w:kern w:val="2"/>
          <w:sz w:val="32"/>
          <w:szCs w:val="32"/>
        </w:rPr>
        <w:t>文物行政主管部门、开发区管理委员会接到报告后，应当及时到达现场，并在七日内提出处理意见。</w:t>
      </w:r>
    </w:p>
    <w:p>
      <w:pPr>
        <w:pStyle w:val="Style15"/>
        <w:widowControl w:val="false"/>
        <w:spacing w:lineRule="exact" w:line="593" w:before="0" w:after="0"/>
        <w:ind w:firstLineChars="200" w:startChars="0" w:start="0" w:endChars="0" w:end="0"/>
        <w:jc w:val="both"/>
        <w:rPr/>
      </w:pPr>
      <w:r>
        <w:rPr>
          <w:rFonts w:ascii="黑体;SimHei" w:hAnsi="黑体;SimHei" w:cs="微软雅黑" w:hint="eastAsia" w:eastAsia="黑体;SimHei"/>
          <w:color w:val="000000"/>
          <w:kern w:val="2"/>
          <w:sz w:val="32"/>
          <w:szCs w:val="32"/>
        </w:rPr>
        <w:t>第三十七条</w:t>
      </w:r>
      <w:r>
        <w:rPr>
          <w:rFonts w:ascii="仿宋_GB2312" w:hAnsi="仿宋_GB2312" w:cs="微软雅黑" w:hint="eastAsia" w:eastAsia="仿宋_GB2312"/>
          <w:color w:val="000000"/>
          <w:kern w:val="2"/>
          <w:sz w:val="32"/>
          <w:szCs w:val="32"/>
        </w:rPr>
        <w:t xml:space="preserve">  遇有重大文物发现需要实施原址保护的，由市、区县人民政府或者开发区管理委员会与建设单位协商后，可以另行置换土地或者收回土地使用权、退还土地出让金；造成建设单位经济损失的，依法给予补偿。</w:t>
      </w:r>
    </w:p>
    <w:p>
      <w:pPr>
        <w:pStyle w:val="Style15"/>
        <w:widowControl w:val="false"/>
        <w:spacing w:lineRule="exact" w:line="593" w:before="0" w:after="0"/>
        <w:ind w:firstLineChars="200" w:startChars="0" w:start="0" w:endChars="0" w:end="0"/>
        <w:jc w:val="both"/>
        <w:rPr/>
      </w:pPr>
      <w:r>
        <w:rPr>
          <w:rFonts w:ascii="黑体;SimHei" w:hAnsi="黑体;SimHei" w:cs="微软雅黑" w:hint="eastAsia" w:eastAsia="黑体;SimHei"/>
          <w:color w:val="000000"/>
          <w:kern w:val="2"/>
          <w:sz w:val="32"/>
          <w:szCs w:val="32"/>
        </w:rPr>
        <w:t>第三十八条</w:t>
      </w:r>
      <w:r>
        <w:rPr>
          <w:rFonts w:ascii="仿宋_GB2312" w:hAnsi="仿宋_GB2312" w:cs="微软雅黑" w:hint="eastAsia" w:eastAsia="仿宋_GB2312"/>
          <w:color w:val="000000"/>
          <w:kern w:val="2"/>
          <w:sz w:val="32"/>
          <w:szCs w:val="32"/>
        </w:rPr>
        <w:t xml:space="preserve">  村民委员会在组织实施本村的建设规划，兴修水利、道路等基础设施以及指导村民进行自建住宅、挖渠、掘井等活动时，应当注重对不可移动文物的保护；发现不可移动文物的，应当采取保护措施并及时通知文物行政主管部门或者开发区管理委员会。</w:t>
      </w:r>
    </w:p>
    <w:p>
      <w:pPr>
        <w:pStyle w:val="Style15"/>
        <w:widowControl w:val="false"/>
        <w:spacing w:lineRule="exact" w:line="593" w:before="0" w:after="0"/>
        <w:ind w:firstLineChars="200" w:startChars="0" w:start="0" w:endChars="0" w:end="0"/>
        <w:jc w:val="both"/>
        <w:rPr/>
      </w:pPr>
      <w:r>
        <w:rPr>
          <w:rFonts w:ascii="黑体;SimHei" w:hAnsi="黑体;SimHei" w:cs="微软雅黑" w:hint="eastAsia" w:eastAsia="黑体;SimHei"/>
          <w:color w:val="000000"/>
          <w:kern w:val="2"/>
          <w:sz w:val="32"/>
          <w:szCs w:val="32"/>
        </w:rPr>
        <w:t>第三十九条</w:t>
      </w:r>
      <w:r>
        <w:rPr>
          <w:rFonts w:ascii="仿宋_GB2312" w:hAnsi="仿宋_GB2312" w:cs="微软雅黑" w:hint="eastAsia" w:eastAsia="仿宋_GB2312"/>
          <w:color w:val="000000"/>
          <w:kern w:val="2"/>
          <w:sz w:val="32"/>
          <w:szCs w:val="32"/>
        </w:rPr>
        <w:t xml:space="preserve">  任何单位和个人在进行其他生产生活活动时发现不可移动文物的，应当采取保护措施并及时通知文物行政主管部门或者开发区管理委员会。</w:t>
      </w:r>
    </w:p>
    <w:p>
      <w:pPr>
        <w:pStyle w:val="Style15"/>
        <w:widowControl w:val="false"/>
        <w:spacing w:lineRule="exact" w:line="593" w:before="0" w:after="0"/>
        <w:ind w:firstLineChars="200" w:startChars="0" w:start="0" w:endChars="0" w:end="0"/>
        <w:jc w:val="both"/>
        <w:rPr/>
      </w:pPr>
      <w:r>
        <w:rPr>
          <w:rFonts w:ascii="黑体;SimHei" w:hAnsi="黑体;SimHei" w:cs="微软雅黑" w:hint="eastAsia" w:eastAsia="黑体;SimHei"/>
          <w:color w:val="000000"/>
          <w:kern w:val="2"/>
          <w:sz w:val="32"/>
          <w:szCs w:val="32"/>
        </w:rPr>
        <w:t>第四十条</w:t>
      </w:r>
      <w:r>
        <w:rPr>
          <w:rFonts w:ascii="仿宋_GB2312" w:hAnsi="仿宋_GB2312" w:cs="微软雅黑" w:hint="eastAsia" w:eastAsia="仿宋_GB2312"/>
          <w:color w:val="000000"/>
          <w:kern w:val="2"/>
          <w:sz w:val="32"/>
          <w:szCs w:val="32"/>
        </w:rPr>
        <w:t xml:space="preserve">  文物行政主管部门和开发区管理委员会应当会同规划、建设等行政管理部门，开展对建设、施工、监理等单位及其相关人员的不可移动文物保护宣传和教育工作。</w:t>
      </w:r>
    </w:p>
    <w:p>
      <w:pPr>
        <w:pStyle w:val="Style15"/>
        <w:widowControl w:val="false"/>
        <w:spacing w:lineRule="exact" w:line="593" w:before="0" w:after="0"/>
        <w:ind w:firstLineChars="200" w:startChars="0" w:start="0" w:endChars="0" w:end="0"/>
        <w:jc w:val="both"/>
        <w:rPr/>
      </w:pPr>
      <w:r>
        <w:rPr>
          <w:rFonts w:ascii="黑体;SimHei" w:hAnsi="黑体;SimHei" w:cs="微软雅黑" w:hint="eastAsia" w:eastAsia="黑体;SimHei"/>
          <w:color w:val="000000"/>
          <w:kern w:val="2"/>
          <w:sz w:val="32"/>
          <w:szCs w:val="32"/>
        </w:rPr>
        <w:t>第四十一条</w:t>
      </w:r>
      <w:r>
        <w:rPr>
          <w:rFonts w:ascii="仿宋_GB2312" w:hAnsi="仿宋_GB2312" w:cs="微软雅黑" w:hint="eastAsia" w:eastAsia="仿宋_GB2312"/>
          <w:color w:val="000000"/>
          <w:kern w:val="2"/>
          <w:sz w:val="32"/>
          <w:szCs w:val="32"/>
        </w:rPr>
        <w:t xml:space="preserve">  公民、法人和其他组织因依法采取不可移动文物保护措施或者配合政府进行不可移动文物保护而遭受损失的，由市、区县人民政府或者开发区管理委员会对其所受损失予以合理补偿。</w:t>
      </w:r>
    </w:p>
    <w:p>
      <w:pPr>
        <w:pStyle w:val="Style15"/>
        <w:widowControl w:val="false"/>
        <w:spacing w:lineRule="exact" w:line="593" w:before="0" w:after="0"/>
        <w:ind w:firstLineChars="200" w:startChars="0" w:start="0" w:endChars="0" w:end="0"/>
        <w:jc w:val="both"/>
        <w:rPr>
          <w:rFonts w:ascii="仿宋_GB2312" w:hAnsi="仿宋_GB2312" w:eastAsia="仿宋_GB2312" w:cs="微软雅黑" w:hint="eastAsia"/>
          <w:color w:val="000000"/>
          <w:kern w:val="2"/>
          <w:sz w:val="32"/>
          <w:szCs w:val="32"/>
        </w:rPr>
      </w:pPr>
      <w:r>
        <w:rPr>
          <w:rFonts w:eastAsia="仿宋_GB2312" w:cs="微软雅黑" w:hint="eastAsia" w:ascii="仿宋_GB2312" w:hAnsi="仿宋_GB2312"/>
          <w:color w:val="000000"/>
          <w:kern w:val="2"/>
          <w:sz w:val="32"/>
          <w:szCs w:val="32"/>
        </w:rPr>
      </w:r>
    </w:p>
    <w:p>
      <w:pPr>
        <w:pStyle w:val="Normal"/>
        <w:spacing w:lineRule="exact" w:line="593"/>
        <w:jc w:val="center"/>
        <w:rPr>
          <w:rFonts w:ascii="黑体;SimHei" w:hAnsi="黑体;SimHei" w:eastAsia="黑体;SimHei" w:cs="宋体;SimSun" w:hint="eastAsia"/>
          <w:color w:val="000000"/>
          <w:sz w:val="32"/>
          <w:szCs w:val="32"/>
        </w:rPr>
      </w:pPr>
      <w:r>
        <w:rPr>
          <w:rFonts w:ascii="黑体;SimHei" w:hAnsi="黑体;SimHei" w:cs="宋体;SimSun" w:hint="eastAsia" w:eastAsia="黑体;SimHei"/>
          <w:color w:val="000000"/>
          <w:sz w:val="32"/>
          <w:szCs w:val="32"/>
        </w:rPr>
        <w:t>第五章  利用与社会参与</w:t>
      </w:r>
    </w:p>
    <w:p>
      <w:pPr>
        <w:pStyle w:val="Normal"/>
        <w:spacing w:lineRule="exact" w:line="593"/>
        <w:ind w:firstLineChars="200" w:startChars="0" w:start="0" w:endChars="0" w:end="0"/>
        <w:jc w:val="center"/>
        <w:rPr>
          <w:rFonts w:ascii="黑体;SimHei" w:hAnsi="黑体;SimHei" w:eastAsia="黑体;SimHei" w:cs="宋体;SimSun" w:hint="eastAsia"/>
          <w:color w:val="000000"/>
          <w:sz w:val="32"/>
          <w:szCs w:val="32"/>
        </w:rPr>
      </w:pPr>
      <w:r>
        <w:rPr>
          <w:rFonts w:eastAsia="黑体;SimHei" w:cs="宋体;SimSun" w:hint="eastAsia" w:ascii="黑体;SimHei" w:hAnsi="黑体;SimHei"/>
          <w:color w:val="000000"/>
          <w:sz w:val="32"/>
          <w:szCs w:val="32"/>
        </w:rPr>
      </w:r>
    </w:p>
    <w:p>
      <w:pPr>
        <w:pStyle w:val="Style15"/>
        <w:widowControl w:val="false"/>
        <w:spacing w:lineRule="exact" w:line="593" w:before="0" w:after="0"/>
        <w:ind w:firstLineChars="200" w:startChars="0" w:start="0" w:endChars="0" w:end="0"/>
        <w:jc w:val="both"/>
        <w:rPr/>
      </w:pPr>
      <w:r>
        <w:rPr>
          <w:rFonts w:ascii="黑体;SimHei" w:hAnsi="黑体;SimHei" w:cs="微软雅黑" w:hint="eastAsia" w:eastAsia="黑体;SimHei"/>
          <w:color w:val="000000"/>
          <w:kern w:val="2"/>
          <w:sz w:val="32"/>
          <w:szCs w:val="32"/>
        </w:rPr>
        <w:t>第四十二条</w:t>
      </w:r>
      <w:r>
        <w:rPr>
          <w:rFonts w:ascii="仿宋_GB2312" w:hAnsi="仿宋_GB2312" w:cs="微软雅黑" w:hint="eastAsia" w:eastAsia="仿宋_GB2312"/>
          <w:color w:val="000000"/>
          <w:kern w:val="2"/>
          <w:sz w:val="32"/>
          <w:szCs w:val="32"/>
        </w:rPr>
        <w:t xml:space="preserve">  不可移动文物的利用应当确保文物安全，发挥文物的公共文化服务和社会教育功能，防止不当利用、过度开发。</w:t>
      </w:r>
    </w:p>
    <w:p>
      <w:pPr>
        <w:pStyle w:val="Style15"/>
        <w:widowControl w:val="false"/>
        <w:spacing w:lineRule="exact" w:line="593" w:before="0" w:after="0"/>
        <w:ind w:firstLineChars="200" w:startChars="0" w:start="0" w:endChars="0" w:end="0"/>
        <w:jc w:val="both"/>
        <w:rPr/>
      </w:pPr>
      <w:r>
        <w:rPr>
          <w:rFonts w:ascii="黑体;SimHei" w:hAnsi="黑体;SimHei" w:cs="微软雅黑" w:hint="eastAsia" w:eastAsia="黑体;SimHei"/>
          <w:color w:val="000000"/>
          <w:kern w:val="2"/>
          <w:sz w:val="32"/>
          <w:szCs w:val="32"/>
        </w:rPr>
        <w:t>第四十三条</w:t>
      </w:r>
      <w:r>
        <w:rPr>
          <w:rFonts w:ascii="仿宋_GB2312" w:hAnsi="仿宋_GB2312" w:cs="微软雅黑" w:hint="eastAsia" w:eastAsia="仿宋_GB2312"/>
          <w:color w:val="000000"/>
          <w:kern w:val="2"/>
          <w:sz w:val="32"/>
          <w:szCs w:val="32"/>
        </w:rPr>
        <w:t xml:space="preserve">  尚未建立文物保护管理机构、博物馆，或者辟为考古遗址公园等参观游览场所的国有市、县级文物保护单位和一般不可移动文物，公民、法人和其他组织可以参与其保护与利用，在文物行政主管部门或者开发区管理委员会监管下使用并承担修缮、维护和安全管护责任。</w:t>
      </w:r>
    </w:p>
    <w:p>
      <w:pPr>
        <w:pStyle w:val="Style15"/>
        <w:widowControl w:val="false"/>
        <w:spacing w:lineRule="exact" w:line="593" w:before="0" w:after="0"/>
        <w:ind w:firstLineChars="200" w:startChars="0" w:start="0" w:endChars="0" w:end="0"/>
        <w:jc w:val="both"/>
        <w:rPr>
          <w:rFonts w:ascii="仿宋_GB2312" w:hAnsi="仿宋_GB2312" w:eastAsia="仿宋_GB2312" w:cs="微软雅黑" w:hint="eastAsia"/>
          <w:color w:val="000000"/>
          <w:kern w:val="2"/>
          <w:sz w:val="32"/>
          <w:szCs w:val="32"/>
        </w:rPr>
      </w:pPr>
      <w:r>
        <w:rPr>
          <w:rFonts w:ascii="仿宋_GB2312" w:hAnsi="仿宋_GB2312" w:cs="微软雅黑" w:hint="eastAsia" w:eastAsia="仿宋_GB2312"/>
          <w:color w:val="000000"/>
          <w:kern w:val="2"/>
          <w:sz w:val="32"/>
          <w:szCs w:val="32"/>
        </w:rPr>
        <w:t>市、区县文物行政主管部门或者开发区管理委员会应当选择前款所指文物，公开征集保护利用方案，通过论证、听证等程序确定保护利用方案及实施主体。保护利用方案及相关协议，应当根据不可移动文物的等级报上一级文物行政主管部门备案；涉及需要审批的事项，依照法律、法规的规定执行。</w:t>
      </w:r>
    </w:p>
    <w:p>
      <w:pPr>
        <w:pStyle w:val="Style15"/>
        <w:widowControl w:val="false"/>
        <w:spacing w:lineRule="exact" w:line="593" w:before="0" w:after="0"/>
        <w:ind w:firstLineChars="200" w:startChars="0" w:start="0" w:endChars="0" w:end="0"/>
        <w:jc w:val="both"/>
        <w:rPr/>
      </w:pPr>
      <w:r>
        <w:rPr>
          <w:rFonts w:ascii="黑体;SimHei" w:hAnsi="黑体;SimHei" w:cs="微软雅黑" w:hint="eastAsia" w:eastAsia="黑体;SimHei"/>
          <w:color w:val="000000"/>
          <w:kern w:val="2"/>
          <w:sz w:val="32"/>
          <w:szCs w:val="32"/>
        </w:rPr>
        <w:t>第四十四条</w:t>
      </w:r>
      <w:r>
        <w:rPr>
          <w:rFonts w:ascii="仿宋_GB2312" w:hAnsi="仿宋_GB2312" w:cs="微软雅黑" w:hint="eastAsia" w:eastAsia="仿宋_GB2312"/>
          <w:color w:val="000000"/>
          <w:kern w:val="2"/>
          <w:sz w:val="32"/>
          <w:szCs w:val="32"/>
        </w:rPr>
        <w:t xml:space="preserve">  从事旅游观光、宗教活动，拍摄音像资料，举办大型活动等需要利用或者使用不可移动文物的，应当保持文物原状，保护建筑物及其附属文物的安全，不得损毁、改建、添建或者拆除不可移动文物。</w:t>
      </w:r>
    </w:p>
    <w:p>
      <w:pPr>
        <w:pStyle w:val="Style15"/>
        <w:widowControl w:val="false"/>
        <w:spacing w:lineRule="exact" w:line="593" w:before="0" w:after="0"/>
        <w:ind w:firstLineChars="200" w:startChars="0" w:start="0" w:endChars="0" w:end="0"/>
        <w:jc w:val="both"/>
        <w:rPr>
          <w:rFonts w:ascii="仿宋_GB2312" w:hAnsi="仿宋_GB2312" w:eastAsia="仿宋_GB2312" w:cs="微软雅黑" w:hint="eastAsia"/>
          <w:color w:val="000000"/>
          <w:kern w:val="2"/>
          <w:sz w:val="32"/>
          <w:szCs w:val="32"/>
        </w:rPr>
      </w:pPr>
      <w:r>
        <w:rPr>
          <w:rFonts w:ascii="仿宋_GB2312" w:hAnsi="仿宋_GB2312" w:cs="微软雅黑" w:hint="eastAsia" w:eastAsia="仿宋_GB2312"/>
          <w:color w:val="000000"/>
          <w:kern w:val="2"/>
          <w:sz w:val="32"/>
          <w:szCs w:val="32"/>
        </w:rPr>
        <w:t>利用文物保护单位拍摄电影、电视、广告和其他音像资料或者举办大型活动的，除遵守前款规定外，还应当由拍摄单位或者举办者征得文物保护单位管理部门同意，并签署协议，明确文物保护措施和责任。</w:t>
      </w:r>
    </w:p>
    <w:p>
      <w:pPr>
        <w:pStyle w:val="Style15"/>
        <w:widowControl w:val="false"/>
        <w:spacing w:lineRule="exact" w:line="593" w:before="0" w:after="0"/>
        <w:ind w:firstLineChars="200" w:startChars="0" w:start="0" w:endChars="0" w:end="0"/>
        <w:jc w:val="both"/>
        <w:rPr>
          <w:rFonts w:ascii="仿宋_GB2312" w:hAnsi="仿宋_GB2312" w:eastAsia="仿宋_GB2312" w:cs="微软雅黑" w:hint="eastAsia"/>
          <w:color w:val="000000"/>
          <w:kern w:val="2"/>
          <w:sz w:val="32"/>
          <w:szCs w:val="32"/>
        </w:rPr>
      </w:pPr>
      <w:r>
        <w:rPr>
          <w:rFonts w:ascii="仿宋_GB2312" w:hAnsi="仿宋_GB2312" w:cs="微软雅黑" w:hint="eastAsia" w:eastAsia="仿宋_GB2312"/>
          <w:color w:val="000000"/>
          <w:kern w:val="2"/>
          <w:sz w:val="32"/>
          <w:szCs w:val="32"/>
        </w:rPr>
        <w:t>文物行政主管部门应当对拍摄单位和举办者的活动进行监督。</w:t>
      </w:r>
    </w:p>
    <w:p>
      <w:pPr>
        <w:pStyle w:val="Style15"/>
        <w:widowControl w:val="false"/>
        <w:spacing w:lineRule="exact" w:line="593" w:before="0" w:after="0"/>
        <w:ind w:firstLineChars="200" w:startChars="0" w:start="0" w:endChars="0" w:end="0"/>
        <w:jc w:val="both"/>
        <w:rPr/>
      </w:pPr>
      <w:r>
        <w:rPr>
          <w:rFonts w:ascii="黑体;SimHei" w:hAnsi="黑体;SimHei" w:cs="微软雅黑" w:hint="eastAsia" w:eastAsia="黑体;SimHei"/>
          <w:color w:val="000000"/>
          <w:kern w:val="2"/>
          <w:sz w:val="32"/>
          <w:szCs w:val="32"/>
        </w:rPr>
        <w:t>第四十五条</w:t>
      </w:r>
      <w:r>
        <w:rPr>
          <w:rFonts w:ascii="仿宋_GB2312" w:hAnsi="仿宋_GB2312" w:cs="微软雅黑" w:hint="eastAsia" w:eastAsia="仿宋_GB2312"/>
          <w:color w:val="000000"/>
          <w:kern w:val="2"/>
          <w:sz w:val="32"/>
          <w:szCs w:val="32"/>
        </w:rPr>
        <w:t xml:space="preserve">  机关、团体、企业事业单位、宗教活动场所等占用和使用的不可移动文物，应当按照不可移动文物的类型，分别登记造册，建立档案，并接受文物行政主管部门对不可移动文物保护工作的指导和监督。</w:t>
      </w:r>
    </w:p>
    <w:p>
      <w:pPr>
        <w:pStyle w:val="Style15"/>
        <w:widowControl w:val="false"/>
        <w:spacing w:lineRule="exact" w:line="593" w:before="0" w:after="0"/>
        <w:ind w:firstLineChars="200" w:startChars="0" w:start="0" w:endChars="0" w:end="0"/>
        <w:jc w:val="both"/>
        <w:rPr/>
      </w:pPr>
      <w:r>
        <w:rPr>
          <w:rFonts w:ascii="黑体;SimHei" w:hAnsi="黑体;SimHei" w:cs="微软雅黑" w:hint="eastAsia" w:eastAsia="黑体;SimHei"/>
          <w:color w:val="000000"/>
          <w:kern w:val="2"/>
          <w:sz w:val="32"/>
          <w:szCs w:val="32"/>
        </w:rPr>
        <w:t>第四十六条</w:t>
      </w:r>
      <w:r>
        <w:rPr>
          <w:rFonts w:ascii="仿宋_GB2312" w:hAnsi="仿宋_GB2312" w:cs="微软雅黑" w:hint="eastAsia" w:eastAsia="仿宋_GB2312"/>
          <w:color w:val="000000"/>
          <w:kern w:val="2"/>
          <w:sz w:val="32"/>
          <w:szCs w:val="32"/>
        </w:rPr>
        <w:t xml:space="preserve">  国有不可移动文物不得转让、抵押。建立博物馆、保管所或者辟为参观游览场所的国有文物保护单位，不得作为企业资产经营。</w:t>
      </w:r>
    </w:p>
    <w:p>
      <w:pPr>
        <w:pStyle w:val="Style15"/>
        <w:widowControl w:val="false"/>
        <w:spacing w:lineRule="exact" w:line="593" w:before="0" w:after="0"/>
        <w:ind w:firstLineChars="200" w:startChars="0" w:start="0" w:endChars="0" w:end="0"/>
        <w:jc w:val="both"/>
        <w:rPr>
          <w:rFonts w:ascii="仿宋_GB2312" w:hAnsi="仿宋_GB2312" w:eastAsia="仿宋_GB2312" w:cs="微软雅黑" w:hint="eastAsia"/>
          <w:color w:val="000000"/>
          <w:kern w:val="2"/>
          <w:sz w:val="32"/>
          <w:szCs w:val="32"/>
        </w:rPr>
      </w:pPr>
      <w:r>
        <w:rPr>
          <w:rFonts w:ascii="仿宋_GB2312" w:hAnsi="仿宋_GB2312" w:cs="微软雅黑" w:hint="eastAsia" w:eastAsia="仿宋_GB2312"/>
          <w:color w:val="000000"/>
          <w:kern w:val="2"/>
          <w:sz w:val="32"/>
          <w:szCs w:val="32"/>
        </w:rPr>
        <w:t>非国有不可移动文物不得转让、抵押给外国人。非国有不可移动文物转让、抵押或者改变用途的，应当根据其级别报相应的文物行政主管部门或者开发区管理委员会备案。</w:t>
      </w:r>
    </w:p>
    <w:p>
      <w:pPr>
        <w:pStyle w:val="Style15"/>
        <w:widowControl w:val="false"/>
        <w:spacing w:lineRule="exact" w:line="593" w:before="0" w:after="0"/>
        <w:ind w:firstLineChars="200" w:startChars="0" w:start="0" w:endChars="0" w:end="0"/>
        <w:jc w:val="both"/>
        <w:rPr/>
      </w:pPr>
      <w:r>
        <w:rPr>
          <w:rFonts w:ascii="黑体;SimHei" w:hAnsi="黑体;SimHei" w:cs="微软雅黑" w:hint="eastAsia" w:eastAsia="黑体;SimHei"/>
          <w:color w:val="000000"/>
          <w:kern w:val="2"/>
          <w:sz w:val="32"/>
          <w:szCs w:val="32"/>
        </w:rPr>
        <w:t>第四十七条</w:t>
      </w:r>
      <w:r>
        <w:rPr>
          <w:rFonts w:ascii="仿宋_GB2312" w:hAnsi="仿宋_GB2312" w:cs="微软雅黑" w:hint="eastAsia" w:eastAsia="仿宋_GB2312"/>
          <w:color w:val="000000"/>
          <w:kern w:val="2"/>
          <w:sz w:val="32"/>
          <w:szCs w:val="32"/>
        </w:rPr>
        <w:t xml:space="preserve">  区县文物行政主管部门、开发区管理委员会及各级文物保护机构可以根据不可移动文物保护工作的需要，聘请文物保护员，协助开展不可移动文物保护工作。</w:t>
      </w:r>
    </w:p>
    <w:p>
      <w:pPr>
        <w:pStyle w:val="Style15"/>
        <w:widowControl w:val="false"/>
        <w:spacing w:lineRule="exact" w:line="593" w:before="0" w:after="0"/>
        <w:ind w:firstLineChars="200" w:startChars="0" w:start="0" w:endChars="0" w:end="0"/>
        <w:jc w:val="both"/>
        <w:rPr>
          <w:rFonts w:ascii="仿宋_GB2312" w:hAnsi="仿宋_GB2312" w:eastAsia="仿宋_GB2312" w:cs="微软雅黑" w:hint="eastAsia"/>
          <w:color w:val="000000"/>
          <w:kern w:val="2"/>
          <w:sz w:val="32"/>
          <w:szCs w:val="32"/>
        </w:rPr>
      </w:pPr>
      <w:r>
        <w:rPr>
          <w:rFonts w:ascii="仿宋_GB2312" w:hAnsi="仿宋_GB2312" w:cs="微软雅黑" w:hint="eastAsia" w:eastAsia="仿宋_GB2312"/>
          <w:color w:val="000000"/>
          <w:kern w:val="2"/>
          <w:sz w:val="32"/>
          <w:szCs w:val="32"/>
        </w:rPr>
        <w:t>村民委员会、居民委员会可以成立群众性文物保护组织或者确定文物保护员，参与不可移动文物保护工作。</w:t>
      </w:r>
    </w:p>
    <w:p>
      <w:pPr>
        <w:pStyle w:val="Style15"/>
        <w:widowControl w:val="false"/>
        <w:spacing w:lineRule="exact" w:line="593" w:before="0" w:after="0"/>
        <w:ind w:firstLineChars="200" w:startChars="0" w:start="0" w:endChars="0" w:end="0"/>
        <w:jc w:val="both"/>
        <w:rPr>
          <w:rFonts w:ascii="仿宋_GB2312" w:hAnsi="仿宋_GB2312" w:eastAsia="仿宋_GB2312" w:cs="微软雅黑" w:hint="eastAsia"/>
          <w:color w:val="000000"/>
          <w:kern w:val="2"/>
          <w:sz w:val="32"/>
          <w:szCs w:val="32"/>
        </w:rPr>
      </w:pPr>
      <w:r>
        <w:rPr>
          <w:rFonts w:ascii="仿宋_GB2312" w:hAnsi="仿宋_GB2312" w:cs="微软雅黑" w:hint="eastAsia" w:eastAsia="仿宋_GB2312"/>
          <w:color w:val="000000"/>
          <w:kern w:val="2"/>
          <w:sz w:val="32"/>
          <w:szCs w:val="32"/>
        </w:rPr>
        <w:t>文物行政主管部门和开发区管理委员会应当对群众性文物保护组织或者文物保护员的活动给予指导和支持。</w:t>
      </w:r>
    </w:p>
    <w:p>
      <w:pPr>
        <w:pStyle w:val="Style15"/>
        <w:widowControl w:val="false"/>
        <w:spacing w:lineRule="exact" w:line="593" w:before="0" w:after="0"/>
        <w:ind w:firstLineChars="200" w:startChars="0" w:start="0" w:endChars="0" w:end="0"/>
        <w:jc w:val="both"/>
        <w:rPr>
          <w:rFonts w:ascii="仿宋_GB2312" w:hAnsi="仿宋_GB2312" w:eastAsia="仿宋_GB2312" w:cs="微软雅黑" w:hint="eastAsia"/>
          <w:color w:val="000000"/>
          <w:kern w:val="2"/>
          <w:sz w:val="32"/>
          <w:szCs w:val="32"/>
        </w:rPr>
      </w:pPr>
      <w:r>
        <w:rPr>
          <w:rFonts w:ascii="仿宋_GB2312" w:hAnsi="仿宋_GB2312" w:cs="微软雅黑" w:hint="eastAsia" w:eastAsia="仿宋_GB2312"/>
          <w:color w:val="000000"/>
          <w:kern w:val="2"/>
          <w:sz w:val="32"/>
          <w:szCs w:val="32"/>
        </w:rPr>
        <w:t>市、区县人民政府和开发区管理委员会应当对聘用的文物保护员给予适当报酬。</w:t>
      </w:r>
    </w:p>
    <w:p>
      <w:pPr>
        <w:pStyle w:val="Style15"/>
        <w:widowControl w:val="false"/>
        <w:spacing w:lineRule="exact" w:line="593" w:before="0" w:after="0"/>
        <w:ind w:firstLineChars="200" w:startChars="0" w:start="0" w:endChars="0" w:end="0"/>
        <w:jc w:val="both"/>
        <w:rPr/>
      </w:pPr>
      <w:r>
        <w:rPr>
          <w:rFonts w:ascii="黑体;SimHei" w:hAnsi="黑体;SimHei" w:cs="微软雅黑" w:hint="eastAsia" w:eastAsia="黑体;SimHei"/>
          <w:color w:val="000000"/>
          <w:kern w:val="2"/>
          <w:sz w:val="32"/>
          <w:szCs w:val="32"/>
        </w:rPr>
        <w:t>第四十八条</w:t>
      </w:r>
      <w:r>
        <w:rPr>
          <w:rFonts w:ascii="仿宋_GB2312" w:hAnsi="仿宋_GB2312" w:cs="微软雅黑" w:hint="eastAsia" w:eastAsia="仿宋_GB2312"/>
          <w:color w:val="000000"/>
          <w:kern w:val="2"/>
          <w:sz w:val="32"/>
          <w:szCs w:val="32"/>
        </w:rPr>
        <w:t xml:space="preserve">  鼓励公民、法人和其他组织建立不可移动文物保护志愿组织，开展不可移动文物保护志愿服务，市、区县文物行政主管部门或者开发区管理委员会应当对志愿服务进行指导和支持。</w:t>
      </w:r>
    </w:p>
    <w:p>
      <w:pPr>
        <w:pStyle w:val="Style15"/>
        <w:widowControl w:val="false"/>
        <w:spacing w:lineRule="exact" w:line="593" w:before="0" w:after="0"/>
        <w:ind w:firstLineChars="200" w:startChars="0" w:start="0" w:endChars="0" w:end="0"/>
        <w:jc w:val="both"/>
        <w:rPr/>
      </w:pPr>
      <w:r>
        <w:rPr>
          <w:rFonts w:ascii="黑体;SimHei" w:hAnsi="黑体;SimHei" w:cs="微软雅黑" w:hint="eastAsia" w:eastAsia="黑体;SimHei"/>
          <w:color w:val="000000"/>
          <w:kern w:val="2"/>
          <w:sz w:val="32"/>
          <w:szCs w:val="32"/>
        </w:rPr>
        <w:t>第四十九条</w:t>
      </w:r>
      <w:r>
        <w:rPr>
          <w:rFonts w:ascii="仿宋_GB2312" w:hAnsi="仿宋_GB2312" w:cs="微软雅黑" w:hint="eastAsia" w:eastAsia="仿宋_GB2312"/>
          <w:color w:val="000000"/>
          <w:kern w:val="2"/>
          <w:sz w:val="32"/>
          <w:szCs w:val="32"/>
        </w:rPr>
        <w:t xml:space="preserve">  鼓励社会力量参与不可移动文物保护工程、技术保护、文物监控监测、检查巡查、安全保卫等工作，通过采取政府购买服务的方式引入第三方社会服务，提高不可移动文物保护水平。</w:t>
      </w:r>
    </w:p>
    <w:p>
      <w:pPr>
        <w:pStyle w:val="Style15"/>
        <w:widowControl w:val="false"/>
        <w:spacing w:lineRule="exact" w:line="593" w:before="0" w:after="0"/>
        <w:ind w:firstLineChars="200" w:startChars="0" w:start="0" w:endChars="0" w:end="0"/>
        <w:jc w:val="both"/>
        <w:rPr>
          <w:rFonts w:ascii="仿宋_GB2312" w:hAnsi="仿宋_GB2312" w:eastAsia="仿宋_GB2312" w:cs="微软雅黑" w:hint="eastAsia"/>
          <w:color w:val="000000"/>
          <w:kern w:val="2"/>
          <w:sz w:val="32"/>
          <w:szCs w:val="32"/>
        </w:rPr>
      </w:pPr>
      <w:r>
        <w:rPr>
          <w:rFonts w:eastAsia="仿宋_GB2312" w:cs="微软雅黑" w:hint="eastAsia" w:ascii="仿宋_GB2312" w:hAnsi="仿宋_GB2312"/>
          <w:color w:val="000000"/>
          <w:kern w:val="2"/>
          <w:sz w:val="32"/>
          <w:szCs w:val="32"/>
        </w:rPr>
      </w:r>
    </w:p>
    <w:p>
      <w:pPr>
        <w:pStyle w:val="Normal"/>
        <w:spacing w:lineRule="exact" w:line="593"/>
        <w:jc w:val="center"/>
        <w:rPr>
          <w:rFonts w:ascii="黑体;SimHei" w:hAnsi="黑体;SimHei" w:eastAsia="黑体;SimHei" w:cs="宋体;SimSun" w:hint="eastAsia"/>
          <w:color w:val="000000"/>
          <w:sz w:val="32"/>
          <w:szCs w:val="32"/>
        </w:rPr>
      </w:pPr>
      <w:r>
        <w:rPr>
          <w:rFonts w:ascii="黑体;SimHei" w:hAnsi="黑体;SimHei" w:cs="宋体;SimSun" w:hint="eastAsia" w:eastAsia="黑体;SimHei"/>
          <w:color w:val="000000"/>
          <w:sz w:val="32"/>
          <w:szCs w:val="32"/>
        </w:rPr>
        <w:t>第六章  法律责任</w:t>
      </w:r>
    </w:p>
    <w:p>
      <w:pPr>
        <w:pStyle w:val="Style15"/>
        <w:widowControl w:val="false"/>
        <w:spacing w:lineRule="exact" w:line="593" w:before="0" w:after="0"/>
        <w:ind w:firstLineChars="200" w:startChars="0" w:start="0" w:endChars="0" w:end="0"/>
        <w:jc w:val="both"/>
        <w:rPr>
          <w:rFonts w:ascii="黑体;SimHei" w:hAnsi="黑体;SimHei" w:eastAsia="黑体;SimHei" w:cs="微软雅黑" w:hint="eastAsia"/>
          <w:color w:val="000000"/>
          <w:kern w:val="2"/>
          <w:sz w:val="32"/>
          <w:szCs w:val="32"/>
        </w:rPr>
      </w:pPr>
      <w:r>
        <w:rPr>
          <w:rFonts w:eastAsia="黑体;SimHei" w:cs="微软雅黑" w:hint="eastAsia" w:ascii="黑体;SimHei" w:hAnsi="黑体;SimHei"/>
          <w:color w:val="000000"/>
          <w:kern w:val="2"/>
          <w:sz w:val="32"/>
          <w:szCs w:val="32"/>
        </w:rPr>
      </w:r>
    </w:p>
    <w:p>
      <w:pPr>
        <w:pStyle w:val="Style15"/>
        <w:widowControl w:val="false"/>
        <w:spacing w:lineRule="exact" w:line="593" w:before="0" w:after="0"/>
        <w:ind w:firstLineChars="200" w:startChars="0" w:start="0" w:endChars="0" w:end="0"/>
        <w:jc w:val="both"/>
        <w:rPr/>
      </w:pPr>
      <w:r>
        <w:rPr>
          <w:rFonts w:ascii="黑体;SimHei" w:hAnsi="黑体;SimHei" w:cs="微软雅黑" w:hint="eastAsia" w:eastAsia="黑体;SimHei"/>
          <w:color w:val="000000"/>
          <w:kern w:val="2"/>
          <w:sz w:val="32"/>
          <w:szCs w:val="32"/>
        </w:rPr>
        <w:t>第五十条</w:t>
      </w:r>
      <w:r>
        <w:rPr>
          <w:rFonts w:ascii="仿宋_GB2312" w:hAnsi="仿宋_GB2312" w:cs="微软雅黑" w:hint="eastAsia" w:eastAsia="仿宋_GB2312"/>
          <w:color w:val="000000"/>
          <w:kern w:val="2"/>
          <w:sz w:val="32"/>
          <w:szCs w:val="32"/>
        </w:rPr>
        <w:t xml:space="preserve">  违反本条例第十六条第一项规定，在文物和文物保护单位标志上刻划、涂画、张贴的，由公安机关、文物行政主管部门或者开发区管理委员会处一百元以上二百元以下罚款。</w:t>
      </w:r>
    </w:p>
    <w:p>
      <w:pPr>
        <w:pStyle w:val="Style15"/>
        <w:widowControl w:val="false"/>
        <w:spacing w:lineRule="exact" w:line="593" w:before="0" w:after="0"/>
        <w:ind w:firstLineChars="200" w:startChars="0" w:start="0" w:endChars="0" w:end="0"/>
        <w:jc w:val="both"/>
        <w:rPr/>
      </w:pPr>
      <w:r>
        <w:rPr>
          <w:rFonts w:ascii="黑体;SimHei" w:hAnsi="黑体;SimHei" w:cs="微软雅黑" w:hint="eastAsia" w:eastAsia="黑体;SimHei"/>
          <w:color w:val="000000"/>
          <w:kern w:val="2"/>
          <w:sz w:val="32"/>
          <w:szCs w:val="32"/>
        </w:rPr>
        <w:t>第五十一条</w:t>
      </w:r>
      <w:r>
        <w:rPr>
          <w:rFonts w:ascii="仿宋_GB2312" w:hAnsi="仿宋_GB2312" w:cs="微软雅黑" w:hint="eastAsia" w:eastAsia="仿宋_GB2312"/>
          <w:color w:val="000000"/>
          <w:kern w:val="2"/>
          <w:sz w:val="32"/>
          <w:szCs w:val="32"/>
        </w:rPr>
        <w:t xml:space="preserve">  违反本条例第二十七条规定，擅自迁移、拆除一般不可移动文物的，由区县文物行政主管部门或者开发区管理委员会责令改正，造成严重后果的，处五万元以上五十万元以下罚款。</w:t>
      </w:r>
    </w:p>
    <w:p>
      <w:pPr>
        <w:pStyle w:val="Style15"/>
        <w:widowControl w:val="false"/>
        <w:spacing w:lineRule="exact" w:line="593" w:before="0" w:after="0"/>
        <w:ind w:firstLineChars="200" w:startChars="0" w:start="0" w:endChars="0" w:end="0"/>
        <w:jc w:val="both"/>
        <w:rPr/>
      </w:pPr>
      <w:r>
        <w:rPr>
          <w:rFonts w:ascii="黑体;SimHei" w:hAnsi="黑体;SimHei" w:cs="微软雅黑" w:hint="eastAsia" w:eastAsia="黑体;SimHei"/>
          <w:color w:val="000000"/>
          <w:kern w:val="2"/>
          <w:sz w:val="32"/>
          <w:szCs w:val="32"/>
        </w:rPr>
        <w:t>第五十二条</w:t>
      </w:r>
      <w:r>
        <w:rPr>
          <w:rFonts w:ascii="仿宋_GB2312" w:hAnsi="仿宋_GB2312" w:cs="微软雅黑" w:hint="eastAsia" w:eastAsia="仿宋_GB2312"/>
          <w:color w:val="000000"/>
          <w:kern w:val="2"/>
          <w:sz w:val="32"/>
          <w:szCs w:val="32"/>
        </w:rPr>
        <w:t xml:space="preserve">  违反本条例第二十九条规定，未经批准擅自修缮一般不可移动文物，明显改变文物原状的，由区县文物行政主管部门或者开发区管理委员会责令改正，造成严重后果的，处五万元以上五十万元以下罚款。</w:t>
      </w:r>
    </w:p>
    <w:p>
      <w:pPr>
        <w:pStyle w:val="Style15"/>
        <w:widowControl w:val="false"/>
        <w:spacing w:lineRule="exact" w:line="593" w:before="0" w:after="0"/>
        <w:ind w:firstLineChars="200" w:startChars="0" w:start="0" w:endChars="0" w:end="0"/>
        <w:jc w:val="both"/>
        <w:rPr/>
      </w:pPr>
      <w:r>
        <w:rPr>
          <w:rFonts w:ascii="黑体;SimHei" w:hAnsi="黑体;SimHei" w:cs="微软雅黑" w:hint="eastAsia" w:eastAsia="黑体;SimHei"/>
          <w:color w:val="000000"/>
          <w:kern w:val="2"/>
          <w:sz w:val="32"/>
          <w:szCs w:val="32"/>
        </w:rPr>
        <w:t>第五十三条</w:t>
      </w:r>
      <w:r>
        <w:rPr>
          <w:rFonts w:ascii="仿宋_GB2312" w:hAnsi="仿宋_GB2312" w:cs="微软雅黑" w:hint="eastAsia" w:eastAsia="仿宋_GB2312"/>
          <w:color w:val="000000"/>
          <w:kern w:val="2"/>
          <w:sz w:val="32"/>
          <w:szCs w:val="32"/>
        </w:rPr>
        <w:t xml:space="preserve">  违反本条例规定的其他行为，法律、法规有处罚规定的，适用其规定。</w:t>
      </w:r>
    </w:p>
    <w:p>
      <w:pPr>
        <w:pStyle w:val="Style15"/>
        <w:widowControl w:val="false"/>
        <w:spacing w:lineRule="exact" w:line="593" w:before="0" w:after="0"/>
        <w:ind w:firstLineChars="200" w:startChars="0" w:start="0" w:endChars="0" w:end="0"/>
        <w:jc w:val="both"/>
        <w:rPr/>
      </w:pPr>
      <w:r>
        <w:rPr>
          <w:rFonts w:ascii="黑体;SimHei" w:hAnsi="黑体;SimHei" w:cs="微软雅黑" w:hint="eastAsia" w:eastAsia="黑体;SimHei"/>
          <w:color w:val="000000"/>
          <w:kern w:val="2"/>
          <w:sz w:val="32"/>
          <w:szCs w:val="32"/>
        </w:rPr>
        <w:t>第五十四条</w:t>
      </w:r>
      <w:r>
        <w:rPr>
          <w:rFonts w:ascii="仿宋_GB2312" w:hAnsi="仿宋_GB2312" w:cs="微软雅黑" w:hint="eastAsia" w:eastAsia="仿宋_GB2312"/>
          <w:color w:val="000000"/>
          <w:kern w:val="2"/>
          <w:sz w:val="32"/>
          <w:szCs w:val="32"/>
        </w:rPr>
        <w:t xml:space="preserve">  依照本条例规定，对个人处三千元以上罚款、对单位处十万元以上罚款的，应当告知当事人有要求举行听证的权利。</w:t>
      </w:r>
    </w:p>
    <w:p>
      <w:pPr>
        <w:pStyle w:val="Style15"/>
        <w:widowControl w:val="false"/>
        <w:spacing w:lineRule="exact" w:line="593" w:before="0" w:after="0"/>
        <w:ind w:firstLineChars="200" w:startChars="0" w:start="0" w:endChars="0" w:end="0"/>
        <w:jc w:val="both"/>
        <w:rPr/>
      </w:pPr>
      <w:r>
        <w:rPr>
          <w:rFonts w:ascii="黑体;SimHei" w:hAnsi="黑体;SimHei" w:cs="微软雅黑" w:hint="eastAsia" w:eastAsia="黑体;SimHei"/>
          <w:color w:val="000000"/>
          <w:kern w:val="2"/>
          <w:sz w:val="32"/>
          <w:szCs w:val="32"/>
        </w:rPr>
        <w:t>第五十五条</w:t>
      </w:r>
      <w:r>
        <w:rPr>
          <w:rFonts w:ascii="仿宋_GB2312" w:hAnsi="仿宋_GB2312" w:cs="微软雅黑" w:hint="eastAsia" w:eastAsia="仿宋_GB2312"/>
          <w:color w:val="000000"/>
          <w:kern w:val="2"/>
          <w:sz w:val="32"/>
          <w:szCs w:val="32"/>
        </w:rPr>
        <w:t xml:space="preserve">  文物行政主管部门和其他国家机关、开发区管理委员会及其工作人员，在不可移动文物保护工作中有下列行为之一的，对负有责任的主管人员和其他直接责任人员依法给予行政处分；构成犯罪的，依法追究刑事责任：</w:t>
      </w:r>
    </w:p>
    <w:p>
      <w:pPr>
        <w:pStyle w:val="Style15"/>
        <w:widowControl w:val="false"/>
        <w:spacing w:lineRule="exact" w:line="593" w:before="0" w:after="0"/>
        <w:ind w:firstLineChars="200" w:startChars="0" w:start="0" w:endChars="0" w:end="0"/>
        <w:jc w:val="both"/>
        <w:rPr>
          <w:rFonts w:ascii="仿宋_GB2312" w:hAnsi="仿宋_GB2312" w:eastAsia="仿宋_GB2312" w:cs="微软雅黑" w:hint="eastAsia"/>
          <w:color w:val="000000"/>
          <w:kern w:val="2"/>
          <w:sz w:val="32"/>
          <w:szCs w:val="32"/>
        </w:rPr>
      </w:pPr>
      <w:r>
        <w:rPr>
          <w:rFonts w:ascii="仿宋_GB2312" w:hAnsi="仿宋_GB2312" w:cs="微软雅黑" w:hint="eastAsia" w:eastAsia="仿宋_GB2312"/>
          <w:color w:val="000000"/>
          <w:kern w:val="2"/>
          <w:sz w:val="32"/>
          <w:szCs w:val="32"/>
        </w:rPr>
        <w:t>（一）违反本条例规定，不履行职责或者发现违法行为不予查处，造成严重后果的；</w:t>
      </w:r>
    </w:p>
    <w:p>
      <w:pPr>
        <w:pStyle w:val="Style15"/>
        <w:widowControl w:val="false"/>
        <w:spacing w:lineRule="exact" w:line="593" w:before="0" w:after="0"/>
        <w:ind w:firstLineChars="200" w:startChars="0" w:start="0" w:endChars="0" w:end="0"/>
        <w:jc w:val="both"/>
        <w:rPr>
          <w:rFonts w:ascii="仿宋_GB2312" w:hAnsi="仿宋_GB2312" w:eastAsia="仿宋_GB2312" w:cs="微软雅黑" w:hint="eastAsia"/>
          <w:color w:val="000000"/>
          <w:kern w:val="2"/>
          <w:sz w:val="32"/>
          <w:szCs w:val="32"/>
        </w:rPr>
      </w:pPr>
      <w:r>
        <w:rPr>
          <w:rFonts w:ascii="仿宋_GB2312" w:hAnsi="仿宋_GB2312" w:cs="微软雅黑" w:hint="eastAsia" w:eastAsia="仿宋_GB2312"/>
          <w:color w:val="000000"/>
          <w:kern w:val="2"/>
          <w:sz w:val="32"/>
          <w:szCs w:val="32"/>
        </w:rPr>
        <w:t>（二）因不负责任造成文物保护单位损毁或者流失的；</w:t>
      </w:r>
    </w:p>
    <w:p>
      <w:pPr>
        <w:pStyle w:val="Style15"/>
        <w:widowControl w:val="false"/>
        <w:spacing w:lineRule="exact" w:line="593" w:before="0" w:after="0"/>
        <w:ind w:firstLineChars="200" w:startChars="0" w:start="0" w:endChars="0" w:end="0"/>
        <w:jc w:val="both"/>
        <w:rPr>
          <w:rFonts w:ascii="仿宋_GB2312" w:hAnsi="仿宋_GB2312" w:eastAsia="仿宋_GB2312" w:cs="微软雅黑" w:hint="eastAsia"/>
          <w:color w:val="000000"/>
          <w:kern w:val="2"/>
          <w:sz w:val="32"/>
          <w:szCs w:val="32"/>
        </w:rPr>
      </w:pPr>
      <w:r>
        <w:rPr>
          <w:rFonts w:ascii="仿宋_GB2312" w:hAnsi="仿宋_GB2312" w:cs="微软雅黑" w:hint="eastAsia" w:eastAsia="仿宋_GB2312"/>
          <w:color w:val="000000"/>
          <w:kern w:val="2"/>
          <w:sz w:val="32"/>
          <w:szCs w:val="32"/>
        </w:rPr>
        <w:t>（三）贪污、挪用文物保护经费的；</w:t>
      </w:r>
    </w:p>
    <w:p>
      <w:pPr>
        <w:pStyle w:val="Style15"/>
        <w:widowControl w:val="false"/>
        <w:spacing w:lineRule="exact" w:line="593" w:before="0" w:after="0"/>
        <w:ind w:firstLineChars="200" w:startChars="0" w:start="0" w:endChars="0" w:end="0"/>
        <w:jc w:val="both"/>
        <w:rPr>
          <w:rFonts w:ascii="仿宋_GB2312" w:hAnsi="仿宋_GB2312" w:eastAsia="仿宋_GB2312" w:cs="微软雅黑" w:hint="eastAsia"/>
          <w:color w:val="000000"/>
          <w:kern w:val="2"/>
          <w:sz w:val="32"/>
          <w:szCs w:val="32"/>
        </w:rPr>
      </w:pPr>
      <w:r>
        <w:rPr>
          <w:rFonts w:ascii="仿宋_GB2312" w:hAnsi="仿宋_GB2312" w:cs="微软雅黑" w:hint="eastAsia" w:eastAsia="仿宋_GB2312"/>
          <w:color w:val="000000"/>
          <w:kern w:val="2"/>
          <w:sz w:val="32"/>
          <w:szCs w:val="32"/>
        </w:rPr>
        <w:t>（四）其他滥用职权、玩忽职守、徇私舞弊的行为。</w:t>
      </w:r>
    </w:p>
    <w:p>
      <w:pPr>
        <w:pStyle w:val="Normal"/>
        <w:spacing w:lineRule="exact" w:line="593"/>
        <w:ind w:firstLineChars="200" w:startChars="0" w:start="0" w:endChars="0" w:end="0"/>
        <w:jc w:val="center"/>
        <w:rPr>
          <w:rFonts w:ascii="黑体;SimHei" w:hAnsi="黑体;SimHei" w:eastAsia="黑体;SimHei" w:cs="宋体;SimSun" w:hint="eastAsia"/>
          <w:color w:val="000000"/>
          <w:kern w:val="2"/>
          <w:sz w:val="32"/>
          <w:szCs w:val="32"/>
        </w:rPr>
      </w:pPr>
      <w:r>
        <w:rPr>
          <w:rFonts w:eastAsia="黑体;SimHei" w:cs="宋体;SimSun" w:hint="eastAsia" w:ascii="黑体;SimHei" w:hAnsi="黑体;SimHei"/>
          <w:color w:val="000000"/>
          <w:kern w:val="2"/>
          <w:sz w:val="32"/>
          <w:szCs w:val="32"/>
        </w:rPr>
      </w:r>
    </w:p>
    <w:p>
      <w:pPr>
        <w:pStyle w:val="Normal"/>
        <w:spacing w:lineRule="exact" w:line="593"/>
        <w:jc w:val="center"/>
        <w:rPr>
          <w:rFonts w:ascii="黑体;SimHei" w:hAnsi="黑体;SimHei" w:eastAsia="黑体;SimHei" w:cs="宋体;SimSun" w:hint="eastAsia"/>
          <w:color w:val="000000"/>
          <w:sz w:val="32"/>
          <w:szCs w:val="32"/>
        </w:rPr>
      </w:pPr>
      <w:r>
        <w:rPr>
          <w:rFonts w:ascii="黑体;SimHei" w:hAnsi="黑体;SimHei" w:cs="宋体;SimSun" w:hint="eastAsia" w:eastAsia="黑体;SimHei"/>
          <w:color w:val="000000"/>
          <w:sz w:val="32"/>
          <w:szCs w:val="32"/>
        </w:rPr>
        <w:t>第七章  附  则</w:t>
      </w:r>
    </w:p>
    <w:p>
      <w:pPr>
        <w:pStyle w:val="Normal"/>
        <w:spacing w:lineRule="exact" w:line="593"/>
        <w:ind w:firstLineChars="200" w:startChars="0" w:start="0" w:endChars="0" w:end="0"/>
        <w:rPr>
          <w:rFonts w:ascii="黑体;SimHei" w:hAnsi="黑体;SimHei" w:eastAsia="黑体;SimHei" w:cs="宋体;SimSun" w:hint="eastAsia"/>
          <w:color w:val="000000"/>
          <w:sz w:val="32"/>
          <w:szCs w:val="32"/>
        </w:rPr>
      </w:pPr>
      <w:r>
        <w:rPr>
          <w:rFonts w:eastAsia="黑体;SimHei" w:cs="宋体;SimSun" w:hint="eastAsia" w:ascii="黑体;SimHei" w:hAnsi="黑体;SimHei"/>
          <w:color w:val="000000"/>
          <w:sz w:val="32"/>
          <w:szCs w:val="32"/>
        </w:rPr>
      </w:r>
    </w:p>
    <w:p>
      <w:pPr>
        <w:pStyle w:val="Normal"/>
        <w:spacing w:lineRule="exact" w:line="593"/>
        <w:ind w:firstLineChars="200" w:startChars="0" w:start="0" w:endChars="0" w:end="0"/>
        <w:rPr/>
      </w:pPr>
      <w:r>
        <w:rPr>
          <w:rFonts w:ascii="黑体;SimHei" w:hAnsi="黑体;SimHei" w:cs="宋体;SimSun" w:hint="eastAsia" w:eastAsia="黑体;SimHei"/>
          <w:color w:val="000000"/>
          <w:sz w:val="32"/>
          <w:szCs w:val="32"/>
        </w:rPr>
        <w:t>第五十六条</w:t>
      </w:r>
      <w:r>
        <w:rPr>
          <w:rFonts w:ascii="仿宋_GB2312" w:hAnsi="仿宋_GB2312" w:cs="宋体;SimSun" w:hint="eastAsia" w:eastAsia="仿宋_GB2312"/>
          <w:color w:val="000000"/>
          <w:sz w:val="32"/>
          <w:szCs w:val="32"/>
        </w:rPr>
        <w:t xml:space="preserve">  本条例自</w:t>
      </w:r>
      <w:r>
        <w:rPr>
          <w:rFonts w:eastAsia="楷体_GB2312" w:hint="eastAsia"/>
          <w:sz w:val="32"/>
          <w:szCs w:val="32"/>
        </w:rPr>
        <w:t>2017</w:t>
      </w:r>
      <w:r>
        <w:rPr>
          <w:rFonts w:ascii="仿宋_GB2312" w:hAnsi="仿宋_GB2312" w:cs="宋体;SimSun" w:hint="eastAsia" w:eastAsia="仿宋_GB2312"/>
          <w:color w:val="000000"/>
          <w:sz w:val="32"/>
          <w:szCs w:val="32"/>
        </w:rPr>
        <w:t>年</w:t>
      </w:r>
      <w:r>
        <w:rPr>
          <w:rFonts w:eastAsia="楷体_GB2312" w:hint="eastAsia"/>
          <w:sz w:val="32"/>
          <w:szCs w:val="32"/>
        </w:rPr>
        <w:t>12</w:t>
      </w:r>
      <w:r>
        <w:rPr>
          <w:rFonts w:ascii="仿宋_GB2312" w:hAnsi="仿宋_GB2312" w:cs="宋体;SimSun" w:hint="eastAsia" w:eastAsia="仿宋_GB2312"/>
          <w:color w:val="000000"/>
          <w:sz w:val="32"/>
          <w:szCs w:val="32"/>
        </w:rPr>
        <w:t>月</w:t>
      </w:r>
      <w:r>
        <w:rPr>
          <w:rFonts w:eastAsia="楷体_GB2312" w:hint="eastAsia"/>
          <w:sz w:val="32"/>
          <w:szCs w:val="32"/>
        </w:rPr>
        <w:t>1</w:t>
      </w:r>
      <w:r>
        <w:rPr>
          <w:rFonts w:ascii="仿宋_GB2312" w:hAnsi="仿宋_GB2312" w:cs="宋体;SimSun" w:hint="eastAsia" w:eastAsia="仿宋_GB2312"/>
          <w:color w:val="000000"/>
          <w:sz w:val="32"/>
          <w:szCs w:val="32"/>
        </w:rPr>
        <w:t>日起施行。</w:t>
      </w:r>
    </w:p>
    <w:sectPr>
      <w:footerReference w:type="even" r:id="rId2"/>
      <w:footerReference w:type="default" r:id="rId3"/>
      <w:type w:val="nextPage"/>
      <w:pgSz w:w="11906" w:h="16838"/>
      <w:pgMar w:left="1531" w:right="1531" w:gutter="0" w:header="0" w:top="2041" w:footer="1361" w:bottom="158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方正小标宋_GBK">
    <w:charset w:val="86"/>
    <w:family w:val="script"/>
    <w:pitch w:val="default"/>
  </w:font>
  <w:font w:name="楷体_GB2312">
    <w:charset w:val="86"/>
    <w:family w:val="modern"/>
    <w:pitch w:val="default"/>
  </w:font>
  <w:font w:name="黑体">
    <w:altName w:val="SimHei"/>
    <w:charset w:val="86"/>
    <w:family w:val="auto"/>
    <w:pitch w:val="variable"/>
  </w:font>
  <w:font w:name="仿宋_GB2312">
    <w:charset w:val="86"/>
    <w:family w:val="modern"/>
    <w:pitch w:val="default"/>
  </w:font>
  <w:font w:name="华文仿宋">
    <w:altName w:val="华文中宋"/>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page">
                <wp:posOffset>1170940</wp:posOffset>
              </wp:positionH>
              <wp:positionV relativeFrom="paragraph">
                <wp:posOffset>635</wp:posOffset>
              </wp:positionV>
              <wp:extent cx="534035"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534035" cy="302260"/>
                      </a:xfrm>
                      <a:prstGeom prst="rect"/>
                      <a:solidFill>
                        <a:srgbClr val="FFFFFF">
                          <a:alpha val="0"/>
                        </a:srgbClr>
                      </a:solidFill>
                    </wps:spPr>
                    <wps:txbx>
                      <w:txbxContent>
                        <w:p>
                          <w:pPr>
                            <w:pStyle w:val="Footer"/>
                            <w:rPr>
                              <w:rStyle w:val="PageNumber"/>
                              <w:rFonts w:hint="eastAsia"/>
                              <w:sz w:val="28"/>
                              <w:szCs w:val="28"/>
                            </w:rPr>
                          </w:pPr>
                          <w:r>
                            <w:rPr>
                              <w:rStyle w:val="PageNumber"/>
                              <w:rFonts w:hint="eastAsia"/>
                              <w:sz w:val="28"/>
                              <w:szCs w:val="28"/>
                            </w:rPr>
                            <w:t>—</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14</w:t>
                          </w:r>
                          <w:r>
                            <w:rPr>
                              <w:rStyle w:val="PageNumber"/>
                              <w:sz w:val="28"/>
                              <w:szCs w:val="28"/>
                            </w:rPr>
                            <w:fldChar w:fldCharType="end"/>
                          </w:r>
                          <w:r>
                            <w:rPr>
                              <w:rStyle w:val="PageNumber"/>
                              <w:rFonts w:hint="eastAsia"/>
                              <w:sz w:val="28"/>
                              <w:szCs w:val="28"/>
                            </w:rPr>
                            <w:t>—</w:t>
                          </w:r>
                        </w:p>
                      </w:txbxContent>
                    </wps:txbx>
                    <wps:bodyPr anchor="t" lIns="0" tIns="0" rIns="0" bIns="0">
                      <a:noAutofit/>
                    </wps:bodyPr>
                  </wps:wsp>
                </a:graphicData>
              </a:graphic>
            </wp:anchor>
          </w:drawing>
        </mc:Choice>
        <mc:Fallback>
          <w:pict>
            <v:rect fillcolor="#FFFFFF" style="position:absolute;rotation:-0;width:42.05pt;height:23.8pt;mso-wrap-distance-left:0pt;mso-wrap-distance-right:0pt;mso-wrap-distance-top:0pt;mso-wrap-distance-bottom:0pt;margin-top:0.05pt;mso-position-vertical-relative:text;margin-left:92.2pt;mso-position-horizontal-relative:page">
              <v:fill opacity="0f"/>
              <v:textbox inset="0in,0in,0in,0in">
                <w:txbxContent>
                  <w:p>
                    <w:pPr>
                      <w:pStyle w:val="Footer"/>
                      <w:rPr>
                        <w:rStyle w:val="PageNumber"/>
                        <w:rFonts w:hint="eastAsia"/>
                        <w:sz w:val="28"/>
                        <w:szCs w:val="28"/>
                      </w:rPr>
                    </w:pPr>
                    <w:r>
                      <w:rPr>
                        <w:rStyle w:val="PageNumber"/>
                        <w:rFonts w:hint="eastAsia"/>
                        <w:sz w:val="28"/>
                        <w:szCs w:val="28"/>
                      </w:rPr>
                      <w:t>—</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14</w:t>
                    </w:r>
                    <w:r>
                      <w:rPr>
                        <w:rStyle w:val="PageNumber"/>
                        <w:sz w:val="28"/>
                        <w:szCs w:val="28"/>
                      </w:rPr>
                      <w:fldChar w:fldCharType="end"/>
                    </w:r>
                    <w:r>
                      <w:rPr>
                        <w:rStyle w:val="PageNumbe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page">
                <wp:posOffset>5559425</wp:posOffset>
              </wp:positionH>
              <wp:positionV relativeFrom="paragraph">
                <wp:posOffset>635</wp:posOffset>
              </wp:positionV>
              <wp:extent cx="82804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828040" cy="302260"/>
                      </a:xfrm>
                      <a:prstGeom prst="rect"/>
                      <a:solidFill>
                        <a:srgbClr val="FFFFFF">
                          <a:alpha val="0"/>
                        </a:srgbClr>
                      </a:solidFill>
                    </wps:spPr>
                    <wps:txbx>
                      <w:txbxContent>
                        <w:p>
                          <w:pPr>
                            <w:pStyle w:val="Footer"/>
                            <w:jc w:val="end"/>
                            <w:rPr>
                              <w:rStyle w:val="PageNumber"/>
                              <w:rFonts w:ascii="宋体;SimSun" w:hAnsi="宋体;SimSun" w:cs="宋体;SimSun" w:hint="eastAsia"/>
                              <w:sz w:val="28"/>
                              <w:szCs w:val="28"/>
                            </w:rPr>
                          </w:pPr>
                          <w:r>
                            <w:rPr>
                              <w:rStyle w:val="PageNumber"/>
                              <w:rFonts w:cs="宋体;SimSun" w:hint="eastAsia" w:ascii="宋体;SimSun" w:hAnsi="宋体;SimSun"/>
                              <w:sz w:val="28"/>
                              <w:szCs w:val="28"/>
                            </w:rPr>
                            <w:t>—</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15</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w:t>
                          </w:r>
                        </w:p>
                      </w:txbxContent>
                    </wps:txbx>
                    <wps:bodyPr anchor="t" lIns="0" tIns="0" rIns="0" bIns="0">
                      <a:noAutofit/>
                    </wps:bodyPr>
                  </wps:wsp>
                </a:graphicData>
              </a:graphic>
            </wp:anchor>
          </w:drawing>
        </mc:Choice>
        <mc:Fallback>
          <w:pict>
            <v:rect fillcolor="#FFFFFF" style="position:absolute;rotation:-0;width:65.2pt;height:23.8pt;mso-wrap-distance-left:0pt;mso-wrap-distance-right:0pt;mso-wrap-distance-top:0pt;mso-wrap-distance-bottom:0pt;margin-top:0.05pt;mso-position-vertical-relative:text;margin-left:437.75pt;mso-position-horizontal-relative:page">
              <v:fill opacity="0f"/>
              <v:textbox inset="0in,0in,0in,0in">
                <w:txbxContent>
                  <w:p>
                    <w:pPr>
                      <w:pStyle w:val="Footer"/>
                      <w:jc w:val="end"/>
                      <w:rPr>
                        <w:rStyle w:val="PageNumber"/>
                        <w:rFonts w:ascii="宋体;SimSun" w:hAnsi="宋体;SimSun" w:cs="宋体;SimSun" w:hint="eastAsia"/>
                        <w:sz w:val="28"/>
                        <w:szCs w:val="28"/>
                      </w:rPr>
                    </w:pPr>
                    <w:r>
                      <w:rPr>
                        <w:rStyle w:val="PageNumber"/>
                        <w:rFonts w:cs="宋体;SimSun" w:hint="eastAsia" w:ascii="宋体;SimSun" w:hAnsi="宋体;SimSun"/>
                        <w:sz w:val="28"/>
                        <w:szCs w:val="28"/>
                      </w:rPr>
                      <w:t>—</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15</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26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2017-11-30T17:37:00Z</dcterms:created>
  <dc:creator>微软用户</dc:creator>
  <dc:description/>
  <cp:keywords/>
  <dc:language>en-US</dc:language>
  <cp:lastModifiedBy>微软用户</cp:lastModifiedBy>
  <dcterms:modified xsi:type="dcterms:W3CDTF">2017-12-01T09:15:00Z</dcterms:modified>
  <cp:revision>4</cp:revision>
  <dc:subject/>
  <dc:title>西安市特种行业治安管理条例</dc:title>
</cp:coreProperties>
</file>