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CESI小标宋-GB2312;宋体" w:hAnsi="CESI小标宋-GB2312;宋体" w:eastAsia="CESI小标宋-GB2312;宋体" w:cs="CESI小标宋-GB2312;宋体" w:hint="eastAsia"/>
          <w:color w:val="0D0D0D"/>
          <w:sz w:val="44"/>
          <w:szCs w:val="44"/>
        </w:rPr>
      </w:pPr>
      <w:r>
        <w:rPr>
          <w:rFonts w:eastAsia="CESI小标宋-GB2312;宋体" w:cs="CESI小标宋-GB2312;宋体" w:hint="eastAsia" w:ascii="CESI小标宋-GB2312;宋体" w:hAnsi="CESI小标宋-GB2312;宋体"/>
          <w:color w:val="0D0D0D"/>
          <w:sz w:val="44"/>
          <w:szCs w:val="44"/>
        </w:rPr>
      </w:r>
    </w:p>
    <w:p>
      <w:pPr>
        <w:pStyle w:val="Normal"/>
        <w:spacing w:lineRule="exact" w:line="560"/>
        <w:rPr>
          <w:rFonts w:ascii="CESI小标宋-GB2312;宋体" w:hAnsi="CESI小标宋-GB2312;宋体" w:eastAsia="CESI小标宋-GB2312;宋体" w:cs="CESI小标宋-GB2312;宋体" w:hint="eastAsia"/>
          <w:color w:val="0D0D0D"/>
          <w:sz w:val="44"/>
          <w:szCs w:val="44"/>
        </w:rPr>
      </w:pPr>
      <w:r>
        <w:rPr>
          <w:rFonts w:eastAsia="CESI小标宋-GB2312;宋体" w:cs="CESI小标宋-GB2312;宋体" w:hint="eastAsia" w:ascii="CESI小标宋-GB2312;宋体" w:hAnsi="CESI小标宋-GB2312;宋体"/>
          <w:color w:val="0D0D0D"/>
          <w:sz w:val="44"/>
          <w:szCs w:val="44"/>
        </w:rPr>
      </w:r>
    </w:p>
    <w:p>
      <w:pPr>
        <w:pStyle w:val="Normal"/>
        <w:spacing w:lineRule="exact" w:line="560"/>
        <w:jc w:val="center"/>
        <w:rPr>
          <w:rFonts w:ascii="CESI小标宋-GB2312;宋体" w:hAnsi="CESI小标宋-GB2312;宋体" w:eastAsia="CESI小标宋-GB2312;宋体" w:cs="CESI小标宋-GB2312;宋体" w:hint="eastAsia"/>
          <w:color w:val="0D0D0D"/>
          <w:sz w:val="44"/>
          <w:szCs w:val="44"/>
        </w:rPr>
      </w:pPr>
      <w:r>
        <w:rPr>
          <w:rFonts w:eastAsia="CESI小标宋-GB2312;宋体" w:cs="CESI小标宋-GB2312;宋体" w:hint="eastAsia" w:ascii="CESI小标宋-GB2312;宋体" w:hAnsi="CESI小标宋-GB2312;宋体"/>
          <w:color w:val="0D0D0D"/>
          <w:sz w:val="44"/>
          <w:szCs w:val="44"/>
        </w:rPr>
      </w:r>
    </w:p>
    <w:p>
      <w:pPr>
        <w:pStyle w:val="Normal"/>
        <w:spacing w:lineRule="exact" w:line="560"/>
        <w:jc w:val="center"/>
        <w:rPr>
          <w:rFonts w:ascii="楷体_GB2312;楷体" w:hAnsi="楷体_GB2312;楷体" w:eastAsia="楷体_GB2312;楷体" w:cs="楷体_GB2312;楷体" w:hint="eastAsia"/>
          <w:kern w:val="0"/>
          <w:sz w:val="32"/>
          <w:szCs w:val="32"/>
          <w:lang w:bidi="ar"/>
        </w:rPr>
      </w:pPr>
      <w:r>
        <w:rPr>
          <w:rFonts w:ascii="方正小标宋_GBK;Arial Unicode MS" w:hAnsi="方正小标宋_GBK;Arial Unicode MS" w:cs="CESI小标宋-GB2312;宋体" w:hint="eastAsia" w:eastAsia="方正小标宋_GBK;Arial Unicode MS"/>
          <w:color w:val="0D0D0D"/>
          <w:sz w:val="44"/>
          <w:szCs w:val="44"/>
        </w:rPr>
        <w:t>陕西省秦腔艺术保护传承发展条例</w:t>
      </w:r>
    </w:p>
    <w:p>
      <w:pPr>
        <w:pStyle w:val="Normal"/>
        <w:spacing w:lineRule="exact" w:line="560"/>
        <w:jc w:val="center"/>
        <w:rPr>
          <w:rFonts w:ascii="楷体_GB2312;楷体" w:hAnsi="楷体_GB2312;楷体" w:eastAsia="楷体_GB2312;楷体" w:cs="楷体_GB2312;楷体" w:hint="eastAsia"/>
          <w:kern w:val="0"/>
          <w:sz w:val="32"/>
          <w:szCs w:val="32"/>
          <w:lang w:bidi="ar"/>
        </w:rPr>
      </w:pPr>
      <w:r>
        <w:rPr>
          <w:rFonts w:ascii="楷体_GB2312;楷体" w:hAnsi="楷体_GB2312;楷体" w:cs="楷体_GB2312;楷体" w:hint="eastAsia" w:eastAsia="楷体_GB2312;楷体"/>
          <w:kern w:val="0"/>
          <w:sz w:val="32"/>
          <w:szCs w:val="32"/>
          <w:lang w:bidi="ar"/>
        </w:rPr>
        <w:t>（</w:t>
      </w:r>
      <w:r>
        <w:rPr>
          <w:rFonts w:eastAsia="楷体_GB2312;楷体" w:cs="楷体_GB2312;楷体" w:hint="eastAsia" w:ascii="楷体_GB2312;楷体" w:hAnsi="楷体_GB2312;楷体"/>
          <w:kern w:val="0"/>
          <w:sz w:val="32"/>
          <w:szCs w:val="32"/>
          <w:lang w:bidi="ar"/>
        </w:rPr>
        <w:t>2021</w:t>
      </w:r>
      <w:r>
        <w:rPr>
          <w:rFonts w:ascii="楷体_GB2312;楷体" w:hAnsi="楷体_GB2312;楷体" w:cs="楷体_GB2312;楷体" w:hint="eastAsia" w:eastAsia="楷体_GB2312;楷体"/>
          <w:kern w:val="0"/>
          <w:sz w:val="32"/>
          <w:szCs w:val="32"/>
          <w:lang w:bidi="ar"/>
        </w:rPr>
        <w:t>年</w:t>
      </w:r>
      <w:r>
        <w:rPr>
          <w:rFonts w:eastAsia="楷体_GB2312;楷体" w:cs="楷体_GB2312;楷体" w:hint="eastAsia" w:ascii="楷体_GB2312;楷体" w:hAnsi="楷体_GB2312;楷体"/>
          <w:kern w:val="0"/>
          <w:sz w:val="32"/>
          <w:szCs w:val="32"/>
          <w:lang w:bidi="ar"/>
        </w:rPr>
        <w:t>11</w:t>
      </w:r>
      <w:r>
        <w:rPr>
          <w:rFonts w:ascii="楷体_GB2312;楷体" w:hAnsi="楷体_GB2312;楷体" w:cs="楷体_GB2312;楷体" w:hint="eastAsia" w:eastAsia="楷体_GB2312;楷体"/>
          <w:kern w:val="0"/>
          <w:sz w:val="32"/>
          <w:szCs w:val="32"/>
          <w:lang w:bidi="ar"/>
        </w:rPr>
        <w:t>月</w:t>
      </w:r>
      <w:r>
        <w:rPr>
          <w:rFonts w:eastAsia="楷体_GB2312;楷体" w:cs="楷体_GB2312;楷体" w:hint="eastAsia" w:ascii="楷体_GB2312;楷体" w:hAnsi="楷体_GB2312;楷体"/>
          <w:kern w:val="0"/>
          <w:sz w:val="32"/>
          <w:szCs w:val="32"/>
          <w:lang w:bidi="ar"/>
        </w:rPr>
        <w:t>26</w:t>
      </w:r>
      <w:r>
        <w:rPr>
          <w:rFonts w:ascii="楷体_GB2312;楷体" w:hAnsi="楷体_GB2312;楷体" w:cs="楷体_GB2312;楷体" w:hint="eastAsia" w:eastAsia="楷体_GB2312;楷体"/>
          <w:kern w:val="0"/>
          <w:sz w:val="32"/>
          <w:szCs w:val="32"/>
          <w:lang w:bidi="ar"/>
        </w:rPr>
        <w:t>日陕西省第十三届人民代表大会常务</w:t>
      </w:r>
    </w:p>
    <w:p>
      <w:pPr>
        <w:pStyle w:val="Normal"/>
        <w:spacing w:lineRule="exact" w:line="560"/>
        <w:jc w:val="center"/>
        <w:rPr>
          <w:rFonts w:ascii="黑体" w:hAnsi="黑体" w:eastAsia="黑体" w:cs="CESI楷体-GB2312;宋体" w:hint="eastAsia"/>
          <w:color w:val="0D0D0D"/>
          <w:sz w:val="32"/>
          <w:szCs w:val="32"/>
        </w:rPr>
      </w:pPr>
      <w:r>
        <w:rPr>
          <w:rFonts w:ascii="楷体_GB2312;楷体" w:hAnsi="楷体_GB2312;楷体" w:cs="楷体_GB2312;楷体" w:hint="eastAsia" w:eastAsia="楷体_GB2312;楷体"/>
          <w:kern w:val="0"/>
          <w:sz w:val="32"/>
          <w:szCs w:val="32"/>
          <w:lang w:bidi="ar"/>
        </w:rPr>
        <w:t>委员会第二十九次会议通过）</w:t>
      </w:r>
    </w:p>
    <w:p>
      <w:pPr>
        <w:pStyle w:val="Normal"/>
        <w:spacing w:lineRule="exact" w:line="560"/>
        <w:jc w:val="center"/>
        <w:rPr>
          <w:rFonts w:ascii="黑体" w:hAnsi="黑体" w:eastAsia="黑体" w:cs="CESI楷体-GB2312;宋体" w:hint="eastAsia"/>
          <w:color w:val="0D0D0D"/>
          <w:sz w:val="32"/>
          <w:szCs w:val="32"/>
        </w:rPr>
      </w:pPr>
      <w:r>
        <w:rPr>
          <w:rFonts w:eastAsia="黑体" w:cs="CESI楷体-GB2312;宋体" w:hint="eastAsia" w:ascii="黑体" w:hAnsi="黑体"/>
          <w:color w:val="0D0D0D"/>
          <w:sz w:val="32"/>
          <w:szCs w:val="32"/>
        </w:rPr>
      </w:r>
    </w:p>
    <w:p>
      <w:pPr>
        <w:pStyle w:val="Normal"/>
        <w:spacing w:lineRule="exact" w:line="560"/>
        <w:jc w:val="center"/>
        <w:rPr>
          <w:rFonts w:ascii="黑体" w:hAnsi="黑体" w:eastAsia="黑体" w:cs="CESI楷体-GB2312;宋体" w:hint="eastAsia"/>
          <w:color w:val="0D0D0D"/>
          <w:sz w:val="32"/>
          <w:szCs w:val="32"/>
        </w:rPr>
      </w:pPr>
      <w:r>
        <w:rPr>
          <w:rFonts w:ascii="黑体" w:hAnsi="黑体" w:cs="CESI楷体-GB2312;宋体" w:hint="eastAsia" w:eastAsia="黑体"/>
          <w:color w:val="0D0D0D"/>
          <w:sz w:val="32"/>
          <w:szCs w:val="32"/>
        </w:rPr>
        <w:t>目   录</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第一章  总  则</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第二章  保护传承</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第三章  人才培养</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第四章  创新发展</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第五章  保障措施</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第六章  法律责任</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第七章  附  则</w:t>
      </w:r>
    </w:p>
    <w:p>
      <w:pPr>
        <w:pStyle w:val="Normal"/>
        <w:spacing w:lineRule="exact" w:line="560"/>
        <w:ind w:firstLineChars="100" w:startChars="1543" w:endChars="0" w:end="0"/>
        <w:rPr>
          <w:rFonts w:ascii="黑体" w:hAnsi="黑体" w:eastAsia="黑体" w:cs="CESI楷体-GB2312;宋体" w:hint="eastAsia"/>
          <w:color w:val="0D0D0D"/>
          <w:sz w:val="32"/>
          <w:szCs w:val="32"/>
        </w:rPr>
      </w:pPr>
      <w:r>
        <w:rPr>
          <w:rFonts w:eastAsia="黑体" w:cs="CESI楷体-GB2312;宋体" w:hint="eastAsia" w:ascii="黑体" w:hAnsi="黑体"/>
          <w:color w:val="0D0D0D"/>
          <w:sz w:val="32"/>
          <w:szCs w:val="32"/>
        </w:rPr>
      </w:r>
    </w:p>
    <w:p>
      <w:pPr>
        <w:pStyle w:val="Normal"/>
        <w:spacing w:lineRule="exact" w:line="560"/>
        <w:ind w:firstLineChars="100" w:startChars="1543" w:endChars="0" w:end="0"/>
        <w:rPr>
          <w:rFonts w:ascii="黑体" w:hAnsi="黑体" w:eastAsia="黑体" w:cs="CESI楷体-GB2312;宋体" w:hint="eastAsia"/>
          <w:color w:val="0D0D0D"/>
          <w:sz w:val="32"/>
          <w:szCs w:val="32"/>
        </w:rPr>
      </w:pPr>
      <w:r>
        <w:rPr>
          <w:rFonts w:eastAsia="黑体" w:cs="CESI楷体-GB2312;宋体" w:hint="eastAsia" w:ascii="黑体" w:hAnsi="黑体"/>
          <w:color w:val="0D0D0D"/>
          <w:sz w:val="32"/>
          <w:szCs w:val="32"/>
        </w:rPr>
      </w:r>
    </w:p>
    <w:p>
      <w:pPr>
        <w:pStyle w:val="Normal"/>
        <w:spacing w:lineRule="exact" w:line="560"/>
        <w:jc w:val="center"/>
        <w:rPr>
          <w:rFonts w:ascii="黑体" w:hAnsi="黑体" w:eastAsia="黑体" w:cs="CESI楷体-GB2312;宋体" w:hint="eastAsia"/>
          <w:color w:val="0D0D0D"/>
          <w:sz w:val="32"/>
          <w:szCs w:val="32"/>
        </w:rPr>
      </w:pPr>
      <w:r>
        <w:rPr>
          <w:rFonts w:ascii="黑体" w:hAnsi="黑体" w:cs="CESI楷体-GB2312;宋体" w:hint="eastAsia" w:eastAsia="黑体"/>
          <w:color w:val="0D0D0D"/>
          <w:sz w:val="32"/>
          <w:szCs w:val="32"/>
        </w:rPr>
        <w:t>第一章  总  则</w:t>
      </w:r>
    </w:p>
    <w:p>
      <w:pPr>
        <w:pStyle w:val="Normal"/>
        <w:spacing w:lineRule="exact" w:line="560"/>
        <w:ind w:start="2160" w:end="0"/>
        <w:rPr>
          <w:rFonts w:ascii="CESI楷体-GB2312;宋体" w:hAnsi="CESI楷体-GB2312;宋体" w:eastAsia="CESI楷体-GB2312;宋体" w:cs="CESI楷体-GB2312;宋体" w:hint="eastAsia"/>
          <w:color w:val="0D0D0D"/>
          <w:sz w:val="32"/>
          <w:szCs w:val="32"/>
        </w:rPr>
      </w:pPr>
      <w:r>
        <w:rPr>
          <w:rFonts w:eastAsia="CESI楷体-GB2312;宋体" w:cs="CESI楷体-GB2312;宋体" w:hint="eastAsia" w:ascii="CESI楷体-GB2312;宋体" w:hAnsi="CESI楷体-GB2312;宋体"/>
          <w:color w:val="0D0D0D"/>
          <w:sz w:val="32"/>
          <w:szCs w:val="32"/>
        </w:rPr>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第一条</w:t>
      </w:r>
      <w:r>
        <w:rPr>
          <w:rFonts w:ascii="CESI楷体-GB2312;宋体" w:hAnsi="CESI楷体-GB2312;宋体" w:cs="CESI楷体-GB2312;宋体" w:hint="eastAsia" w:eastAsia="CESI楷体-GB2312;宋体"/>
          <w:color w:val="0D0D0D"/>
          <w:sz w:val="32"/>
          <w:szCs w:val="32"/>
        </w:rPr>
        <w:t xml:space="preserve">  </w:t>
      </w:r>
      <w:r>
        <w:rPr>
          <w:rFonts w:ascii="CESI仿宋-GB2312;仿宋" w:hAnsi="CESI仿宋-GB2312;仿宋" w:cs="CESI仿宋-GB2312;仿宋" w:hint="eastAsia" w:eastAsia="CESI仿宋-GB2312;仿宋"/>
          <w:color w:val="0D0D0D"/>
          <w:sz w:val="32"/>
          <w:szCs w:val="32"/>
        </w:rPr>
        <w:t>为了</w:t>
      </w:r>
      <w:r>
        <w:rPr>
          <w:rFonts w:ascii="CESI仿宋-GB2312;仿宋" w:hAnsi="CESI仿宋-GB2312;仿宋" w:cs="CESI仿宋-GB2312;仿宋" w:hint="eastAsia" w:eastAsia="CESI仿宋-GB2312;仿宋"/>
          <w:sz w:val="32"/>
          <w:szCs w:val="32"/>
        </w:rPr>
        <w:t>保护传承发展秦腔艺术，弘扬中华优秀传统文化，服务社会主义精神文明建设，坚定文化自信，根</w:t>
      </w:r>
      <w:r>
        <w:rPr>
          <w:rFonts w:ascii="CESI仿宋-GB2312;仿宋" w:hAnsi="CESI仿宋-GB2312;仿宋" w:cs="CESI仿宋-GB2312;仿宋" w:hint="eastAsia" w:eastAsia="CESI仿宋-GB2312;仿宋"/>
          <w:color w:val="0D0D0D"/>
          <w:sz w:val="32"/>
          <w:szCs w:val="32"/>
        </w:rPr>
        <w:t>据《中华人民共和国非物质文化遗产法》等法律、行政法规，结合本省实际，制定本条例。</w:t>
      </w:r>
    </w:p>
    <w:p>
      <w:pPr>
        <w:pStyle w:val="Normal"/>
        <w:spacing w:lineRule="exact" w:line="560"/>
        <w:ind w:firstLineChars="200" w:startChars="0" w:start="0" w:endChars="0" w:end="0"/>
        <w:rPr>
          <w:rFonts w:ascii="仿宋_GB2312" w:hAnsi="仿宋_GB2312" w:eastAsia="仿宋_GB2312" w:cs="CESI仿宋-GB2312;仿宋" w:hint="eastAsia"/>
          <w:color w:val="0D0D0D"/>
          <w:sz w:val="32"/>
          <w:szCs w:val="32"/>
        </w:rPr>
      </w:pPr>
      <w:r>
        <w:rPr>
          <w:rFonts w:ascii="黑体" w:hAnsi="黑体" w:cs="CESI黑体-GB2312;黑体" w:hint="eastAsia" w:eastAsia="黑体"/>
          <w:color w:val="0D0D0D"/>
          <w:sz w:val="32"/>
          <w:szCs w:val="32"/>
        </w:rPr>
        <w:t>第二条</w:t>
      </w:r>
      <w:r>
        <w:rPr>
          <w:rFonts w:ascii="CESI黑体-GB2312;黑体" w:hAnsi="CESI黑体-GB2312;黑体" w:cs="CESI黑体-GB2312;黑体" w:hint="eastAsia" w:eastAsia="CESI黑体-GB2312;黑体"/>
          <w:color w:val="0D0D0D"/>
          <w:sz w:val="32"/>
          <w:szCs w:val="32"/>
        </w:rPr>
        <w:t xml:space="preserve">  </w:t>
      </w:r>
      <w:r>
        <w:rPr>
          <w:rFonts w:ascii="CESI仿宋-GB2312;仿宋" w:hAnsi="CESI仿宋-GB2312;仿宋" w:cs="CESI仿宋-GB2312;仿宋" w:hint="eastAsia" w:eastAsia="CESI仿宋-GB2312;仿宋"/>
          <w:color w:val="0D0D0D"/>
          <w:sz w:val="32"/>
          <w:szCs w:val="32"/>
        </w:rPr>
        <w:t>本省行政区域内秦腔艺术的保护传承、创新发展、传播交流等适用本条例。</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第三条</w:t>
      </w:r>
      <w:r>
        <w:rPr>
          <w:rFonts w:ascii="CESI楷体-GB2312;宋体" w:hAnsi="CESI楷体-GB2312;宋体" w:cs="CESI楷体-GB2312;宋体" w:hint="eastAsia" w:eastAsia="CESI楷体-GB2312;宋体"/>
          <w:color w:val="0D0D0D"/>
          <w:sz w:val="32"/>
          <w:szCs w:val="32"/>
        </w:rPr>
        <w:t xml:space="preserve">  </w:t>
      </w:r>
      <w:r>
        <w:rPr>
          <w:rFonts w:ascii="CESI仿宋-GB2312;仿宋" w:hAnsi="CESI仿宋-GB2312;仿宋" w:cs="CESI仿宋-GB2312;仿宋" w:hint="eastAsia" w:eastAsia="CESI仿宋-GB2312;仿宋"/>
          <w:color w:val="0D0D0D"/>
          <w:sz w:val="32"/>
          <w:szCs w:val="32"/>
        </w:rPr>
        <w:t>秦腔艺术的保护传承发展，应当坚持党的全面领导，坚持百花齐放、百家争鸣的方针，坚持为人民服务、为社会主义服务的根本方向，弘扬</w:t>
      </w:r>
      <w:r>
        <w:rPr>
          <w:rFonts w:ascii="CESI仿宋-GB2312;仿宋" w:hAnsi="CESI仿宋-GB2312;仿宋" w:cs="CESI仿宋-GB2312;仿宋" w:hint="eastAsia" w:eastAsia="CESI仿宋-GB2312;仿宋"/>
          <w:b w:val="false"/>
          <w:bCs w:val="false"/>
          <w:color w:val="0D0D0D"/>
          <w:sz w:val="32"/>
          <w:szCs w:val="32"/>
        </w:rPr>
        <w:t>中华优秀传统文化、革命文化和社会主义先进文化，</w:t>
      </w:r>
      <w:r>
        <w:rPr>
          <w:rFonts w:ascii="CESI仿宋-GB2312;仿宋" w:hAnsi="CESI仿宋-GB2312;仿宋" w:cs="CESI仿宋-GB2312;仿宋" w:hint="eastAsia" w:eastAsia="CESI仿宋-GB2312;仿宋"/>
          <w:color w:val="0D0D0D"/>
          <w:sz w:val="32"/>
          <w:szCs w:val="32"/>
        </w:rPr>
        <w:t>培育社会主义核心价值观，坚持保护传承与创新发展并重。</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第四条</w:t>
      </w:r>
      <w:r>
        <w:rPr>
          <w:rFonts w:ascii="CESI黑体-GB2312;黑体" w:hAnsi="CESI黑体-GB2312;黑体" w:cs="CESI黑体-GB2312;黑体" w:hint="eastAsia" w:eastAsia="CESI黑体-GB2312;黑体"/>
          <w:color w:val="0D0D0D"/>
          <w:sz w:val="32"/>
          <w:szCs w:val="32"/>
        </w:rPr>
        <w:t xml:space="preserve">  </w:t>
      </w:r>
      <w:r>
        <w:rPr>
          <w:rFonts w:ascii="CESI仿宋-GB2312;仿宋" w:hAnsi="CESI仿宋-GB2312;仿宋" w:cs="CESI仿宋-GB2312;仿宋" w:hint="eastAsia" w:eastAsia="CESI仿宋-GB2312;仿宋"/>
          <w:color w:val="0D0D0D"/>
          <w:sz w:val="32"/>
          <w:szCs w:val="32"/>
        </w:rPr>
        <w:t>县级以上人民政府应当加强对秦腔艺术保护传承发展工作的组织领导，并将其纳入本级国民经济和社会发展规划，所需经费纳入本级财政预算。</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乡（镇）人民政府、街道办事处应当协助做好秦腔艺术保护传承发展等相关工作。</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第五条</w:t>
      </w:r>
      <w:r>
        <w:rPr>
          <w:rFonts w:ascii="黑体" w:hAnsi="黑体" w:cs="黑体" w:hint="eastAsia" w:eastAsia="黑体"/>
          <w:color w:val="0D0D0D"/>
          <w:sz w:val="32"/>
          <w:szCs w:val="32"/>
        </w:rPr>
        <w:t xml:space="preserve">  </w:t>
      </w:r>
      <w:r>
        <w:rPr>
          <w:rFonts w:ascii="CESI仿宋-GB2312;仿宋" w:hAnsi="CESI仿宋-GB2312;仿宋" w:cs="CESI仿宋-GB2312;仿宋" w:hint="eastAsia" w:eastAsia="CESI仿宋-GB2312;仿宋"/>
          <w:color w:val="0D0D0D"/>
          <w:sz w:val="32"/>
          <w:szCs w:val="32"/>
        </w:rPr>
        <w:t>省人民政府应当制定并组织实施秦腔艺术中长期发展规划，研究解决秦腔艺术</w:t>
      </w:r>
      <w:r>
        <w:rPr>
          <w:rFonts w:ascii="CESI仿宋-GB2312;仿宋" w:hAnsi="CESI仿宋-GB2312;仿宋" w:cs="CESI仿宋-GB2312;仿宋" w:hint="eastAsia" w:eastAsia="CESI仿宋-GB2312;仿宋"/>
          <w:sz w:val="32"/>
          <w:szCs w:val="32"/>
        </w:rPr>
        <w:t>保护</w:t>
      </w:r>
      <w:r>
        <w:rPr>
          <w:rFonts w:ascii="CESI仿宋-GB2312;仿宋" w:hAnsi="CESI仿宋-GB2312;仿宋" w:cs="CESI仿宋-GB2312;仿宋" w:hint="eastAsia" w:eastAsia="CESI仿宋-GB2312;仿宋"/>
          <w:color w:val="0D0D0D"/>
          <w:sz w:val="32"/>
          <w:szCs w:val="32"/>
        </w:rPr>
        <w:t>传承发展中的体制机制、人才培养、重点项目等重大问题。</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设区的市、县（市、区）人民政府应当按照秦腔艺术中长期发展规划要求，结合本地实际制定实施方案。</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bdr w:val="single" w:sz="4" w:space="0" w:color="000000"/>
        </w:rPr>
      </w:pPr>
      <w:r>
        <w:rPr>
          <w:rFonts w:ascii="黑体" w:hAnsi="黑体" w:cs="CESI黑体-GB2312;黑体" w:hint="eastAsia" w:eastAsia="黑体"/>
          <w:color w:val="0D0D0D"/>
          <w:sz w:val="32"/>
          <w:szCs w:val="32"/>
        </w:rPr>
        <w:t>第六条</w:t>
      </w:r>
      <w:r>
        <w:rPr>
          <w:rFonts w:ascii="CESI黑体-GB2312;黑体" w:hAnsi="CESI黑体-GB2312;黑体" w:cs="CESI黑体-GB2312;黑体" w:hint="eastAsia" w:eastAsia="CESI黑体-GB2312;黑体"/>
          <w:color w:val="0D0D0D"/>
          <w:sz w:val="32"/>
          <w:szCs w:val="32"/>
        </w:rPr>
        <w:t xml:space="preserve">  </w:t>
      </w:r>
      <w:r>
        <w:rPr>
          <w:rFonts w:ascii="CESI仿宋-GB2312;仿宋" w:hAnsi="CESI仿宋-GB2312;仿宋" w:cs="CESI仿宋-GB2312;仿宋" w:hint="eastAsia" w:eastAsia="CESI仿宋-GB2312;仿宋"/>
          <w:color w:val="0D0D0D"/>
          <w:sz w:val="32"/>
          <w:szCs w:val="32"/>
        </w:rPr>
        <w:t>县级以上人民政府文化旅游行政主管部门负责本行政区域内秦腔艺术保护传承发展工作。</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县级以上人民政府发展改革、教育、财政、人力资源社会保障、广播电视、文物等部门在各自职责范围内，做好秦腔艺术保护传承发展相关工作。</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第七条</w:t>
      </w:r>
      <w:r>
        <w:rPr>
          <w:rFonts w:ascii="CESI黑体-GB2312;黑体" w:hAnsi="CESI黑体-GB2312;黑体" w:cs="CESI黑体-GB2312;黑体" w:hint="eastAsia" w:eastAsia="CESI黑体-GB2312;黑体"/>
          <w:color w:val="0D0D0D"/>
          <w:sz w:val="32"/>
          <w:szCs w:val="32"/>
        </w:rPr>
        <w:t xml:space="preserve">  </w:t>
      </w:r>
      <w:r>
        <w:rPr>
          <w:rFonts w:ascii="CESI仿宋-GB2312;仿宋" w:hAnsi="CESI仿宋-GB2312;仿宋" w:cs="CESI仿宋-GB2312;仿宋" w:hint="eastAsia" w:eastAsia="CESI仿宋-GB2312;仿宋"/>
          <w:color w:val="0D0D0D"/>
          <w:sz w:val="32"/>
          <w:szCs w:val="32"/>
        </w:rPr>
        <w:t>县级以上人民政府及其文化旅游、教育、广播电视等有关部门应当宣传推广秦腔艺术，加强秦腔艺术的省际交流、剧种交流、国际交流，不断提升秦腔艺术的传播力和影响力。</w:t>
      </w:r>
    </w:p>
    <w:p>
      <w:pPr>
        <w:pStyle w:val="Normal"/>
        <w:spacing w:lineRule="exact" w:line="560"/>
        <w:ind w:firstLineChars="200" w:startChars="0" w:start="0" w:endChars="0" w:end="0"/>
        <w:rPr>
          <w:rFonts w:ascii="仿宋_GB2312" w:hAnsi="仿宋_GB2312" w:eastAsia="仿宋_GB2312"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广播电台、电视台、报刊、网络等媒体应当开展秦腔艺术宣传报道，</w:t>
      </w:r>
      <w:r>
        <w:rPr>
          <w:rFonts w:ascii="CESI仿宋-GB2312;仿宋" w:hAnsi="CESI仿宋-GB2312;仿宋" w:cs="CESI仿宋-GB2312;仿宋" w:hint="eastAsia" w:eastAsia="CESI仿宋-GB2312;仿宋"/>
          <w:sz w:val="32"/>
          <w:szCs w:val="32"/>
        </w:rPr>
        <w:t>通过</w:t>
      </w:r>
      <w:r>
        <w:rPr>
          <w:rFonts w:ascii="CESI仿宋-GB2312;仿宋" w:hAnsi="CESI仿宋-GB2312;仿宋" w:cs="CESI仿宋-GB2312;仿宋" w:hint="eastAsia" w:eastAsia="CESI仿宋-GB2312;仿宋"/>
          <w:color w:val="0D0D0D"/>
          <w:sz w:val="32"/>
          <w:szCs w:val="32"/>
        </w:rPr>
        <w:t>设立专栏、专题节目，制作视频等多种方式，展演、</w:t>
      </w:r>
      <w:r>
        <w:rPr>
          <w:rFonts w:ascii="CESI仿宋-GB2312;仿宋" w:hAnsi="CESI仿宋-GB2312;仿宋" w:cs="CESI仿宋-GB2312;仿宋" w:hint="eastAsia" w:eastAsia="CESI仿宋-GB2312;仿宋"/>
          <w:color w:val="0D0D0D"/>
          <w:sz w:val="32"/>
          <w:szCs w:val="32"/>
          <w:lang w:val="en"/>
        </w:rPr>
        <w:t>品鉴</w:t>
      </w:r>
      <w:r>
        <w:rPr>
          <w:rFonts w:ascii="CESI仿宋-GB2312;仿宋" w:hAnsi="CESI仿宋-GB2312;仿宋" w:cs="CESI仿宋-GB2312;仿宋" w:hint="eastAsia" w:eastAsia="CESI仿宋-GB2312;仿宋"/>
          <w:color w:val="0D0D0D"/>
          <w:sz w:val="32"/>
          <w:szCs w:val="32"/>
        </w:rPr>
        <w:t>兼具思想性、</w:t>
      </w:r>
      <w:r>
        <w:rPr>
          <w:rFonts w:ascii="CESI仿宋-GB2312;仿宋" w:hAnsi="CESI仿宋-GB2312;仿宋" w:cs="CESI仿宋-GB2312;仿宋" w:hint="eastAsia" w:eastAsia="CESI仿宋-GB2312;仿宋"/>
          <w:color w:val="0D0D0D"/>
          <w:sz w:val="32"/>
          <w:szCs w:val="32"/>
          <w:lang w:val="en"/>
        </w:rPr>
        <w:t>艺术性和观赏性的</w:t>
      </w:r>
      <w:r>
        <w:rPr>
          <w:rFonts w:ascii="CESI仿宋-GB2312;仿宋" w:hAnsi="CESI仿宋-GB2312;仿宋" w:cs="CESI仿宋-GB2312;仿宋" w:hint="eastAsia" w:eastAsia="CESI仿宋-GB2312;仿宋"/>
          <w:color w:val="0D0D0D"/>
          <w:sz w:val="32"/>
          <w:szCs w:val="32"/>
        </w:rPr>
        <w:t>优秀剧目和活动，营造秦腔艺术保护传承发展良好氛围。</w:t>
      </w:r>
    </w:p>
    <w:p>
      <w:pPr>
        <w:pStyle w:val="Normal"/>
        <w:spacing w:lineRule="exact" w:line="560"/>
        <w:ind w:firstLineChars="200" w:startChars="0" w:start="0" w:endChars="0" w:end="0"/>
        <w:rPr>
          <w:rFonts w:ascii="仿宋_GB2312" w:hAnsi="仿宋_GB2312" w:eastAsia="仿宋_GB2312" w:cs="CESI仿宋-GB2312;仿宋" w:hint="eastAsia"/>
          <w:color w:val="0D0D0D"/>
          <w:sz w:val="32"/>
          <w:szCs w:val="32"/>
          <w:bdr w:val="single" w:sz="4" w:space="0" w:color="000000"/>
        </w:rPr>
      </w:pPr>
      <w:r>
        <w:rPr>
          <w:rFonts w:ascii="黑体" w:hAnsi="黑体" w:cs="CESI黑体-GB2312;黑体" w:hint="eastAsia" w:eastAsia="黑体"/>
          <w:color w:val="0D0D0D"/>
          <w:sz w:val="32"/>
          <w:szCs w:val="32"/>
        </w:rPr>
        <w:t>第八条</w:t>
      </w:r>
      <w:r>
        <w:rPr>
          <w:rFonts w:ascii="CESI黑体-GB2312;黑体" w:hAnsi="CESI黑体-GB2312;黑体" w:cs="CESI黑体-GB2312;黑体" w:hint="eastAsia" w:eastAsia="CESI黑体-GB2312;黑体"/>
          <w:color w:val="0D0D0D"/>
          <w:sz w:val="32"/>
          <w:szCs w:val="32"/>
        </w:rPr>
        <w:t xml:space="preserve">  </w:t>
      </w:r>
      <w:r>
        <w:rPr>
          <w:rFonts w:ascii="仿宋_GB2312" w:hAnsi="仿宋_GB2312" w:cs="CESI仿宋-GB2312;仿宋" w:hint="eastAsia" w:eastAsia="仿宋_GB2312"/>
          <w:color w:val="0D0D0D"/>
          <w:sz w:val="32"/>
          <w:szCs w:val="32"/>
        </w:rPr>
        <w:t>鼓励公民、法人和非法人组织依法设立秦腔艺术营业性表演团体，成立秦腔艺术社会组织、自乐班等，建设秦腔艺术展示、传习场所，从事秦腔艺术演出展示、</w:t>
      </w:r>
      <w:r>
        <w:rPr>
          <w:rFonts w:ascii="仿宋_GB2312" w:hAnsi="仿宋_GB2312" w:cs="CESI仿宋-GB2312;仿宋" w:hint="eastAsia" w:eastAsia="仿宋_GB2312"/>
          <w:color w:val="000000"/>
          <w:sz w:val="32"/>
          <w:szCs w:val="32"/>
        </w:rPr>
        <w:t>传承普及</w:t>
      </w:r>
      <w:r>
        <w:rPr>
          <w:rFonts w:ascii="仿宋_GB2312" w:hAnsi="仿宋_GB2312" w:cs="CESI仿宋-GB2312;仿宋" w:hint="eastAsia" w:eastAsia="仿宋_GB2312"/>
          <w:color w:val="0D0D0D"/>
          <w:sz w:val="32"/>
          <w:szCs w:val="32"/>
        </w:rPr>
        <w:t>等活动。</w:t>
      </w:r>
    </w:p>
    <w:p>
      <w:pPr>
        <w:pStyle w:val="Normal"/>
        <w:keepNext w:val="false"/>
        <w:keepLines w:val="false"/>
        <w:pageBreakBefore w:val="false"/>
        <w:widowControl w:val="false"/>
        <w:kinsoku w:val="true"/>
        <w:overflowPunct w:val="true"/>
        <w:bidi w:val="0"/>
        <w:snapToGrid w:val="false"/>
        <w:spacing w:lineRule="exact" w:line="580"/>
        <w:ind w:firstLineChars="200" w:startChars="0" w:start="0" w:endChars="0" w:end="0"/>
        <w:rPr>
          <w:rFonts w:ascii="黑体" w:hAnsi="黑体" w:eastAsia="黑体" w:cs="CESI楷体-GB2312;宋体" w:hint="eastAsia"/>
          <w:color w:val="0D0D0D"/>
          <w:sz w:val="32"/>
          <w:szCs w:val="32"/>
        </w:rPr>
      </w:pPr>
      <w:r>
        <w:rPr>
          <w:rFonts w:ascii="黑体" w:hAnsi="黑体" w:cs="CESI楷体-GB2312;宋体" w:hint="eastAsia" w:eastAsia="黑体"/>
          <w:color w:val="0D0D0D"/>
          <w:sz w:val="32"/>
          <w:szCs w:val="32"/>
        </w:rPr>
        <w:t xml:space="preserve">第九条  </w:t>
      </w:r>
      <w:r>
        <w:rPr>
          <w:rFonts w:ascii="CESI仿宋-GB2312;仿宋" w:hAnsi="CESI仿宋-GB2312;仿宋" w:cs="CESI仿宋-GB2312;仿宋" w:hint="eastAsia" w:eastAsia="CESI仿宋-GB2312;仿宋"/>
          <w:color w:val="0D0D0D"/>
          <w:sz w:val="32"/>
          <w:szCs w:val="32"/>
        </w:rPr>
        <w:t>秦腔艺术相关行业协会应当建立健全行业规范，加强行业自律，反映行业诉求，为秦腔院团和从业人员提供创作表演、宣传培训、权益保护等方面的服务。</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第十条</w:t>
      </w:r>
      <w:r>
        <w:rPr>
          <w:rFonts w:ascii="CESI黑体-GB2312;黑体" w:hAnsi="CESI黑体-GB2312;黑体" w:cs="CESI黑体-GB2312;黑体" w:hint="eastAsia" w:eastAsia="CESI黑体-GB2312;黑体"/>
          <w:color w:val="0D0D0D"/>
          <w:sz w:val="32"/>
          <w:szCs w:val="32"/>
        </w:rPr>
        <w:t xml:space="preserve">  </w:t>
      </w:r>
      <w:r>
        <w:rPr>
          <w:rFonts w:ascii="仿宋_GB2312" w:hAnsi="仿宋_GB2312" w:cs="CESI仿宋-GB2312;仿宋" w:hint="eastAsia" w:eastAsia="仿宋_GB2312"/>
          <w:color w:val="0D0D0D"/>
          <w:sz w:val="32"/>
          <w:szCs w:val="32"/>
        </w:rPr>
        <w:t>县级以上人民政府应当对在秦腔艺术理论研究、创作表演、传播普及等领域做出突出贡献的单位和个人，按照国家和本省有关规定给予表彰、奖励。</w:t>
      </w:r>
      <w:r>
        <w:rPr>
          <w:rFonts w:ascii="CESI仿宋-GB2312;仿宋" w:hAnsi="CESI仿宋-GB2312;仿宋" w:cs="CESI仿宋-GB2312;仿宋" w:hint="eastAsia" w:eastAsia="CESI仿宋-GB2312;仿宋"/>
          <w:color w:val="0D0D0D"/>
          <w:sz w:val="32"/>
          <w:szCs w:val="32"/>
        </w:rPr>
        <w:t xml:space="preserve"> </w:t>
      </w:r>
    </w:p>
    <w:p>
      <w:pPr>
        <w:pStyle w:val="Normal"/>
        <w:spacing w:lineRule="exact" w:line="560"/>
        <w:jc w:val="center"/>
        <w:rPr>
          <w:rFonts w:ascii="CESI黑体-GB2312;黑体" w:hAnsi="CESI黑体-GB2312;黑体" w:eastAsia="CESI黑体-GB2312;黑体" w:cs="CESI黑体-GB2312;黑体" w:hint="eastAsia"/>
          <w:color w:val="0D0D0D"/>
          <w:sz w:val="32"/>
          <w:szCs w:val="32"/>
        </w:rPr>
      </w:pPr>
      <w:r>
        <w:rPr>
          <w:rFonts w:eastAsia="CESI黑体-GB2312;黑体" w:cs="CESI黑体-GB2312;黑体" w:hint="eastAsia" w:ascii="CESI黑体-GB2312;黑体" w:hAnsi="CESI黑体-GB2312;黑体"/>
          <w:color w:val="0D0D0D"/>
          <w:sz w:val="32"/>
          <w:szCs w:val="32"/>
        </w:rPr>
      </w:r>
    </w:p>
    <w:p>
      <w:pPr>
        <w:pStyle w:val="Normal"/>
        <w:spacing w:lineRule="exact" w:line="560"/>
        <w:jc w:val="center"/>
        <w:rPr>
          <w:rFonts w:ascii="黑体" w:hAnsi="黑体" w:eastAsia="黑体" w:cs="CESI黑体-GB2312;黑体" w:hint="eastAsia"/>
          <w:color w:val="0D0D0D"/>
          <w:sz w:val="32"/>
          <w:szCs w:val="32"/>
        </w:rPr>
      </w:pPr>
      <w:r>
        <w:rPr>
          <w:rFonts w:ascii="黑体" w:hAnsi="黑体" w:cs="CESI黑体-GB2312;黑体" w:hint="eastAsia" w:eastAsia="黑体"/>
          <w:color w:val="0D0D0D"/>
          <w:sz w:val="32"/>
          <w:szCs w:val="32"/>
        </w:rPr>
        <w:t>第二章  保护传承</w:t>
      </w:r>
    </w:p>
    <w:p>
      <w:pPr>
        <w:pStyle w:val="Normal"/>
        <w:spacing w:lineRule="exact" w:line="560"/>
        <w:ind w:firstLineChars="200" w:startChars="0" w:start="0" w:endChars="0" w:end="0"/>
        <w:rPr>
          <w:rFonts w:ascii="CESI黑体-GB2312;黑体" w:hAnsi="CESI黑体-GB2312;黑体" w:eastAsia="CESI黑体-GB2312;黑体" w:cs="CESI黑体-GB2312;黑体" w:hint="eastAsia"/>
          <w:color w:val="0D0D0D"/>
          <w:sz w:val="32"/>
          <w:szCs w:val="32"/>
        </w:rPr>
      </w:pPr>
      <w:r>
        <w:rPr>
          <w:rFonts w:eastAsia="CESI黑体-GB2312;黑体" w:cs="CESI黑体-GB2312;黑体" w:hint="eastAsia" w:ascii="CESI黑体-GB2312;黑体" w:hAnsi="CESI黑体-GB2312;黑体"/>
          <w:color w:val="0D0D0D"/>
          <w:sz w:val="32"/>
          <w:szCs w:val="32"/>
        </w:rPr>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第十一条</w:t>
      </w:r>
      <w:r>
        <w:rPr>
          <w:rFonts w:ascii="CESI黑体-GB2312;黑体" w:hAnsi="CESI黑体-GB2312;黑体" w:cs="CESI黑体-GB2312;黑体" w:hint="eastAsia" w:eastAsia="CESI黑体-GB2312;黑体"/>
          <w:color w:val="0D0D0D"/>
          <w:sz w:val="32"/>
          <w:szCs w:val="32"/>
        </w:rPr>
        <w:t xml:space="preserve">  </w:t>
      </w:r>
      <w:r>
        <w:rPr>
          <w:rFonts w:ascii="CESI仿宋-GB2312;仿宋" w:hAnsi="CESI仿宋-GB2312;仿宋" w:cs="CESI仿宋-GB2312;仿宋" w:hint="eastAsia" w:eastAsia="CESI仿宋-GB2312;仿宋"/>
          <w:color w:val="0D0D0D"/>
          <w:sz w:val="32"/>
          <w:szCs w:val="32"/>
        </w:rPr>
        <w:t>秦腔艺术保护传承对象，包括下列具有历史、美学、艺术价值的秦腔传统文化表现形式以及相关的实物、场所：</w:t>
      </w:r>
    </w:p>
    <w:p>
      <w:pPr>
        <w:pStyle w:val="Normal"/>
        <w:numPr>
          <w:ilvl w:val="0"/>
          <w:numId w:val="1"/>
        </w:numPr>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秦腔艺术的代表性剧目、流派、唱腔、方言、音乐和传统表演技艺及相关知识产权；</w:t>
      </w:r>
    </w:p>
    <w:p>
      <w:pPr>
        <w:pStyle w:val="Normal"/>
        <w:numPr>
          <w:ilvl w:val="0"/>
          <w:numId w:val="1"/>
        </w:numPr>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与秦腔艺术相关的乐器、服饰、道具等制作技艺；</w:t>
      </w:r>
    </w:p>
    <w:p>
      <w:pPr>
        <w:pStyle w:val="Normal"/>
        <w:numPr>
          <w:ilvl w:val="0"/>
          <w:numId w:val="1"/>
        </w:numPr>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与秦腔艺术相关的历史性建筑设施、文献档案、影音资料、器具实物；</w:t>
      </w:r>
    </w:p>
    <w:p>
      <w:pPr>
        <w:pStyle w:val="Normal"/>
        <w:numPr>
          <w:ilvl w:val="0"/>
          <w:numId w:val="1"/>
        </w:numPr>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秦腔艺术特有的传统习俗；</w:t>
      </w:r>
    </w:p>
    <w:p>
      <w:pPr>
        <w:pStyle w:val="Normal"/>
        <w:numPr>
          <w:ilvl w:val="0"/>
          <w:numId w:val="1"/>
        </w:numPr>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与秦腔艺术相关的其他需要</w:t>
      </w:r>
      <w:r>
        <w:rPr>
          <w:rFonts w:ascii="CESI仿宋-GB2312;仿宋" w:hAnsi="CESI仿宋-GB2312;仿宋" w:cs="CESI仿宋-GB2312;仿宋" w:hint="eastAsia" w:eastAsia="CESI仿宋-GB2312;仿宋"/>
          <w:sz w:val="32"/>
          <w:szCs w:val="32"/>
        </w:rPr>
        <w:t>保护</w:t>
      </w:r>
      <w:r>
        <w:rPr>
          <w:rFonts w:ascii="CESI仿宋-GB2312;仿宋" w:hAnsi="CESI仿宋-GB2312;仿宋" w:cs="CESI仿宋-GB2312;仿宋" w:hint="eastAsia" w:eastAsia="CESI仿宋-GB2312;仿宋"/>
          <w:color w:val="0D0D0D"/>
          <w:sz w:val="32"/>
          <w:szCs w:val="32"/>
        </w:rPr>
        <w:t>传承的对象。</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前款规定的保护传承对象，属于文物的，适用文物保护相关法律、法规的规定。</w:t>
      </w:r>
    </w:p>
    <w:p>
      <w:pPr>
        <w:pStyle w:val="Normal"/>
        <w:spacing w:lineRule="exact" w:line="560"/>
        <w:ind w:firstLineChars="200" w:startChars="0" w:start="0" w:endChars="0" w:end="0"/>
        <w:rPr>
          <w:rFonts w:ascii="仿宋_GB2312" w:hAnsi="仿宋_GB2312" w:eastAsia="仿宋_GB2312" w:cs="CESI仿宋-GB2312;仿宋" w:hint="eastAsia"/>
          <w:color w:val="0D0D0D"/>
          <w:sz w:val="32"/>
          <w:szCs w:val="32"/>
        </w:rPr>
      </w:pPr>
      <w:r>
        <w:rPr>
          <w:rFonts w:ascii="黑体" w:hAnsi="黑体" w:cs="CESI黑体-GB2312;黑体" w:hint="eastAsia" w:eastAsia="黑体"/>
          <w:color w:val="0D0D0D"/>
          <w:sz w:val="32"/>
          <w:szCs w:val="32"/>
        </w:rPr>
        <w:t>第十二条</w:t>
      </w:r>
      <w:r>
        <w:rPr>
          <w:rFonts w:ascii="CESI仿宋-GB2312;仿宋" w:hAnsi="CESI仿宋-GB2312;仿宋" w:cs="CESI仿宋-GB2312;仿宋" w:hint="eastAsia" w:eastAsia="CESI仿宋-GB2312;仿宋"/>
          <w:color w:val="0D0D0D"/>
          <w:sz w:val="32"/>
          <w:szCs w:val="32"/>
        </w:rPr>
        <w:t xml:space="preserve">  县级以上文化旅游行政主管部门应当组织开展秦腔艺术资源普查，征集、抢救、保护具有历史价值、艺术价值的档案资料、口述历史和珍贵实物，对濒临失传的经典传统剧目、曲牌进行挖掘整理、修改提升和复排演出。</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00000"/>
          <w:sz w:val="32"/>
          <w:szCs w:val="32"/>
        </w:rPr>
        <w:t>第十三条</w:t>
      </w:r>
      <w:r>
        <w:rPr>
          <w:rFonts w:ascii="CESI仿宋-GB2312;仿宋" w:hAnsi="CESI仿宋-GB2312;仿宋" w:cs="CESI仿宋-GB2312;仿宋" w:hint="eastAsia" w:eastAsia="CESI仿宋-GB2312;仿宋"/>
          <w:color w:val="0D0D0D"/>
          <w:sz w:val="32"/>
          <w:szCs w:val="32"/>
        </w:rPr>
        <w:t xml:space="preserve">  县级以上人民政府及其文化旅游行政主管部门应当保护修缮具有历史价值的秦腔艺术场所、设施，根据需要建设秦腔艺术纪念馆、博物馆、展览馆，开展秦腔艺术影视观赏、表演展示、普及培训等活动，并按照有关规定免费向公众开放。</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00000"/>
          <w:sz w:val="32"/>
          <w:szCs w:val="32"/>
        </w:rPr>
        <w:t>第十四条</w:t>
      </w:r>
      <w:r>
        <w:rPr>
          <w:rFonts w:ascii="CESI黑体-GB2312;黑体" w:hAnsi="CESI黑体-GB2312;黑体" w:cs="CESI黑体-GB2312;黑体" w:hint="eastAsia" w:eastAsia="CESI黑体-GB2312;黑体"/>
          <w:color w:val="0D0D0D"/>
          <w:sz w:val="32"/>
          <w:szCs w:val="32"/>
        </w:rPr>
        <w:t xml:space="preserve">  </w:t>
      </w:r>
      <w:r>
        <w:rPr>
          <w:rFonts w:ascii="CESI仿宋-GB2312;仿宋" w:hAnsi="CESI仿宋-GB2312;仿宋" w:cs="CESI仿宋-GB2312;仿宋" w:hint="eastAsia" w:eastAsia="CESI仿宋-GB2312;仿宋"/>
          <w:color w:val="0D0D0D"/>
          <w:sz w:val="32"/>
          <w:szCs w:val="32"/>
        </w:rPr>
        <w:t>县级以上人民政府应当加强对历史悠久、享有盛誉、具有代表性的秦腔艺术品牌的保护。</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秦腔艺术品牌保护办法和秦腔艺术名团、名家、名剧保护目录，由省人民政府制定公布。</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bdr w:val="single" w:sz="4" w:space="0" w:color="000000"/>
        </w:rPr>
      </w:pPr>
      <w:r>
        <w:rPr>
          <w:rFonts w:ascii="黑体" w:hAnsi="黑体" w:cs="CESI黑体-GB2312;黑体" w:hint="eastAsia" w:eastAsia="黑体"/>
          <w:color w:val="000000"/>
          <w:sz w:val="32"/>
          <w:szCs w:val="32"/>
        </w:rPr>
        <w:t>第十五条</w:t>
      </w:r>
      <w:r>
        <w:rPr>
          <w:rFonts w:ascii="CESI仿宋-GB2312;仿宋" w:hAnsi="CESI仿宋-GB2312;仿宋" w:cs="CESI仿宋-GB2312;仿宋" w:hint="eastAsia" w:eastAsia="CESI仿宋-GB2312;仿宋"/>
          <w:color w:val="0D0D0D"/>
          <w:sz w:val="32"/>
          <w:szCs w:val="32"/>
        </w:rPr>
        <w:t xml:space="preserve">  县级以上人民政府应当对秦腔艺术代表性传承人给予场所、经费等支持，保障其开展</w:t>
      </w:r>
      <w:r>
        <w:rPr>
          <w:rFonts w:ascii="CESI仿宋-GB2312;仿宋" w:hAnsi="CESI仿宋-GB2312;仿宋" w:cs="CESI仿宋-GB2312;仿宋" w:hint="eastAsia" w:eastAsia="CESI仿宋-GB2312;仿宋"/>
          <w:color w:val="000000"/>
          <w:sz w:val="32"/>
          <w:szCs w:val="32"/>
        </w:rPr>
        <w:t>传承</w:t>
      </w:r>
      <w:r>
        <w:rPr>
          <w:rFonts w:ascii="CESI仿宋-GB2312;仿宋" w:hAnsi="CESI仿宋-GB2312;仿宋" w:cs="CESI仿宋-GB2312;仿宋" w:hint="eastAsia" w:eastAsia="CESI仿宋-GB2312;仿宋"/>
          <w:color w:val="0D0D0D"/>
          <w:sz w:val="32"/>
          <w:szCs w:val="32"/>
        </w:rPr>
        <w:t>、传播活动。秦腔艺术代表性传承人选按照非物质文化遗产代表性项目的代表性传承人认定程序执行。</w:t>
      </w:r>
    </w:p>
    <w:p>
      <w:pPr>
        <w:pStyle w:val="Normal"/>
        <w:spacing w:lineRule="exact" w:line="560"/>
        <w:ind w:firstLineChars="200" w:startChars="0" w:start="0" w:endChars="0" w:end="0"/>
        <w:rPr>
          <w:rFonts w:ascii="仿宋_GB2312" w:hAnsi="仿宋_GB2312" w:eastAsia="仿宋_GB2312" w:cs="CESI黑体-GB2312;黑体" w:hint="eastAsia"/>
          <w:color w:val="0D0D0D"/>
          <w:sz w:val="32"/>
          <w:szCs w:val="32"/>
          <w:shd w:fill="FFFFFF" w:val="clear"/>
        </w:rPr>
      </w:pPr>
      <w:r>
        <w:rPr>
          <w:rFonts w:ascii="仿宋_GB2312" w:hAnsi="仿宋_GB2312" w:cs="CESI仿宋-GB2312;仿宋" w:hint="eastAsia" w:eastAsia="仿宋_GB2312"/>
          <w:color w:val="0D0D0D"/>
          <w:sz w:val="32"/>
          <w:szCs w:val="32"/>
        </w:rPr>
        <w:t>县级以上文化旅游行政主管部门应当建立秦腔艺术代表性传承人储备名单。</w:t>
      </w:r>
    </w:p>
    <w:p>
      <w:pPr>
        <w:pStyle w:val="Normal"/>
        <w:spacing w:lineRule="exact" w:line="560"/>
        <w:ind w:firstLineChars="200" w:startChars="0" w:start="0" w:endChars="0" w:end="0"/>
        <w:rPr>
          <w:rFonts w:ascii="仿宋_GB2312" w:hAnsi="仿宋_GB2312" w:eastAsia="仿宋_GB2312" w:cs="CESI仿宋-GB2312;仿宋" w:hint="eastAsia"/>
          <w:color w:val="0D0D0D"/>
          <w:sz w:val="32"/>
          <w:szCs w:val="32"/>
        </w:rPr>
      </w:pPr>
      <w:r>
        <w:rPr>
          <w:rFonts w:ascii="黑体" w:hAnsi="黑体" w:cs="CESI黑体-GB2312;黑体" w:hint="eastAsia" w:eastAsia="黑体"/>
          <w:color w:val="0D0D0D"/>
          <w:sz w:val="32"/>
          <w:szCs w:val="32"/>
        </w:rPr>
        <w:t>第十六条</w:t>
      </w:r>
      <w:r>
        <w:rPr>
          <w:rFonts w:ascii="CESI仿宋-GB2312;仿宋" w:hAnsi="CESI仿宋-GB2312;仿宋" w:cs="CESI仿宋-GB2312;仿宋" w:hint="eastAsia" w:eastAsia="CESI仿宋-GB2312;仿宋"/>
          <w:color w:val="0D0D0D"/>
          <w:sz w:val="32"/>
          <w:szCs w:val="32"/>
        </w:rPr>
        <w:t xml:space="preserve">  </w:t>
      </w:r>
      <w:r>
        <w:rPr>
          <w:rFonts w:ascii="仿宋_GB2312" w:hAnsi="仿宋_GB2312" w:cs="CESI仿宋-GB2312;仿宋" w:hint="eastAsia" w:eastAsia="仿宋_GB2312"/>
          <w:color w:val="0D0D0D"/>
          <w:sz w:val="32"/>
          <w:szCs w:val="32"/>
        </w:rPr>
        <w:t>支持秦腔代表性传承人、艺术名家通过收徒传艺的方式，</w:t>
      </w:r>
      <w:r>
        <w:rPr>
          <w:rFonts w:ascii="仿宋_GB2312" w:hAnsi="仿宋_GB2312" w:cs="CESI仿宋-GB2312;仿宋" w:hint="eastAsia" w:eastAsia="仿宋_GB2312"/>
          <w:color w:val="000000"/>
          <w:sz w:val="32"/>
          <w:szCs w:val="32"/>
        </w:rPr>
        <w:t>传承</w:t>
      </w:r>
      <w:r>
        <w:rPr>
          <w:rFonts w:ascii="仿宋_GB2312" w:hAnsi="仿宋_GB2312" w:cs="CESI仿宋-GB2312;仿宋" w:hint="eastAsia" w:eastAsia="仿宋_GB2312"/>
          <w:color w:val="0D0D0D"/>
          <w:sz w:val="32"/>
          <w:szCs w:val="32"/>
        </w:rPr>
        <w:t>秦腔艺</w:t>
      </w:r>
      <w:r>
        <w:rPr>
          <w:rFonts w:ascii="CESI仿宋-GB2312;仿宋" w:hAnsi="CESI仿宋-GB2312;仿宋" w:cs="CESI仿宋-GB2312;仿宋" w:hint="eastAsia" w:eastAsia="CESI仿宋-GB2312;仿宋"/>
          <w:color w:val="0D0D0D"/>
          <w:sz w:val="32"/>
          <w:szCs w:val="32"/>
        </w:rPr>
        <w:t>术流派、优</w:t>
      </w:r>
      <w:r>
        <w:rPr>
          <w:rFonts w:ascii="仿宋_GB2312" w:hAnsi="仿宋_GB2312" w:cs="CESI仿宋-GB2312;仿宋" w:hint="eastAsia" w:eastAsia="仿宋_GB2312"/>
          <w:color w:val="0D0D0D"/>
          <w:sz w:val="32"/>
          <w:szCs w:val="32"/>
        </w:rPr>
        <w:t>秀剧目和表演、作曲、演奏、舞美设计等技艺。</w:t>
      </w:r>
    </w:p>
    <w:p>
      <w:pPr>
        <w:pStyle w:val="Normal"/>
        <w:spacing w:lineRule="exact" w:line="560"/>
        <w:rPr>
          <w:rFonts w:ascii="CESI黑体-GB2312;黑体" w:hAnsi="CESI黑体-GB2312;黑体" w:eastAsia="CESI黑体-GB2312;黑体" w:cs="CESI黑体-GB2312;黑体" w:hint="eastAsia"/>
          <w:color w:val="0D0D0D"/>
          <w:sz w:val="32"/>
          <w:szCs w:val="32"/>
        </w:rPr>
      </w:pPr>
      <w:r>
        <w:rPr>
          <w:rFonts w:eastAsia="CESI黑体-GB2312;黑体" w:cs="CESI黑体-GB2312;黑体" w:hint="eastAsia" w:ascii="CESI黑体-GB2312;黑体" w:hAnsi="CESI黑体-GB2312;黑体"/>
          <w:color w:val="0D0D0D"/>
          <w:sz w:val="32"/>
          <w:szCs w:val="32"/>
        </w:rPr>
      </w:r>
    </w:p>
    <w:p>
      <w:pPr>
        <w:pStyle w:val="Normal"/>
        <w:spacing w:lineRule="exact" w:line="560"/>
        <w:jc w:val="center"/>
        <w:rPr>
          <w:rFonts w:ascii="黑体" w:hAnsi="黑体" w:eastAsia="黑体" w:cs="CESI黑体-GB2312;黑体" w:hint="eastAsia"/>
          <w:color w:val="0D0D0D"/>
          <w:sz w:val="32"/>
          <w:szCs w:val="32"/>
        </w:rPr>
      </w:pPr>
      <w:r>
        <w:rPr>
          <w:rFonts w:ascii="黑体" w:hAnsi="黑体" w:cs="CESI黑体-GB2312;黑体" w:hint="eastAsia" w:eastAsia="黑体"/>
          <w:color w:val="0D0D0D"/>
          <w:sz w:val="32"/>
          <w:szCs w:val="32"/>
        </w:rPr>
        <w:t xml:space="preserve">第三章  </w:t>
      </w:r>
      <w:r>
        <w:rPr>
          <w:rFonts w:ascii="黑体" w:hAnsi="黑体" w:cs="CESI楷体-GB2312;宋体" w:hint="eastAsia" w:eastAsia="黑体"/>
          <w:color w:val="0D0D0D"/>
          <w:sz w:val="32"/>
          <w:szCs w:val="32"/>
        </w:rPr>
        <w:t>人才培养</w:t>
      </w:r>
    </w:p>
    <w:p>
      <w:pPr>
        <w:pStyle w:val="Normal"/>
        <w:spacing w:lineRule="exact" w:line="560"/>
        <w:ind w:firstLineChars="200" w:startChars="0" w:start="0" w:endChars="0" w:end="0"/>
        <w:rPr>
          <w:rFonts w:ascii="CESI黑体-GB2312;黑体" w:hAnsi="CESI黑体-GB2312;黑体" w:eastAsia="CESI黑体-GB2312;黑体" w:cs="CESI黑体-GB2312;黑体" w:hint="eastAsia"/>
          <w:color w:val="0D0D0D"/>
          <w:sz w:val="32"/>
          <w:szCs w:val="32"/>
        </w:rPr>
      </w:pPr>
      <w:r>
        <w:rPr>
          <w:rFonts w:eastAsia="CESI黑体-GB2312;黑体" w:cs="CESI黑体-GB2312;黑体" w:hint="eastAsia" w:ascii="CESI黑体-GB2312;黑体" w:hAnsi="CESI黑体-GB2312;黑体"/>
          <w:color w:val="0D0D0D"/>
          <w:sz w:val="32"/>
          <w:szCs w:val="32"/>
        </w:rPr>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FF0000"/>
          <w:sz w:val="32"/>
          <w:szCs w:val="32"/>
        </w:rPr>
      </w:pPr>
      <w:r>
        <w:rPr>
          <w:rFonts w:ascii="黑体" w:hAnsi="黑体" w:cs="CESI黑体-GB2312;黑体" w:hint="eastAsia" w:eastAsia="黑体"/>
          <w:color w:val="0D0D0D"/>
          <w:sz w:val="32"/>
          <w:szCs w:val="32"/>
        </w:rPr>
        <w:t>第十七条</w:t>
      </w:r>
      <w:r>
        <w:rPr>
          <w:rFonts w:ascii="CESI仿宋-GB2312;仿宋" w:hAnsi="CESI仿宋-GB2312;仿宋" w:cs="CESI仿宋-GB2312;仿宋" w:hint="eastAsia" w:eastAsia="CESI仿宋-GB2312;仿宋"/>
          <w:color w:val="0D0D0D"/>
          <w:sz w:val="32"/>
          <w:szCs w:val="32"/>
        </w:rPr>
        <w:t xml:space="preserve">  县级以上人民政府及其教育、文化旅游、人力资源社会保障等有关行政主管部门应当加强秦腔艺术人才培养教育工作，重视从业人员职业道德建设，完善人才培养、引进、</w:t>
      </w:r>
      <w:r>
        <w:rPr>
          <w:rFonts w:ascii="CESI仿宋-GB2312;仿宋" w:hAnsi="CESI仿宋-GB2312;仿宋" w:cs="CESI仿宋-GB2312;仿宋" w:hint="eastAsia" w:eastAsia="CESI仿宋-GB2312;仿宋"/>
          <w:sz w:val="32"/>
          <w:szCs w:val="32"/>
        </w:rPr>
        <w:t>管理、使用体制</w:t>
      </w:r>
      <w:r>
        <w:rPr>
          <w:rFonts w:ascii="CESI仿宋-GB2312;仿宋" w:hAnsi="CESI仿宋-GB2312;仿宋" w:cs="CESI仿宋-GB2312;仿宋" w:hint="eastAsia" w:eastAsia="CESI仿宋-GB2312;仿宋"/>
          <w:color w:val="0D0D0D"/>
          <w:sz w:val="32"/>
          <w:szCs w:val="32"/>
        </w:rPr>
        <w:t>机制，制定秦腔艺术人才规划和</w:t>
      </w:r>
      <w:r>
        <w:rPr>
          <w:rFonts w:ascii="CESI仿宋-GB2312;仿宋" w:hAnsi="CESI仿宋-GB2312;仿宋" w:cs="CESI仿宋-GB2312;仿宋" w:hint="eastAsia" w:eastAsia="CESI仿宋-GB2312;仿宋"/>
          <w:color w:val="000000"/>
          <w:sz w:val="32"/>
          <w:szCs w:val="32"/>
        </w:rPr>
        <w:t>培训计划，</w:t>
      </w:r>
      <w:r>
        <w:rPr>
          <w:rFonts w:ascii="CESI仿宋-GB2312;仿宋" w:hAnsi="CESI仿宋-GB2312;仿宋" w:cs="CESI仿宋-GB2312;仿宋" w:hint="eastAsia" w:eastAsia="CESI仿宋-GB2312;仿宋"/>
          <w:color w:val="0D0D0D"/>
          <w:sz w:val="32"/>
          <w:szCs w:val="32"/>
        </w:rPr>
        <w:t>支持秦腔院团、职业院校等培养秦腔艺术人才。</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县级以上文化旅游行政主管部门应当组织开展秦腔艺术编剧、导演、作曲、表演、评论人才的教育培训，通过汇演、展演、评比等方式，推动人才培养与创作实践相结合，选拔优秀秦腔艺术人才，建立秦腔艺术人才库。</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00000"/>
          <w:sz w:val="32"/>
          <w:szCs w:val="32"/>
        </w:rPr>
        <w:t>第十八条</w:t>
      </w:r>
      <w:r>
        <w:rPr>
          <w:rFonts w:ascii="CESI楷体-GB2312;宋体" w:hAnsi="CESI楷体-GB2312;宋体" w:cs="CESI楷体-GB2312;宋体" w:hint="eastAsia" w:eastAsia="CESI楷体-GB2312;宋体"/>
          <w:color w:val="0D0D0D"/>
          <w:sz w:val="32"/>
          <w:szCs w:val="32"/>
        </w:rPr>
        <w:t xml:space="preserve">  </w:t>
      </w:r>
      <w:r>
        <w:rPr>
          <w:rFonts w:ascii="CESI仿宋-GB2312;仿宋" w:hAnsi="CESI仿宋-GB2312;仿宋" w:cs="CESI仿宋-GB2312;仿宋" w:hint="eastAsia" w:eastAsia="CESI仿宋-GB2312;仿宋"/>
          <w:color w:val="0D0D0D"/>
          <w:sz w:val="32"/>
          <w:szCs w:val="32"/>
        </w:rPr>
        <w:t>秦腔院团应当发挥自身优势，加强秦腔艺术人才培养，重视青年人才培养使用，发挥老艺术家传帮带作用，不断提升秦腔院团创作、表演水平。</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第十九条</w:t>
      </w:r>
      <w:r>
        <w:rPr>
          <w:rFonts w:ascii="CESI楷体-GB2312;宋体" w:hAnsi="CESI楷体-GB2312;宋体" w:cs="CESI楷体-GB2312;宋体" w:hint="eastAsia" w:eastAsia="CESI楷体-GB2312;宋体"/>
          <w:color w:val="0D0D0D"/>
          <w:sz w:val="32"/>
          <w:szCs w:val="32"/>
        </w:rPr>
        <w:t xml:space="preserve">  </w:t>
      </w:r>
      <w:r>
        <w:rPr>
          <w:rFonts w:ascii="CESI仿宋-GB2312;仿宋" w:hAnsi="CESI仿宋-GB2312;仿宋" w:cs="CESI仿宋-GB2312;仿宋" w:hint="eastAsia" w:eastAsia="CESI仿宋-GB2312;仿宋"/>
          <w:color w:val="0D0D0D"/>
          <w:sz w:val="32"/>
          <w:szCs w:val="32"/>
        </w:rPr>
        <w:t>戏曲职业院校应当优化秦腔艺术专业设置，加强职业道德和历史、文学等文化基础理论教育，全面提升学生综合素质。</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支持有条件的院校开设秦腔艺术编剧、导演、作曲、表演、演奏、舞台美术等专业，提高办学层次，逐步形成秦腔艺术人才培养学历教育体系。</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第二十条</w:t>
      </w:r>
      <w:r>
        <w:rPr>
          <w:rFonts w:ascii="CESI楷体-GB2312;宋体" w:hAnsi="CESI楷体-GB2312;宋体" w:cs="CESI楷体-GB2312;宋体" w:hint="eastAsia" w:eastAsia="CESI楷体-GB2312;宋体"/>
          <w:color w:val="0D0D0D"/>
          <w:sz w:val="32"/>
          <w:szCs w:val="32"/>
        </w:rPr>
        <w:t xml:space="preserve">  </w:t>
      </w:r>
      <w:r>
        <w:rPr>
          <w:rFonts w:ascii="CESI仿宋-GB2312;仿宋" w:hAnsi="CESI仿宋-GB2312;仿宋" w:cs="CESI仿宋-GB2312;仿宋" w:hint="eastAsia" w:eastAsia="CESI仿宋-GB2312;仿宋"/>
          <w:color w:val="0D0D0D"/>
          <w:sz w:val="32"/>
          <w:szCs w:val="32"/>
        </w:rPr>
        <w:t>支持符合条件的秦腔院团和专业院校通过委托培养、短期培训、合作办学等形式开展人才培养，建立学生学习实践基地及人才培养基地，推动传统</w:t>
      </w:r>
      <w:r>
        <w:rPr>
          <w:rFonts w:ascii="CESI仿宋-GB2312;仿宋" w:hAnsi="CESI仿宋-GB2312;仿宋" w:cs="CESI仿宋-GB2312;仿宋" w:hint="eastAsia" w:eastAsia="CESI仿宋-GB2312;仿宋"/>
          <w:color w:val="000000"/>
          <w:sz w:val="32"/>
          <w:szCs w:val="32"/>
        </w:rPr>
        <w:t>传承</w:t>
      </w:r>
      <w:r>
        <w:rPr>
          <w:rFonts w:ascii="CESI仿宋-GB2312;仿宋" w:hAnsi="CESI仿宋-GB2312;仿宋" w:cs="CESI仿宋-GB2312;仿宋" w:hint="eastAsia" w:eastAsia="CESI仿宋-GB2312;仿宋"/>
          <w:color w:val="0D0D0D"/>
          <w:sz w:val="32"/>
          <w:szCs w:val="32"/>
        </w:rPr>
        <w:t>方式和现代教育相结合。</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第二十一条</w:t>
      </w:r>
      <w:r>
        <w:rPr>
          <w:rFonts w:ascii="CESI黑体-GB2312;黑体" w:hAnsi="CESI黑体-GB2312;黑体" w:cs="CESI黑体-GB2312;黑体" w:hint="eastAsia" w:eastAsia="CESI黑体-GB2312;黑体"/>
          <w:color w:val="0D0D0D"/>
          <w:sz w:val="32"/>
          <w:szCs w:val="32"/>
        </w:rPr>
        <w:t xml:space="preserve">  </w:t>
      </w:r>
      <w:r>
        <w:rPr>
          <w:rFonts w:ascii="CESI仿宋-GB2312;仿宋" w:hAnsi="CESI仿宋-GB2312;仿宋" w:cs="CESI仿宋-GB2312;仿宋" w:hint="eastAsia" w:eastAsia="CESI仿宋-GB2312;仿宋"/>
          <w:color w:val="0D0D0D"/>
          <w:sz w:val="32"/>
          <w:szCs w:val="32"/>
        </w:rPr>
        <w:t>县级以上教育、文化旅游行政主管部门应当推动开展秦腔艺术进校园活动，推进中华优秀传统文化</w:t>
      </w:r>
      <w:r>
        <w:rPr>
          <w:rFonts w:ascii="CESI仿宋-GB2312;仿宋" w:hAnsi="CESI仿宋-GB2312;仿宋" w:cs="CESI仿宋-GB2312;仿宋" w:hint="eastAsia" w:eastAsia="CESI仿宋-GB2312;仿宋"/>
          <w:color w:val="000000"/>
          <w:sz w:val="32"/>
          <w:szCs w:val="32"/>
        </w:rPr>
        <w:t>传承</w:t>
      </w:r>
      <w:r>
        <w:rPr>
          <w:rFonts w:ascii="CESI仿宋-GB2312;仿宋" w:hAnsi="CESI仿宋-GB2312;仿宋" w:cs="CESI仿宋-GB2312;仿宋" w:hint="eastAsia" w:eastAsia="CESI仿宋-GB2312;仿宋"/>
          <w:color w:val="0D0D0D"/>
          <w:sz w:val="32"/>
          <w:szCs w:val="32"/>
        </w:rPr>
        <w:t>发展。</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支持学校通过举办展演展示、知识讲座、组建社团等形式，增进学生对秦腔艺术的了解和体验，培养秦腔艺术兴趣爱好。</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鼓励学校和秦腔院团、秦腔艺术代表性传承人、艺术名家合作开展校园秦腔艺术普及活动。</w:t>
      </w:r>
    </w:p>
    <w:p>
      <w:pPr>
        <w:pStyle w:val="Normal"/>
        <w:spacing w:lineRule="exact" w:line="560"/>
        <w:jc w:val="center"/>
        <w:rPr>
          <w:rFonts w:ascii="黑体" w:hAnsi="黑体" w:eastAsia="黑体" w:cs="CESI黑体-GB2312;黑体" w:hint="eastAsia"/>
          <w:color w:val="0D0D0D"/>
          <w:sz w:val="32"/>
          <w:szCs w:val="32"/>
        </w:rPr>
      </w:pPr>
      <w:r>
        <w:rPr>
          <w:rFonts w:eastAsia="黑体" w:cs="CESI黑体-GB2312;黑体" w:hint="eastAsia" w:ascii="黑体" w:hAnsi="黑体"/>
          <w:color w:val="0D0D0D"/>
          <w:sz w:val="32"/>
          <w:szCs w:val="32"/>
        </w:rPr>
      </w:r>
    </w:p>
    <w:p>
      <w:pPr>
        <w:pStyle w:val="Normal"/>
        <w:spacing w:lineRule="exact" w:line="560"/>
        <w:jc w:val="center"/>
        <w:rPr>
          <w:rFonts w:ascii="黑体" w:hAnsi="黑体" w:eastAsia="黑体" w:cs="CESI楷体-GB2312;宋体" w:hint="eastAsia"/>
          <w:color w:val="0D0D0D"/>
          <w:sz w:val="32"/>
          <w:szCs w:val="32"/>
        </w:rPr>
      </w:pPr>
      <w:r>
        <w:rPr>
          <w:rFonts w:ascii="黑体" w:hAnsi="黑体" w:cs="CESI黑体-GB2312;黑体" w:hint="eastAsia" w:eastAsia="黑体"/>
          <w:color w:val="0D0D0D"/>
          <w:sz w:val="32"/>
          <w:szCs w:val="32"/>
        </w:rPr>
        <w:t xml:space="preserve">第四章  </w:t>
      </w:r>
      <w:r>
        <w:rPr>
          <w:rFonts w:ascii="黑体" w:hAnsi="黑体" w:cs="CESI楷体-GB2312;宋体" w:hint="eastAsia" w:eastAsia="黑体"/>
          <w:color w:val="0D0D0D"/>
          <w:sz w:val="32"/>
          <w:szCs w:val="32"/>
        </w:rPr>
        <w:t>创新发展</w:t>
      </w:r>
    </w:p>
    <w:p>
      <w:pPr>
        <w:pStyle w:val="Normal"/>
        <w:spacing w:lineRule="exact" w:line="560"/>
        <w:ind w:firstLineChars="950" w:startChars="0" w:start="0" w:endChars="0" w:end="0"/>
        <w:rPr>
          <w:rFonts w:ascii="黑体" w:hAnsi="黑体" w:eastAsia="黑体" w:cs="CESI黑体-GB2312;黑体" w:hint="eastAsia"/>
          <w:color w:val="0D0D0D"/>
          <w:sz w:val="32"/>
          <w:szCs w:val="32"/>
        </w:rPr>
      </w:pPr>
      <w:r>
        <w:rPr>
          <w:rFonts w:eastAsia="黑体" w:cs="CESI黑体-GB2312;黑体" w:hint="eastAsia" w:ascii="黑体" w:hAnsi="黑体"/>
          <w:color w:val="0D0D0D"/>
          <w:sz w:val="32"/>
          <w:szCs w:val="32"/>
        </w:rPr>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第二十二条</w:t>
      </w:r>
      <w:r>
        <w:rPr>
          <w:rFonts w:ascii="CESI黑体-GB2312;黑体" w:hAnsi="CESI黑体-GB2312;黑体" w:cs="CESI黑体-GB2312;黑体" w:hint="eastAsia" w:eastAsia="CESI黑体-GB2312;黑体"/>
          <w:color w:val="0D0D0D"/>
          <w:sz w:val="32"/>
          <w:szCs w:val="32"/>
        </w:rPr>
        <w:t xml:space="preserve">  </w:t>
      </w:r>
      <w:r>
        <w:rPr>
          <w:rFonts w:ascii="CESI仿宋-GB2312;仿宋" w:hAnsi="CESI仿宋-GB2312;仿宋" w:cs="CESI仿宋-GB2312;仿宋" w:hint="eastAsia" w:eastAsia="CESI仿宋-GB2312;仿宋"/>
          <w:color w:val="0D0D0D"/>
          <w:sz w:val="32"/>
          <w:szCs w:val="32"/>
        </w:rPr>
        <w:t>县级以上人民政府及其文化旅游行政主管部门应当推动体制机制创新，加强对秦腔院团和创作、研究机构的指导，提高剧本创作、音乐创作、表演导演、舞台美术水平，创作展示优秀传统文化和体现时代特征的戏曲精品，扩大秦腔艺术的传播影响力。</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kern w:val="0"/>
          <w:sz w:val="32"/>
          <w:szCs w:val="32"/>
        </w:rPr>
      </w:pPr>
      <w:r>
        <w:rPr>
          <w:rFonts w:ascii="黑体" w:hAnsi="黑体" w:cs="黑体" w:hint="eastAsia" w:eastAsia="黑体"/>
          <w:color w:val="0D0D0D"/>
          <w:sz w:val="32"/>
          <w:szCs w:val="32"/>
        </w:rPr>
        <w:t xml:space="preserve">第二十三条  </w:t>
      </w:r>
      <w:r>
        <w:rPr>
          <w:rFonts w:ascii="CESI仿宋-GB2312;仿宋" w:hAnsi="CESI仿宋-GB2312;仿宋" w:cs="CESI仿宋-GB2312;仿宋" w:hint="eastAsia" w:eastAsia="CESI仿宋-GB2312;仿宋"/>
          <w:color w:val="0D0D0D"/>
          <w:kern w:val="0"/>
          <w:sz w:val="32"/>
          <w:szCs w:val="32"/>
        </w:rPr>
        <w:t>秦腔院团、戏曲职业院校、研究机构应当遵循秦腔艺术发展规律，在剧目创作、唱腔音乐、表演形式、理论研究、艺术评论、宣传展示等方面开展创新实践。</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第二十四条</w:t>
      </w:r>
      <w:r>
        <w:rPr>
          <w:rFonts w:ascii="CESI仿宋-GB2312;仿宋" w:hAnsi="CESI仿宋-GB2312;仿宋" w:cs="CESI仿宋-GB2312;仿宋" w:hint="eastAsia" w:eastAsia="CESI仿宋-GB2312;仿宋"/>
          <w:color w:val="0D0D0D"/>
          <w:sz w:val="32"/>
          <w:szCs w:val="32"/>
        </w:rPr>
        <w:t xml:space="preserve">  县级以上人民政府及其文化旅游、教育行政主管部门应当支持本省高等院校、科研机构、专业秦腔院团开展秦腔艺术理论研究、学术交流和流派</w:t>
      </w:r>
      <w:r>
        <w:rPr>
          <w:rFonts w:ascii="CESI仿宋-GB2312;仿宋" w:hAnsi="CESI仿宋-GB2312;仿宋" w:cs="CESI仿宋-GB2312;仿宋" w:hint="eastAsia" w:eastAsia="CESI仿宋-GB2312;仿宋"/>
          <w:color w:val="000000"/>
          <w:sz w:val="32"/>
          <w:szCs w:val="32"/>
        </w:rPr>
        <w:t>传承</w:t>
      </w:r>
      <w:r>
        <w:rPr>
          <w:rFonts w:ascii="CESI仿宋-GB2312;仿宋" w:hAnsi="CESI仿宋-GB2312;仿宋" w:cs="CESI仿宋-GB2312;仿宋" w:hint="eastAsia" w:eastAsia="CESI仿宋-GB2312;仿宋"/>
          <w:color w:val="0D0D0D"/>
          <w:sz w:val="32"/>
          <w:szCs w:val="32"/>
        </w:rPr>
        <w:t>，建立秦腔艺术理论体系，提升秦腔艺术的社会影响力。</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00000"/>
          <w:sz w:val="32"/>
          <w:szCs w:val="32"/>
          <w:bdr w:val="single" w:sz="4" w:space="0" w:color="000000"/>
        </w:rPr>
      </w:pPr>
      <w:r>
        <w:rPr>
          <w:rFonts w:ascii="CESI仿宋-GB2312;仿宋" w:hAnsi="CESI仿宋-GB2312;仿宋" w:cs="CESI仿宋-GB2312;仿宋" w:hint="eastAsia" w:eastAsia="CESI仿宋-GB2312;仿宋"/>
          <w:color w:val="0D0D0D"/>
          <w:sz w:val="32"/>
          <w:szCs w:val="32"/>
        </w:rPr>
        <w:t>列入秦腔艺术保护目录、具有专业研究能力的秦腔院团，可以根据有关规定依法设立秦腔艺术研究机构。</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第二十五条</w:t>
      </w:r>
      <w:r>
        <w:rPr>
          <w:rFonts w:ascii="CESI仿宋-GB2312;仿宋" w:hAnsi="CESI仿宋-GB2312;仿宋" w:cs="CESI仿宋-GB2312;仿宋" w:hint="eastAsia" w:eastAsia="CESI仿宋-GB2312;仿宋"/>
          <w:color w:val="0D0D0D"/>
          <w:sz w:val="32"/>
          <w:szCs w:val="32"/>
        </w:rPr>
        <w:t xml:space="preserve">  县级以上人民政府及其有关部门应当支持秦腔院团建设和发展，明确功能定位，促进其提高创作演出质量和经营管理水平。</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秦腔院团应当加强从业人员教育管理，编制艺术创作规划，开展秦腔剧目生产选题论证评估，整理改编传统剧目、新编历史剧目、创作现代剧目，提高经营管理水平和自身创作能力。</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鼓励秦腔院团突出地方特色，总结艺术实践，结合自身发展实际，形成独特的艺术风格。</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第二十六条</w:t>
      </w:r>
      <w:r>
        <w:rPr>
          <w:rFonts w:ascii="仿宋_GB2312" w:hAnsi="仿宋_GB2312" w:cs="CESI仿宋-GB2312;仿宋" w:hint="eastAsia" w:eastAsia="仿宋_GB2312"/>
          <w:color w:val="0D0D0D"/>
          <w:sz w:val="32"/>
          <w:szCs w:val="32"/>
        </w:rPr>
        <w:t xml:space="preserve">  </w:t>
      </w:r>
      <w:r>
        <w:rPr>
          <w:rFonts w:ascii="CESI仿宋-GB2312;仿宋" w:hAnsi="CESI仿宋-GB2312;仿宋" w:cs="CESI仿宋-GB2312;仿宋" w:hint="eastAsia" w:eastAsia="CESI仿宋-GB2312;仿宋"/>
          <w:color w:val="0D0D0D"/>
          <w:sz w:val="32"/>
          <w:szCs w:val="32"/>
        </w:rPr>
        <w:t>县级以上人民政府及其有关部门应当加强对民营秦腔院团和群众性秦腔组织的支持、规范、引导，通过培训辅导、组织展演、购买服务、项目资助等方式扶持其健康发展，鼓励其开展经常性群众演出活动。</w:t>
      </w:r>
    </w:p>
    <w:p>
      <w:pPr>
        <w:pStyle w:val="Normal"/>
        <w:spacing w:lineRule="exact" w:line="560"/>
        <w:ind w:firstLineChars="200" w:startChars="0" w:start="0" w:endChars="0" w:end="0"/>
        <w:rPr>
          <w:rFonts w:ascii="CESI仿宋-GB2312;仿宋" w:hAnsi="CESI仿宋-GB2312;仿宋" w:eastAsia="CESI仿宋-GB2312;仿宋" w:cs="CESI仿宋-GB2312;仿宋" w:hint="eastAsia"/>
          <w:sz w:val="32"/>
          <w:szCs w:val="32"/>
          <w:bdr w:val="single" w:sz="4" w:space="0" w:color="000000"/>
        </w:rPr>
      </w:pPr>
      <w:r>
        <w:rPr>
          <w:rFonts w:ascii="黑体" w:hAnsi="黑体" w:cs="CESI黑体-GB2312;黑体" w:hint="eastAsia" w:eastAsia="黑体"/>
          <w:color w:val="0D0D0D"/>
          <w:sz w:val="32"/>
          <w:szCs w:val="32"/>
        </w:rPr>
        <w:t>第二十七条</w:t>
      </w:r>
      <w:r>
        <w:rPr>
          <w:rFonts w:ascii="CESI黑体-GB2312;黑体" w:hAnsi="CESI黑体-GB2312;黑体" w:cs="CESI黑体-GB2312;黑体" w:hint="eastAsia" w:eastAsia="CESI黑体-GB2312;黑体"/>
          <w:color w:val="0D0D0D"/>
          <w:sz w:val="32"/>
          <w:szCs w:val="32"/>
        </w:rPr>
        <w:t xml:space="preserve">  </w:t>
      </w:r>
      <w:r>
        <w:rPr>
          <w:rFonts w:ascii="CESI仿宋-GB2312;仿宋" w:hAnsi="CESI仿宋-GB2312;仿宋" w:cs="CESI仿宋-GB2312;仿宋" w:hint="eastAsia" w:eastAsia="CESI仿宋-GB2312;仿宋"/>
          <w:color w:val="0D0D0D"/>
          <w:sz w:val="32"/>
          <w:szCs w:val="32"/>
        </w:rPr>
        <w:t>列入秦腔艺术保护目录的</w:t>
      </w:r>
      <w:r>
        <w:rPr>
          <w:rFonts w:ascii="CESI仿宋-GB2312;仿宋" w:hAnsi="CESI仿宋-GB2312;仿宋" w:cs="CESI仿宋-GB2312;仿宋" w:hint="eastAsia" w:eastAsia="CESI仿宋-GB2312;仿宋"/>
          <w:sz w:val="32"/>
          <w:szCs w:val="32"/>
        </w:rPr>
        <w:t>秦腔院团应当创作、编排、演出体现优秀传统文化和时代特征的示范性精品剧目。</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FF0000"/>
          <w:sz w:val="32"/>
          <w:szCs w:val="32"/>
          <w:bdr w:val="single" w:sz="4" w:space="0" w:color="000000"/>
        </w:rPr>
      </w:pPr>
      <w:r>
        <w:rPr>
          <w:rFonts w:ascii="CESI仿宋-GB2312;仿宋" w:hAnsi="CESI仿宋-GB2312;仿宋" w:cs="CESI仿宋-GB2312;仿宋" w:hint="eastAsia" w:eastAsia="CESI仿宋-GB2312;仿宋"/>
          <w:color w:val="0D0D0D"/>
          <w:sz w:val="32"/>
          <w:szCs w:val="32"/>
        </w:rPr>
        <w:t>鼓励国有秦腔院团加强对基层以及偏远地区、革命老区秦腔院团的示范、指导和帮扶。</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鼓励秦腔院团为秦腔艺术社会组织、自乐班提供指导，提高其专业表演水平。</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bdr w:val="single" w:sz="4" w:space="0" w:color="000000"/>
        </w:rPr>
      </w:pPr>
      <w:r>
        <w:rPr>
          <w:rFonts w:ascii="黑体" w:hAnsi="黑体" w:cs="CESI黑体-GB2312;黑体" w:hint="eastAsia" w:eastAsia="黑体"/>
          <w:color w:val="0D0D0D"/>
          <w:sz w:val="32"/>
          <w:szCs w:val="32"/>
        </w:rPr>
        <w:t>第二十八条</w:t>
      </w:r>
      <w:r>
        <w:rPr>
          <w:rFonts w:ascii="CESI黑体-GB2312;黑体" w:hAnsi="CESI黑体-GB2312;黑体" w:cs="CESI黑体-GB2312;黑体" w:hint="eastAsia" w:eastAsia="CESI黑体-GB2312;黑体"/>
          <w:color w:val="0D0D0D"/>
          <w:sz w:val="32"/>
          <w:szCs w:val="32"/>
        </w:rPr>
        <w:t xml:space="preserve">  </w:t>
      </w:r>
      <w:r>
        <w:rPr>
          <w:rFonts w:ascii="CESI仿宋-GB2312;仿宋" w:hAnsi="CESI仿宋-GB2312;仿宋" w:cs="CESI仿宋-GB2312;仿宋" w:hint="eastAsia" w:eastAsia="CESI仿宋-GB2312;仿宋"/>
          <w:color w:val="0D0D0D"/>
          <w:sz w:val="32"/>
          <w:szCs w:val="32"/>
        </w:rPr>
        <w:t>县级以上人民政府应当将秦腔艺术演出纳入基本公共文化服务目录，发挥秦腔院团在基层文化建设中的作用。</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bdr w:val="single" w:sz="4" w:space="0" w:color="000000"/>
        </w:rPr>
      </w:pPr>
      <w:r>
        <w:rPr>
          <w:rFonts w:ascii="CESI仿宋-GB2312;仿宋" w:hAnsi="CESI仿宋-GB2312;仿宋" w:cs="CESI仿宋-GB2312;仿宋" w:hint="eastAsia" w:eastAsia="CESI仿宋-GB2312;仿宋"/>
          <w:color w:val="0D0D0D"/>
          <w:sz w:val="32"/>
          <w:szCs w:val="32"/>
        </w:rPr>
        <w:t>国有秦腔院团应当按照基本公共服务实施标准和演出场次要求，深入乡（镇）、村（社区）、企业和其他基层单位开展巡演，丰富基层群众文化生活。</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第二十九条</w:t>
      </w:r>
      <w:r>
        <w:rPr>
          <w:rFonts w:ascii="CESI黑体-GB2312;黑体" w:hAnsi="CESI黑体-GB2312;黑体" w:cs="CESI黑体-GB2312;黑体" w:hint="eastAsia" w:eastAsia="CESI黑体-GB2312;黑体"/>
          <w:color w:val="0D0D0D"/>
          <w:sz w:val="32"/>
          <w:szCs w:val="32"/>
        </w:rPr>
        <w:t xml:space="preserve">  </w:t>
      </w:r>
      <w:r>
        <w:rPr>
          <w:rFonts w:ascii="CESI仿宋-GB2312;仿宋" w:hAnsi="CESI仿宋-GB2312;仿宋" w:cs="CESI仿宋-GB2312;仿宋" w:hint="eastAsia" w:eastAsia="CESI仿宋-GB2312;仿宋"/>
          <w:color w:val="0D0D0D"/>
          <w:sz w:val="32"/>
          <w:szCs w:val="32"/>
        </w:rPr>
        <w:t>鼓励秦腔院团开拓演出市场，加强优秀剧目宣传推广，开展驻场演出和巡演，创作、编排、演出适合年轻消费群体观演需求的优秀剧目。</w:t>
      </w:r>
      <w:r>
        <w:rPr>
          <w:rFonts w:eastAsia="CESI仿宋-GB2312;仿宋" w:cs="CESI仿宋-GB2312;仿宋" w:hint="eastAsia" w:ascii="CESI仿宋-GB2312;仿宋" w:hAnsi="CESI仿宋-GB2312;仿宋"/>
          <w:color w:val="0D0D0D"/>
          <w:sz w:val="32"/>
          <w:szCs w:val="32"/>
        </w:rPr>
        <w:br/>
        <w:t xml:space="preserve">    </w:t>
      </w:r>
      <w:r>
        <w:rPr>
          <w:rFonts w:ascii="CESI仿宋-GB2312;仿宋" w:hAnsi="CESI仿宋-GB2312;仿宋" w:cs="CESI仿宋-GB2312;仿宋" w:hint="eastAsia" w:eastAsia="CESI仿宋-GB2312;仿宋"/>
          <w:color w:val="0D0D0D"/>
          <w:sz w:val="32"/>
          <w:szCs w:val="32"/>
        </w:rPr>
        <w:t>鼓励秦腔院团加强与互联网平台合作，建设在线剧院、数字剧场，制作适合线上观演的秦腔剧目、动漫和影视剧等优秀作品，提高线上传播能力，培育发展线上演播新业态。</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第三十条</w:t>
      </w:r>
      <w:r>
        <w:rPr>
          <w:rFonts w:ascii="CESI黑体-GB2312;黑体" w:hAnsi="CESI黑体-GB2312;黑体" w:cs="CESI黑体-GB2312;黑体" w:hint="eastAsia" w:eastAsia="CESI黑体-GB2312;黑体"/>
          <w:color w:val="0D0D0D"/>
          <w:sz w:val="32"/>
          <w:szCs w:val="32"/>
        </w:rPr>
        <w:t xml:space="preserve">  </w:t>
      </w:r>
      <w:r>
        <w:rPr>
          <w:rFonts w:ascii="CESI仿宋-GB2312;仿宋" w:hAnsi="CESI仿宋-GB2312;仿宋" w:cs="CESI仿宋-GB2312;仿宋" w:hint="eastAsia" w:eastAsia="CESI仿宋-GB2312;仿宋"/>
          <w:color w:val="0D0D0D"/>
          <w:sz w:val="32"/>
          <w:szCs w:val="32"/>
        </w:rPr>
        <w:t>县级以上文化旅游行政主管部门应当加强秦腔艺术展示交流，充分利用秦腔艺术节等活动和各类媒体平台，展示优秀创作成果、开展理论研讨，扩大剧种影响，推动秦腔艺术</w:t>
      </w:r>
      <w:r>
        <w:rPr>
          <w:rFonts w:ascii="CESI仿宋-GB2312;仿宋" w:hAnsi="CESI仿宋-GB2312;仿宋" w:cs="CESI仿宋-GB2312;仿宋" w:hint="eastAsia" w:eastAsia="CESI仿宋-GB2312;仿宋"/>
          <w:color w:val="000000"/>
          <w:sz w:val="32"/>
          <w:szCs w:val="32"/>
        </w:rPr>
        <w:t>传承</w:t>
      </w:r>
      <w:r>
        <w:rPr>
          <w:rFonts w:ascii="CESI仿宋-GB2312;仿宋" w:hAnsi="CESI仿宋-GB2312;仿宋" w:cs="CESI仿宋-GB2312;仿宋" w:hint="eastAsia" w:eastAsia="CESI仿宋-GB2312;仿宋"/>
          <w:color w:val="0D0D0D"/>
          <w:sz w:val="32"/>
          <w:szCs w:val="32"/>
        </w:rPr>
        <w:t>发展。</w:t>
      </w:r>
    </w:p>
    <w:p>
      <w:pPr>
        <w:pStyle w:val="Normal"/>
        <w:spacing w:lineRule="exact" w:line="560"/>
        <w:ind w:firstLineChars="200" w:startChars="0" w:start="0" w:endChars="0" w:end="0"/>
        <w:rPr>
          <w:rFonts w:ascii="仿宋_GB2312" w:hAnsi="仿宋_GB2312" w:eastAsia="仿宋_GB2312"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鼓励秦腔院团、研究机构、秦腔艺术社会组织、代表性传承人和知名艺术家广泛开展秦腔艺术交流活动。</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bdr w:val="single" w:sz="4" w:space="0" w:color="000000"/>
        </w:rPr>
      </w:pPr>
      <w:r>
        <w:rPr>
          <w:rFonts w:ascii="黑体" w:hAnsi="黑体" w:cs="CESI黑体-GB2312;黑体" w:hint="eastAsia" w:eastAsia="黑体"/>
          <w:color w:val="0D0D0D"/>
          <w:sz w:val="32"/>
          <w:szCs w:val="32"/>
        </w:rPr>
        <w:t>第三十一</w:t>
      </w:r>
      <w:r>
        <w:rPr>
          <w:rFonts w:ascii="黑体" w:hAnsi="黑体" w:cs="CESI黑体-GB2312;黑体" w:hint="eastAsia" w:eastAsia="黑体"/>
          <w:color w:val="0D0D0D"/>
          <w:sz w:val="32"/>
          <w:szCs w:val="32"/>
        </w:rPr>
        <w:t>条</w:t>
      </w:r>
      <w:r>
        <w:rPr>
          <w:rFonts w:ascii="CESI楷体-GB2312;宋体" w:hAnsi="CESI楷体-GB2312;宋体" w:cs="CESI楷体-GB2312;宋体" w:hint="eastAsia" w:eastAsia="CESI楷体-GB2312;宋体"/>
          <w:color w:val="0D0D0D"/>
          <w:sz w:val="32"/>
          <w:szCs w:val="32"/>
        </w:rPr>
        <w:t xml:space="preserve"> </w:t>
      </w:r>
      <w:r>
        <w:rPr>
          <w:rFonts w:ascii="CESI黑体-GB2312;黑体" w:hAnsi="CESI黑体-GB2312;黑体" w:cs="CESI黑体-GB2312;黑体" w:hint="eastAsia" w:eastAsia="CESI黑体-GB2312;黑体"/>
          <w:color w:val="0D0D0D"/>
          <w:sz w:val="32"/>
          <w:szCs w:val="32"/>
        </w:rPr>
        <w:t xml:space="preserve"> </w:t>
      </w:r>
      <w:r>
        <w:rPr>
          <w:rFonts w:ascii="CESI仿宋-GB2312;仿宋" w:hAnsi="CESI仿宋-GB2312;仿宋" w:cs="CESI仿宋-GB2312;仿宋" w:hint="eastAsia" w:eastAsia="CESI仿宋-GB2312;仿宋"/>
          <w:color w:val="0D0D0D"/>
          <w:sz w:val="32"/>
          <w:szCs w:val="32"/>
        </w:rPr>
        <w:t>县级以上人民政府及其有关部门应当推动秦腔艺术与旅游产业深度融合，利用特色小镇、特色街区、旅游景区，体现秦腔艺术经典性元素和标志性符号，结合节庆文化活动、当地民俗活动，展示、展演秦腔艺术。</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鼓励推出具有秦腔艺术特色的旅游演艺项目、沉浸式</w:t>
      </w:r>
      <w:r>
        <w:rPr>
          <w:rFonts w:ascii="CESI仿宋-GB2312;仿宋" w:hAnsi="CESI仿宋-GB2312;仿宋" w:cs="CESI仿宋-GB2312;仿宋" w:hint="eastAsia" w:eastAsia="CESI仿宋-GB2312;仿宋"/>
          <w:color w:val="333333"/>
          <w:sz w:val="32"/>
          <w:szCs w:val="32"/>
        </w:rPr>
        <w:t>体验场景</w:t>
      </w:r>
      <w:r>
        <w:rPr>
          <w:rFonts w:ascii="CESI仿宋-GB2312;仿宋" w:hAnsi="CESI仿宋-GB2312;仿宋" w:cs="CESI仿宋-GB2312;仿宋" w:hint="eastAsia" w:eastAsia="CESI仿宋-GB2312;仿宋"/>
          <w:color w:val="0D0D0D"/>
          <w:sz w:val="32"/>
          <w:szCs w:val="32"/>
        </w:rPr>
        <w:t>和主题旅游线路。鼓励合理利用秦腔艺术资源开发文化创意产品。</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第三十二条</w:t>
      </w:r>
      <w:r>
        <w:rPr>
          <w:rFonts w:ascii="CESI楷体-GB2312;宋体" w:hAnsi="CESI楷体-GB2312;宋体" w:cs="CESI楷体-GB2312;宋体" w:hint="eastAsia" w:eastAsia="CESI楷体-GB2312;宋体"/>
          <w:color w:val="0D0D0D"/>
          <w:sz w:val="32"/>
          <w:szCs w:val="32"/>
        </w:rPr>
        <w:t xml:space="preserve"> </w:t>
      </w:r>
      <w:r>
        <w:rPr>
          <w:rFonts w:ascii="CESI黑体-GB2312;黑体" w:hAnsi="CESI黑体-GB2312;黑体" w:cs="CESI黑体-GB2312;黑体" w:hint="eastAsia" w:eastAsia="CESI黑体-GB2312;黑体"/>
          <w:color w:val="0D0D0D"/>
          <w:sz w:val="32"/>
          <w:szCs w:val="32"/>
        </w:rPr>
        <w:t xml:space="preserve"> </w:t>
      </w:r>
      <w:r>
        <w:rPr>
          <w:rFonts w:ascii="仿宋_GB2312" w:hAnsi="仿宋_GB2312" w:cs="CESI仿宋-GB2312;仿宋" w:hint="eastAsia" w:eastAsia="仿宋_GB2312"/>
          <w:color w:val="0D0D0D"/>
          <w:sz w:val="32"/>
          <w:szCs w:val="32"/>
        </w:rPr>
        <w:t>县级以上文化旅游、市场监督等有关部门应当加强对秦腔艺术演出市场的监督管理，推动秦腔艺术演出市场健康发展。</w:t>
      </w:r>
    </w:p>
    <w:p>
      <w:pPr>
        <w:pStyle w:val="Normal"/>
        <w:spacing w:lineRule="exact" w:line="560"/>
        <w:ind w:firstLineChars="900" w:startChars="0" w:start="0" w:endChars="0" w:end="0"/>
        <w:rPr>
          <w:rFonts w:ascii="黑体" w:hAnsi="黑体" w:eastAsia="黑体" w:cs="CESI黑体-GB2312;黑体" w:hint="eastAsia"/>
          <w:color w:val="0D0D0D"/>
          <w:sz w:val="32"/>
          <w:szCs w:val="32"/>
        </w:rPr>
      </w:pPr>
      <w:r>
        <w:rPr>
          <w:rFonts w:eastAsia="黑体" w:cs="CESI黑体-GB2312;黑体" w:hint="eastAsia" w:ascii="黑体" w:hAnsi="黑体"/>
          <w:color w:val="0D0D0D"/>
          <w:sz w:val="32"/>
          <w:szCs w:val="32"/>
        </w:rPr>
      </w:r>
    </w:p>
    <w:p>
      <w:pPr>
        <w:pStyle w:val="Normal"/>
        <w:spacing w:lineRule="exact" w:line="560"/>
        <w:jc w:val="center"/>
        <w:rPr>
          <w:rFonts w:ascii="黑体" w:hAnsi="黑体" w:eastAsia="黑体" w:cs="CESI黑体-GB2312;黑体" w:hint="eastAsia"/>
          <w:color w:val="0D0D0D"/>
          <w:sz w:val="32"/>
          <w:szCs w:val="32"/>
        </w:rPr>
      </w:pPr>
      <w:r>
        <w:rPr>
          <w:rFonts w:ascii="黑体" w:hAnsi="黑体" w:cs="CESI黑体-GB2312;黑体" w:hint="eastAsia" w:eastAsia="黑体"/>
          <w:color w:val="0D0D0D"/>
          <w:sz w:val="32"/>
          <w:szCs w:val="32"/>
        </w:rPr>
        <w:t xml:space="preserve">第五章  </w:t>
      </w:r>
      <w:r>
        <w:rPr>
          <w:rFonts w:ascii="黑体" w:hAnsi="黑体" w:cs="CESI楷体-GB2312;宋体" w:hint="eastAsia" w:eastAsia="黑体"/>
          <w:color w:val="0D0D0D"/>
          <w:sz w:val="32"/>
          <w:szCs w:val="32"/>
        </w:rPr>
        <w:t>保障措施</w:t>
      </w:r>
    </w:p>
    <w:p>
      <w:pPr>
        <w:pStyle w:val="Normal"/>
        <w:spacing w:lineRule="exact" w:line="600"/>
        <w:ind w:firstLineChars="200" w:startChars="0" w:start="0" w:endChars="0" w:end="0"/>
        <w:rPr>
          <w:rFonts w:ascii="黑体" w:hAnsi="黑体" w:eastAsia="黑体" w:cs="CESI黑体-GB2312;黑体" w:hint="eastAsia"/>
          <w:color w:val="0D0D0D"/>
          <w:sz w:val="32"/>
          <w:szCs w:val="32"/>
        </w:rPr>
      </w:pPr>
      <w:r>
        <w:rPr>
          <w:rFonts w:eastAsia="黑体" w:cs="CESI黑体-GB2312;黑体" w:hint="eastAsia" w:ascii="黑体" w:hAnsi="黑体"/>
          <w:color w:val="0D0D0D"/>
          <w:sz w:val="32"/>
          <w:szCs w:val="32"/>
        </w:rPr>
      </w:r>
    </w:p>
    <w:p>
      <w:pPr>
        <w:pStyle w:val="Normal"/>
        <w:spacing w:lineRule="exact" w:line="60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第三十三条</w:t>
      </w:r>
      <w:r>
        <w:rPr>
          <w:rFonts w:ascii="仿宋_GB2312" w:hAnsi="仿宋_GB2312" w:cs="CESI黑体-GB2312;黑体" w:hint="eastAsia" w:eastAsia="仿宋_GB2312"/>
          <w:color w:val="0D0D0D"/>
          <w:sz w:val="32"/>
          <w:szCs w:val="32"/>
        </w:rPr>
        <w:t xml:space="preserve">  </w:t>
      </w:r>
      <w:r>
        <w:rPr>
          <w:rFonts w:ascii="CESI仿宋-GB2312;仿宋" w:hAnsi="CESI仿宋-GB2312;仿宋" w:cs="CESI仿宋-GB2312;仿宋" w:hint="eastAsia" w:eastAsia="CESI仿宋-GB2312;仿宋"/>
          <w:color w:val="0D0D0D"/>
          <w:sz w:val="32"/>
          <w:szCs w:val="32"/>
        </w:rPr>
        <w:t>省人民政府应当在本级公共文化发展专项资金中安排秦腔艺术保护传承发展专项资金，设区的市、县（市、区）人民政府根据实际情况在本级财政预算中安排秦腔艺术保护传承发展专项资金，用于资源普查、创作展示、人才培养、品牌保护、理论研究、设施建设、宣传推广、交流合作等项目。</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第三十四条</w:t>
      </w:r>
      <w:r>
        <w:rPr>
          <w:rFonts w:ascii="CESI楷体-GB2312;宋体" w:hAnsi="CESI楷体-GB2312;宋体" w:cs="CESI楷体-GB2312;宋体" w:hint="eastAsia" w:eastAsia="CESI楷体-GB2312;宋体"/>
          <w:color w:val="0D0D0D"/>
          <w:sz w:val="32"/>
          <w:szCs w:val="32"/>
        </w:rPr>
        <w:t xml:space="preserve">  </w:t>
      </w:r>
      <w:r>
        <w:rPr>
          <w:rFonts w:ascii="CESI仿宋-GB2312;仿宋" w:hAnsi="CESI仿宋-GB2312;仿宋" w:cs="CESI仿宋-GB2312;仿宋" w:hint="eastAsia" w:eastAsia="CESI仿宋-GB2312;仿宋"/>
          <w:color w:val="0D0D0D"/>
          <w:sz w:val="32"/>
          <w:szCs w:val="32"/>
        </w:rPr>
        <w:t>鼓励公民、法人和非法人组织通过捐赠、捐助设施设备、资助项目、赞助活动、提供产品和服务等方式参与秦腔艺术保护传承发展，并依法享受税收优惠。</w:t>
      </w:r>
    </w:p>
    <w:p>
      <w:pPr>
        <w:pStyle w:val="Normal"/>
        <w:spacing w:lineRule="exact" w:line="560"/>
        <w:ind w:firstLineChars="200" w:startChars="0" w:start="0" w:endChars="0" w:end="0"/>
        <w:rPr>
          <w:rFonts w:ascii="仿宋_GB2312" w:hAnsi="仿宋_GB2312" w:eastAsia="仿宋_GB2312" w:cs="CESI仿宋-GB2312;仿宋" w:hint="eastAsia"/>
          <w:color w:val="0D0D0D"/>
          <w:sz w:val="32"/>
          <w:szCs w:val="32"/>
        </w:rPr>
      </w:pPr>
      <w:r>
        <w:rPr>
          <w:rFonts w:ascii="黑体" w:hAnsi="黑体" w:cs="CESI黑体-GB2312;黑体" w:hint="eastAsia" w:eastAsia="黑体"/>
          <w:color w:val="0D0D0D"/>
          <w:sz w:val="32"/>
          <w:szCs w:val="32"/>
        </w:rPr>
        <w:t>第三十五条</w:t>
      </w:r>
      <w:r>
        <w:rPr>
          <w:rFonts w:ascii="CESI楷体-GB2312;宋体" w:hAnsi="CESI楷体-GB2312;宋体" w:cs="CESI楷体-GB2312;宋体" w:hint="eastAsia" w:eastAsia="CESI楷体-GB2312;宋体"/>
          <w:color w:val="0D0D0D"/>
          <w:sz w:val="32"/>
          <w:szCs w:val="32"/>
        </w:rPr>
        <w:t xml:space="preserve">  </w:t>
      </w:r>
      <w:r>
        <w:rPr>
          <w:rFonts w:ascii="仿宋_GB2312" w:hAnsi="仿宋_GB2312" w:cs="CESI仿宋-GB2312;仿宋" w:hint="eastAsia" w:eastAsia="仿宋_GB2312"/>
          <w:color w:val="0D0D0D"/>
          <w:sz w:val="32"/>
          <w:szCs w:val="32"/>
        </w:rPr>
        <w:t>县级以上文化旅游行政主管部门可以采取政府购买服务的方式开展以下活动：</w:t>
      </w:r>
    </w:p>
    <w:p>
      <w:pPr>
        <w:pStyle w:val="Normal"/>
        <w:spacing w:lineRule="exact" w:line="560"/>
        <w:ind w:firstLineChars="200" w:startChars="0" w:start="0" w:endChars="0" w:end="0"/>
        <w:rPr>
          <w:rFonts w:ascii="仿宋_GB2312" w:hAnsi="仿宋_GB2312" w:eastAsia="仿宋_GB2312" w:cs="CESI仿宋-GB2312;仿宋" w:hint="eastAsia"/>
          <w:color w:val="0D0D0D"/>
          <w:sz w:val="32"/>
          <w:szCs w:val="32"/>
        </w:rPr>
      </w:pPr>
      <w:r>
        <w:rPr>
          <w:rFonts w:ascii="仿宋_GB2312" w:hAnsi="仿宋_GB2312" w:cs="CESI仿宋-GB2312;仿宋" w:hint="eastAsia" w:eastAsia="仿宋_GB2312"/>
          <w:color w:val="0D0D0D"/>
          <w:sz w:val="32"/>
          <w:szCs w:val="32"/>
        </w:rPr>
        <w:t>（一）组织秦腔艺术优秀剧目惠民演出；</w:t>
      </w:r>
    </w:p>
    <w:p>
      <w:pPr>
        <w:pStyle w:val="Normal"/>
        <w:spacing w:lineRule="exact" w:line="560"/>
        <w:ind w:firstLineChars="200" w:startChars="0" w:start="0" w:endChars="0" w:end="0"/>
        <w:rPr>
          <w:rFonts w:ascii="仿宋_GB2312" w:hAnsi="仿宋_GB2312" w:eastAsia="仿宋_GB2312" w:cs="CESI仿宋-GB2312;仿宋" w:hint="eastAsia"/>
          <w:color w:val="0D0D0D"/>
          <w:sz w:val="32"/>
          <w:szCs w:val="32"/>
        </w:rPr>
      </w:pPr>
      <w:r>
        <w:rPr>
          <w:rFonts w:ascii="仿宋_GB2312" w:hAnsi="仿宋_GB2312" w:cs="CESI仿宋-GB2312;仿宋" w:hint="eastAsia" w:eastAsia="仿宋_GB2312"/>
          <w:color w:val="0D0D0D"/>
          <w:sz w:val="32"/>
          <w:szCs w:val="32"/>
        </w:rPr>
        <w:t>（二）支</w:t>
      </w:r>
      <w:r>
        <w:rPr>
          <w:rFonts w:ascii="CESI仿宋-GB2312;仿宋" w:hAnsi="CESI仿宋-GB2312;仿宋" w:cs="CESI仿宋-GB2312;仿宋" w:hint="eastAsia" w:eastAsia="CESI仿宋-GB2312;仿宋"/>
          <w:color w:val="0D0D0D"/>
          <w:sz w:val="32"/>
          <w:szCs w:val="32"/>
        </w:rPr>
        <w:t>持秦腔院团或者秦腔艺术社会组织的公益性演出活动</w:t>
      </w:r>
      <w:r>
        <w:rPr>
          <w:rFonts w:ascii="仿宋_GB2312" w:hAnsi="仿宋_GB2312" w:cs="CESI仿宋-GB2312;仿宋" w:hint="eastAsia" w:eastAsia="仿宋_GB2312"/>
          <w:color w:val="0D0D0D"/>
          <w:sz w:val="32"/>
          <w:szCs w:val="32"/>
        </w:rPr>
        <w:t>；</w:t>
      </w:r>
    </w:p>
    <w:p>
      <w:pPr>
        <w:pStyle w:val="Normal"/>
        <w:spacing w:lineRule="exact" w:line="560"/>
        <w:ind w:firstLineChars="200" w:startChars="0" w:start="0" w:endChars="0" w:end="0"/>
        <w:rPr>
          <w:rFonts w:ascii="仿宋_GB2312" w:hAnsi="仿宋_GB2312" w:eastAsia="仿宋_GB2312" w:cs="CESI仿宋-GB2312;仿宋" w:hint="eastAsia"/>
          <w:color w:val="0D0D0D"/>
          <w:sz w:val="32"/>
          <w:szCs w:val="32"/>
        </w:rPr>
      </w:pPr>
      <w:r>
        <w:rPr>
          <w:rFonts w:ascii="仿宋_GB2312" w:hAnsi="仿宋_GB2312" w:cs="CESI仿宋-GB2312;仿宋" w:hint="eastAsia" w:eastAsia="仿宋_GB2312"/>
          <w:color w:val="0D0D0D"/>
          <w:sz w:val="32"/>
          <w:szCs w:val="32"/>
        </w:rPr>
        <w:t>（三）开展秦腔艺术理论研究；</w:t>
      </w:r>
    </w:p>
    <w:p>
      <w:pPr>
        <w:pStyle w:val="Normal"/>
        <w:spacing w:lineRule="exact" w:line="560"/>
        <w:ind w:firstLineChars="200" w:startChars="0" w:start="0" w:endChars="0" w:end="0"/>
        <w:rPr>
          <w:rFonts w:ascii="仿宋_GB2312" w:hAnsi="仿宋_GB2312" w:eastAsia="仿宋_GB2312" w:cs="CESI仿宋-GB2312;仿宋" w:hint="eastAsia"/>
          <w:color w:val="0D0D0D"/>
          <w:sz w:val="32"/>
          <w:szCs w:val="32"/>
        </w:rPr>
      </w:pPr>
      <w:r>
        <w:rPr>
          <w:rFonts w:ascii="仿宋_GB2312" w:hAnsi="仿宋_GB2312" w:cs="CESI仿宋-GB2312;仿宋" w:hint="eastAsia" w:eastAsia="仿宋_GB2312"/>
          <w:color w:val="0D0D0D"/>
          <w:sz w:val="32"/>
          <w:szCs w:val="32"/>
        </w:rPr>
        <w:t>（四）征集、购买优秀秦腔剧本</w:t>
      </w:r>
      <w:r>
        <w:rPr>
          <w:rFonts w:ascii="仿宋_GB2312" w:hAnsi="仿宋_GB2312" w:cs="仿宋_GB2312" w:hint="eastAsia" w:eastAsia="仿宋_GB2312"/>
          <w:sz w:val="32"/>
          <w:szCs w:val="32"/>
        </w:rPr>
        <w:t>；</w:t>
      </w:r>
    </w:p>
    <w:p>
      <w:pPr>
        <w:pStyle w:val="Normal"/>
        <w:spacing w:lineRule="exact" w:line="560"/>
        <w:ind w:firstLineChars="200" w:startChars="0" w:start="0" w:endChars="0" w:end="0"/>
        <w:rPr>
          <w:rFonts w:ascii="仿宋_GB2312" w:hAnsi="仿宋_GB2312" w:eastAsia="仿宋_GB2312" w:cs="CESI仿宋-GB2312;仿宋" w:hint="eastAsia"/>
          <w:color w:val="0D0D0D"/>
          <w:sz w:val="32"/>
          <w:szCs w:val="32"/>
        </w:rPr>
      </w:pPr>
      <w:r>
        <w:rPr>
          <w:rFonts w:ascii="仿宋_GB2312" w:hAnsi="仿宋_GB2312" w:cs="CESI仿宋-GB2312;仿宋" w:hint="eastAsia" w:eastAsia="仿宋_GB2312"/>
          <w:color w:val="0D0D0D"/>
          <w:sz w:val="32"/>
          <w:szCs w:val="32"/>
        </w:rPr>
        <w:t>（五）秦腔艺术保护传承的其他公益性活动。</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第三十六条</w:t>
      </w:r>
      <w:r>
        <w:rPr>
          <w:rFonts w:ascii="CESI仿宋-GB2312;仿宋" w:hAnsi="CESI仿宋-GB2312;仿宋" w:cs="CESI仿宋-GB2312;仿宋" w:hint="eastAsia" w:eastAsia="CESI仿宋-GB2312;仿宋"/>
          <w:color w:val="0D0D0D"/>
          <w:sz w:val="32"/>
          <w:szCs w:val="32"/>
        </w:rPr>
        <w:t xml:space="preserve">  县级以上人民政府及其自然资源规划、住房城乡建设行政主管部门应当</w:t>
      </w:r>
      <w:r>
        <w:rPr>
          <w:rFonts w:ascii="CESI仿宋-GB2312;仿宋" w:hAnsi="CESI仿宋-GB2312;仿宋" w:cs="CESI仿宋-GB2312;仿宋" w:hint="eastAsia" w:eastAsia="CESI仿宋-GB2312;仿宋"/>
          <w:color w:val="0D0D0D"/>
          <w:kern w:val="0"/>
          <w:sz w:val="32"/>
          <w:szCs w:val="32"/>
        </w:rPr>
        <w:t>将公共文化设施建设纳入本级城乡规划，结合文化街区改造，合理布局、</w:t>
      </w:r>
      <w:r>
        <w:rPr>
          <w:rFonts w:ascii="CESI仿宋-GB2312;仿宋" w:hAnsi="CESI仿宋-GB2312;仿宋" w:cs="CESI仿宋-GB2312;仿宋" w:hint="eastAsia" w:eastAsia="CESI仿宋-GB2312;仿宋"/>
          <w:kern w:val="0"/>
          <w:sz w:val="32"/>
          <w:szCs w:val="32"/>
        </w:rPr>
        <w:t>规划建设</w:t>
      </w:r>
      <w:r>
        <w:rPr>
          <w:rFonts w:ascii="CESI仿宋-GB2312;仿宋" w:hAnsi="CESI仿宋-GB2312;仿宋" w:cs="CESI仿宋-GB2312;仿宋" w:hint="eastAsia" w:eastAsia="CESI仿宋-GB2312;仿宋"/>
          <w:color w:val="0D0D0D"/>
          <w:kern w:val="0"/>
          <w:sz w:val="32"/>
          <w:szCs w:val="32"/>
        </w:rPr>
        <w:t>秦腔院团展演场所。</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鼓励群众艺术馆、文化馆（站）、工人文化宫等通过资源共享、项目合作等方式，为秦腔院团免费或者低价提供排练演出场所。</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第三十七条</w:t>
      </w:r>
      <w:r>
        <w:rPr>
          <w:rFonts w:ascii="CESI黑体-GB2312;黑体" w:hAnsi="CESI黑体-GB2312;黑体" w:cs="CESI黑体-GB2312;黑体" w:hint="eastAsia" w:eastAsia="CESI黑体-GB2312;黑体"/>
          <w:color w:val="0D0D0D"/>
          <w:sz w:val="32"/>
          <w:szCs w:val="32"/>
        </w:rPr>
        <w:t xml:space="preserve">  </w:t>
      </w:r>
      <w:r>
        <w:rPr>
          <w:rFonts w:ascii="CESI仿宋-GB2312;仿宋" w:hAnsi="CESI仿宋-GB2312;仿宋" w:cs="CESI仿宋-GB2312;仿宋" w:hint="eastAsia" w:eastAsia="CESI仿宋-GB2312;仿宋"/>
          <w:color w:val="0D0D0D"/>
          <w:sz w:val="32"/>
          <w:szCs w:val="32"/>
        </w:rPr>
        <w:t>人力资源社会保障行政主管部门应当加强秦腔艺术从业人员职称评审管理，规范职称评审程序，科学公正评价秦腔艺术人才的政治品德、职业道德、专业水平、创新能力和业绩贡献。</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对列入秦腔艺术保护目录的秦腔院团在职称申报和评审中应当根据实际情况予以政策倾斜；对有一定社会影响、公众认可或者长期服务基层的优秀秦腔艺术人才，可以适当放宽职称申报条件；对引进的高层次或者做出突出贡献的优秀秦腔艺术人才开辟绿色通道，考核认定晋升职称。</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第三十八条</w:t>
      </w:r>
      <w:r>
        <w:rPr>
          <w:rFonts w:ascii="CESI黑体-GB2312;黑体" w:hAnsi="CESI黑体-GB2312;黑体" w:cs="CESI黑体-GB2312;黑体" w:hint="eastAsia" w:eastAsia="CESI黑体-GB2312;黑体"/>
          <w:color w:val="0D0D0D"/>
          <w:sz w:val="32"/>
          <w:szCs w:val="32"/>
        </w:rPr>
        <w:t xml:space="preserve">  </w:t>
      </w:r>
      <w:r>
        <w:rPr>
          <w:rFonts w:ascii="CESI仿宋-GB2312;仿宋" w:hAnsi="CESI仿宋-GB2312;仿宋" w:cs="CESI仿宋-GB2312;仿宋" w:hint="eastAsia" w:eastAsia="CESI仿宋-GB2312;仿宋"/>
          <w:color w:val="0D0D0D"/>
          <w:sz w:val="32"/>
          <w:szCs w:val="32"/>
        </w:rPr>
        <w:t>对不适宜继续从事原岗位的秦腔艺术戏曲武功等特殊岗位从业人员，县级以上人民政府有关行政主管部门应当加强转岗培训，引导、支持其从事基层公共文化服务、艺术院校教师及院团编导指导、艺术普及培训等工作。</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00000"/>
          <w:sz w:val="32"/>
          <w:szCs w:val="32"/>
        </w:rPr>
      </w:pPr>
      <w:r>
        <w:rPr>
          <w:rFonts w:ascii="黑体" w:hAnsi="黑体" w:cs="CESI黑体-GB2312;黑体" w:hint="eastAsia" w:eastAsia="黑体"/>
          <w:color w:val="000000"/>
          <w:sz w:val="32"/>
          <w:szCs w:val="32"/>
        </w:rPr>
        <w:t>第三十九条</w:t>
      </w:r>
      <w:r>
        <w:rPr>
          <w:rFonts w:ascii="CESI黑体-GB2312;黑体" w:hAnsi="CESI黑体-GB2312;黑体" w:cs="CESI黑体-GB2312;黑体" w:hint="eastAsia" w:eastAsia="CESI黑体-GB2312;黑体"/>
          <w:color w:val="000000"/>
          <w:sz w:val="32"/>
          <w:szCs w:val="32"/>
        </w:rPr>
        <w:t xml:space="preserve">  </w:t>
      </w:r>
      <w:r>
        <w:rPr>
          <w:rFonts w:ascii="CESI仿宋-GB2312;仿宋" w:hAnsi="CESI仿宋-GB2312;仿宋" w:cs="CESI仿宋-GB2312;仿宋" w:hint="eastAsia" w:eastAsia="CESI仿宋-GB2312;仿宋"/>
          <w:color w:val="000000"/>
          <w:sz w:val="32"/>
          <w:szCs w:val="32"/>
        </w:rPr>
        <w:t>秦腔院团应当建立健全收入分配激励机制，根据演出数量和质量，合理确定从业人员的收入分配和福利保障，并依法缴纳社会保险费。鼓励秦腔院团为从业人员购买商业保险。</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color w:val="0D0D0D"/>
          <w:sz w:val="32"/>
          <w:szCs w:val="32"/>
        </w:rPr>
        <w:t>秦腔院团按照国家和本省有关规定享受税费减免优惠政策。</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第四十条</w:t>
      </w:r>
      <w:r>
        <w:rPr>
          <w:rFonts w:ascii="黑体" w:hAnsi="黑体" w:cs="CESI仿宋-GB2312;仿宋" w:hint="eastAsia" w:eastAsia="黑体"/>
          <w:color w:val="0D0D0D"/>
          <w:sz w:val="32"/>
          <w:szCs w:val="32"/>
        </w:rPr>
        <w:t xml:space="preserve">  </w:t>
      </w:r>
      <w:r>
        <w:rPr>
          <w:rFonts w:ascii="CESI仿宋-GB2312;仿宋" w:hAnsi="CESI仿宋-GB2312;仿宋" w:cs="CESI仿宋-GB2312;仿宋" w:hint="eastAsia" w:eastAsia="CESI仿宋-GB2312;仿宋"/>
          <w:color w:val="0D0D0D"/>
          <w:sz w:val="32"/>
          <w:szCs w:val="32"/>
        </w:rPr>
        <w:t>县级以上人民政府应当重视戏曲职业院校基础设施建设，改善办学条件，按照国家和本省有关规定保障经费投入。</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CESI仿宋-GB2312;仿宋" w:hAnsi="CESI仿宋-GB2312;仿宋" w:cs="CESI仿宋-GB2312;仿宋" w:hint="eastAsia" w:eastAsia="CESI仿宋-GB2312;仿宋"/>
          <w:sz w:val="32"/>
          <w:szCs w:val="32"/>
        </w:rPr>
        <w:t>接受秦腔戏曲职业学校教育的学生，按照规定享受助学金、奖学金、减免学费等优惠扶持政策。</w:t>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第四十一条</w:t>
      </w:r>
      <w:r>
        <w:rPr>
          <w:rFonts w:ascii="CESI仿宋-GB2312;仿宋" w:hAnsi="CESI仿宋-GB2312;仿宋" w:cs="CESI仿宋-GB2312;仿宋" w:hint="eastAsia" w:eastAsia="CESI仿宋-GB2312;仿宋"/>
          <w:color w:val="0D0D0D"/>
          <w:sz w:val="32"/>
          <w:szCs w:val="32"/>
        </w:rPr>
        <w:t xml:space="preserve">  县级以上文化旅游行政主管部门应当加强秦腔艺术剧目表演、文献档案等数字化建设，建立秦腔艺术资源数据库和信息共享交流网络平台。</w:t>
      </w:r>
    </w:p>
    <w:p>
      <w:pPr>
        <w:pStyle w:val="Normal"/>
        <w:spacing w:lineRule="exact" w:line="560"/>
        <w:rPr>
          <w:rFonts w:ascii="黑体" w:hAnsi="黑体" w:eastAsia="黑体" w:cs="CESI黑体-GB2312;黑体" w:hint="eastAsia"/>
          <w:color w:val="0D0D0D"/>
          <w:sz w:val="32"/>
          <w:szCs w:val="32"/>
        </w:rPr>
      </w:pPr>
      <w:r>
        <w:rPr>
          <w:rFonts w:eastAsia="黑体" w:cs="CESI黑体-GB2312;黑体" w:hint="eastAsia" w:ascii="黑体" w:hAnsi="黑体"/>
          <w:color w:val="0D0D0D"/>
          <w:sz w:val="32"/>
          <w:szCs w:val="32"/>
        </w:rPr>
      </w:r>
    </w:p>
    <w:p>
      <w:pPr>
        <w:pStyle w:val="Normal"/>
        <w:spacing w:lineRule="exact" w:line="560"/>
        <w:jc w:val="center"/>
        <w:rPr>
          <w:rFonts w:ascii="黑体" w:hAnsi="黑体" w:eastAsia="黑体" w:cs="CESI黑体-GB2312;黑体" w:hint="eastAsia"/>
          <w:color w:val="0D0D0D"/>
          <w:sz w:val="32"/>
          <w:szCs w:val="32"/>
        </w:rPr>
      </w:pPr>
      <w:r>
        <w:rPr>
          <w:rFonts w:ascii="黑体" w:hAnsi="黑体" w:cs="CESI黑体-GB2312;黑体" w:hint="eastAsia" w:eastAsia="黑体"/>
          <w:color w:val="0D0D0D"/>
          <w:sz w:val="32"/>
          <w:szCs w:val="32"/>
        </w:rPr>
        <w:t>第六章  法律责任</w:t>
      </w:r>
    </w:p>
    <w:p>
      <w:pPr>
        <w:pStyle w:val="Normal"/>
        <w:spacing w:lineRule="exact" w:line="560"/>
        <w:ind w:firstLineChars="200" w:startChars="0" w:start="0" w:endChars="0" w:end="0"/>
        <w:rPr>
          <w:rFonts w:ascii="CESI黑体-GB2312;黑体" w:hAnsi="CESI黑体-GB2312;黑体" w:eastAsia="CESI黑体-GB2312;黑体" w:cs="CESI黑体-GB2312;黑体" w:hint="eastAsia"/>
          <w:color w:val="0D0D0D"/>
          <w:sz w:val="32"/>
          <w:szCs w:val="32"/>
        </w:rPr>
      </w:pPr>
      <w:r>
        <w:rPr>
          <w:rFonts w:eastAsia="CESI黑体-GB2312;黑体" w:cs="CESI黑体-GB2312;黑体" w:hint="eastAsia" w:ascii="CESI黑体-GB2312;黑体" w:hAnsi="CESI黑体-GB2312;黑体"/>
          <w:color w:val="0D0D0D"/>
          <w:sz w:val="32"/>
          <w:szCs w:val="32"/>
        </w:rPr>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第四十二条</w:t>
      </w:r>
      <w:r>
        <w:rPr>
          <w:rFonts w:ascii="CESI黑体-GB2312;黑体" w:hAnsi="CESI黑体-GB2312;黑体" w:cs="CESI黑体-GB2312;黑体" w:hint="eastAsia" w:eastAsia="CESI黑体-GB2312;黑体"/>
          <w:color w:val="0D0D0D"/>
          <w:sz w:val="32"/>
          <w:szCs w:val="32"/>
        </w:rPr>
        <w:t xml:space="preserve">  </w:t>
      </w:r>
      <w:r>
        <w:rPr>
          <w:rFonts w:ascii="CESI仿宋-GB2312;仿宋" w:hAnsi="CESI仿宋-GB2312;仿宋" w:cs="CESI仿宋-GB2312;仿宋" w:hint="eastAsia" w:eastAsia="CESI仿宋-GB2312;仿宋"/>
          <w:color w:val="0D0D0D"/>
          <w:sz w:val="32"/>
          <w:szCs w:val="32"/>
        </w:rPr>
        <w:t>违反本条例规定，侵占、破坏秦腔艺术史料、实物、建筑设施，造成损失的，依法承担民事责任；违反治安管理处罚法的，由公安机关依法处罚；构成犯罪的，依法追究刑事责任。</w:t>
      </w:r>
    </w:p>
    <w:p>
      <w:pPr>
        <w:pStyle w:val="Normal"/>
        <w:spacing w:lineRule="exact" w:line="560"/>
        <w:ind w:firstLineChars="200" w:startChars="0" w:start="0" w:endChars="0" w:end="0"/>
        <w:rPr>
          <w:rFonts w:ascii="仿宋_GB2312" w:hAnsi="仿宋_GB2312" w:eastAsia="仿宋_GB2312" w:cs="CESI仿宋-GB2312;仿宋" w:hint="eastAsia"/>
          <w:color w:val="0D0D0D"/>
          <w:sz w:val="32"/>
          <w:szCs w:val="32"/>
          <w:bdr w:val="single" w:sz="4" w:space="0" w:color="000000"/>
        </w:rPr>
      </w:pPr>
      <w:r>
        <w:rPr>
          <w:rFonts w:ascii="黑体" w:hAnsi="黑体" w:cs="CESI黑体-GB2312;黑体" w:hint="eastAsia" w:eastAsia="黑体"/>
          <w:color w:val="0D0D0D"/>
          <w:sz w:val="32"/>
          <w:szCs w:val="32"/>
        </w:rPr>
        <w:t>第四十三条</w:t>
      </w:r>
      <w:r>
        <w:rPr>
          <w:rFonts w:ascii="CESI黑体-GB2312;黑体" w:hAnsi="CESI黑体-GB2312;黑体" w:cs="CESI黑体-GB2312;黑体" w:hint="eastAsia" w:eastAsia="CESI黑体-GB2312;黑体"/>
          <w:color w:val="0D0D0D"/>
          <w:sz w:val="32"/>
          <w:szCs w:val="32"/>
        </w:rPr>
        <w:t xml:space="preserve">  </w:t>
      </w:r>
      <w:r>
        <w:rPr>
          <w:rFonts w:ascii="仿宋_GB2312" w:hAnsi="仿宋_GB2312" w:cs="CESI仿宋-GB2312;仿宋" w:hint="eastAsia" w:eastAsia="仿宋_GB2312"/>
          <w:color w:val="0D0D0D"/>
          <w:sz w:val="32"/>
          <w:szCs w:val="32"/>
        </w:rPr>
        <w:t>文化旅游行政主管部门和其他有关部门及其工作人员在秦腔</w:t>
      </w:r>
      <w:r>
        <w:rPr>
          <w:rFonts w:ascii="CESI仿宋-GB2312;仿宋" w:hAnsi="CESI仿宋-GB2312;仿宋" w:cs="CESI仿宋-GB2312;仿宋" w:hint="eastAsia" w:eastAsia="CESI仿宋-GB2312;仿宋"/>
          <w:color w:val="0D0D0D"/>
          <w:sz w:val="32"/>
          <w:szCs w:val="32"/>
        </w:rPr>
        <w:t>艺术保护传承发展工作</w:t>
      </w:r>
      <w:r>
        <w:rPr>
          <w:rFonts w:ascii="仿宋_GB2312" w:hAnsi="仿宋_GB2312" w:cs="CESI仿宋-GB2312;仿宋" w:hint="eastAsia" w:eastAsia="仿宋_GB2312"/>
          <w:color w:val="0D0D0D"/>
          <w:sz w:val="32"/>
          <w:szCs w:val="32"/>
        </w:rPr>
        <w:t>中，玩忽职守、滥用职权、徇私舞弊的，对直接负责的主管人员和其他直接责任人员依法给予处分；构成犯罪的，依法追究刑事责任。</w:t>
      </w:r>
    </w:p>
    <w:p>
      <w:pPr>
        <w:pStyle w:val="Normal"/>
        <w:spacing w:lineRule="exact" w:line="560"/>
        <w:ind w:firstLineChars="200" w:startChars="0" w:start="0" w:endChars="0" w:end="0"/>
        <w:jc w:val="center"/>
        <w:rPr>
          <w:rFonts w:ascii="黑体" w:hAnsi="黑体" w:eastAsia="黑体" w:cs="CESI黑体-GB2312;黑体" w:hint="eastAsia"/>
          <w:color w:val="0D0D0D"/>
          <w:sz w:val="32"/>
          <w:szCs w:val="32"/>
          <w:bdr w:val="single" w:sz="4" w:space="0" w:color="000000"/>
        </w:rPr>
      </w:pPr>
      <w:r>
        <w:rPr>
          <w:rFonts w:eastAsia="黑体" w:cs="CESI黑体-GB2312;黑体" w:hint="eastAsia" w:ascii="黑体" w:hAnsi="黑体"/>
          <w:color w:val="0D0D0D"/>
          <w:sz w:val="32"/>
          <w:szCs w:val="32"/>
          <w:bdr w:val="single" w:sz="4" w:space="0" w:color="000000"/>
        </w:rPr>
      </w:r>
    </w:p>
    <w:p>
      <w:pPr>
        <w:pStyle w:val="Normal"/>
        <w:spacing w:lineRule="exact" w:line="560"/>
        <w:jc w:val="center"/>
        <w:rPr>
          <w:rFonts w:ascii="黑体" w:hAnsi="黑体" w:eastAsia="黑体" w:cs="CESI黑体-GB2312;黑体" w:hint="eastAsia"/>
          <w:color w:val="0D0D0D"/>
          <w:sz w:val="32"/>
          <w:szCs w:val="32"/>
        </w:rPr>
      </w:pPr>
      <w:r>
        <w:rPr>
          <w:rFonts w:ascii="黑体" w:hAnsi="黑体" w:cs="CESI黑体-GB2312;黑体" w:hint="eastAsia" w:eastAsia="黑体"/>
          <w:color w:val="0D0D0D"/>
          <w:sz w:val="32"/>
          <w:szCs w:val="32"/>
        </w:rPr>
        <w:t>第七章  附  则</w:t>
      </w:r>
    </w:p>
    <w:p>
      <w:pPr>
        <w:pStyle w:val="Normal"/>
        <w:spacing w:lineRule="exact" w:line="560"/>
        <w:ind w:firstLineChars="200" w:startChars="0" w:start="0" w:endChars="0" w:end="0"/>
        <w:rPr>
          <w:rFonts w:ascii="CESI黑体-GB2312;黑体" w:hAnsi="CESI黑体-GB2312;黑体" w:eastAsia="CESI黑体-GB2312;黑体" w:cs="CESI黑体-GB2312;黑体" w:hint="eastAsia"/>
          <w:color w:val="0D0D0D"/>
          <w:sz w:val="32"/>
          <w:szCs w:val="32"/>
        </w:rPr>
      </w:pPr>
      <w:r>
        <w:rPr>
          <w:rFonts w:eastAsia="CESI黑体-GB2312;黑体" w:cs="CESI黑体-GB2312;黑体" w:hint="eastAsia" w:ascii="CESI黑体-GB2312;黑体" w:hAnsi="CESI黑体-GB2312;黑体"/>
          <w:color w:val="0D0D0D"/>
          <w:sz w:val="32"/>
          <w:szCs w:val="32"/>
        </w:rPr>
      </w:r>
    </w:p>
    <w:p>
      <w:pPr>
        <w:pStyle w:val="Normal"/>
        <w:spacing w:lineRule="exact" w:line="560"/>
        <w:ind w:firstLineChars="200" w:startChars="0" w:start="0" w:endChars="0" w:end="0"/>
        <w:rPr>
          <w:rFonts w:ascii="CESI仿宋-GB2312;仿宋" w:hAnsi="CESI仿宋-GB2312;仿宋" w:eastAsia="CESI仿宋-GB2312;仿宋" w:cs="CESI仿宋-GB2312;仿宋" w:hint="eastAsia"/>
          <w:color w:val="0D0D0D"/>
          <w:sz w:val="32"/>
          <w:szCs w:val="32"/>
        </w:rPr>
      </w:pPr>
      <w:r>
        <w:rPr>
          <w:rFonts w:ascii="黑体" w:hAnsi="黑体" w:cs="CESI黑体-GB2312;黑体" w:hint="eastAsia" w:eastAsia="黑体"/>
          <w:color w:val="0D0D0D"/>
          <w:sz w:val="32"/>
          <w:szCs w:val="32"/>
        </w:rPr>
        <w:t>第四十四条</w:t>
      </w:r>
      <w:r>
        <w:rPr>
          <w:rFonts w:ascii="CESI楷体-GB2312;宋体" w:hAnsi="CESI楷体-GB2312;宋体" w:cs="CESI楷体-GB2312;宋体" w:hint="eastAsia" w:eastAsia="CESI楷体-GB2312;宋体"/>
          <w:color w:val="0D0D0D"/>
          <w:sz w:val="32"/>
          <w:szCs w:val="32"/>
        </w:rPr>
        <w:t xml:space="preserve">  </w:t>
      </w:r>
      <w:r>
        <w:rPr>
          <w:rFonts w:ascii="CESI仿宋-GB2312;仿宋" w:hAnsi="CESI仿宋-GB2312;仿宋" w:cs="CESI仿宋-GB2312;仿宋" w:hint="eastAsia" w:eastAsia="CESI仿宋-GB2312;仿宋"/>
          <w:color w:val="0D0D0D"/>
          <w:sz w:val="32"/>
          <w:szCs w:val="32"/>
        </w:rPr>
        <w:t>本省行政区域内其他地方剧种的保护传承发展，参照本条例执行。</w:t>
      </w:r>
    </w:p>
    <w:p>
      <w:pPr>
        <w:pStyle w:val="Normal"/>
        <w:spacing w:lineRule="exact" w:line="560"/>
        <w:ind w:firstLineChars="200" w:startChars="0" w:start="0" w:endChars="0" w:end="0"/>
        <w:rPr/>
      </w:pPr>
      <w:r>
        <w:rPr>
          <w:rFonts w:ascii="黑体" w:hAnsi="黑体" w:cs="CESI黑体-GB2312;黑体" w:hint="eastAsia" w:eastAsia="黑体"/>
          <w:color w:val="0D0D0D"/>
          <w:sz w:val="32"/>
          <w:szCs w:val="32"/>
        </w:rPr>
        <w:t>第四十五条</w:t>
      </w:r>
      <w:r>
        <w:rPr>
          <w:rFonts w:ascii="CESI黑体-GB2312;黑体" w:hAnsi="CESI黑体-GB2312;黑体" w:cs="CESI黑体-GB2312;黑体" w:hint="eastAsia" w:eastAsia="CESI黑体-GB2312;黑体"/>
          <w:color w:val="0D0D0D"/>
          <w:sz w:val="32"/>
          <w:szCs w:val="32"/>
        </w:rPr>
        <w:t xml:space="preserve">  </w:t>
      </w:r>
      <w:r>
        <w:rPr>
          <w:rFonts w:ascii="仿宋_GB2312" w:hAnsi="仿宋_GB2312" w:cs="CESI仿宋-GB2312;仿宋" w:hint="eastAsia" w:eastAsia="仿宋_GB2312"/>
          <w:color w:val="0D0D0D"/>
          <w:sz w:val="32"/>
          <w:szCs w:val="32"/>
        </w:rPr>
        <w:t>本条例自</w:t>
      </w:r>
      <w:r>
        <w:rPr>
          <w:rFonts w:eastAsia="仿宋_GB2312" w:cs="CESI仿宋-GB2312;仿宋" w:hint="eastAsia" w:ascii="仿宋_GB2312" w:hAnsi="仿宋_GB2312"/>
          <w:color w:val="0D0D0D"/>
          <w:sz w:val="32"/>
          <w:szCs w:val="32"/>
        </w:rPr>
        <w:t>2022</w:t>
      </w:r>
      <w:r>
        <w:rPr>
          <w:rFonts w:ascii="仿宋_GB2312" w:hAnsi="仿宋_GB2312" w:cs="CESI仿宋-GB2312;仿宋" w:hint="eastAsia" w:eastAsia="仿宋_GB2312"/>
          <w:color w:val="0D0D0D"/>
          <w:sz w:val="32"/>
          <w:szCs w:val="32"/>
        </w:rPr>
        <w:t>年</w:t>
      </w:r>
      <w:r>
        <w:rPr>
          <w:rFonts w:eastAsia="仿宋_GB2312" w:cs="CESI仿宋-GB2312;仿宋" w:hint="eastAsia" w:ascii="仿宋_GB2312" w:hAnsi="仿宋_GB2312"/>
          <w:color w:val="0D0D0D"/>
          <w:sz w:val="32"/>
          <w:szCs w:val="32"/>
        </w:rPr>
        <w:t>1</w:t>
      </w:r>
      <w:r>
        <w:rPr>
          <w:rFonts w:ascii="仿宋_GB2312" w:hAnsi="仿宋_GB2312" w:cs="CESI仿宋-GB2312;仿宋" w:hint="eastAsia" w:eastAsia="仿宋_GB2312"/>
          <w:color w:val="0D0D0D"/>
          <w:sz w:val="32"/>
          <w:szCs w:val="32"/>
        </w:rPr>
        <w:t>月</w:t>
      </w:r>
      <w:r>
        <w:rPr>
          <w:rFonts w:eastAsia="仿宋_GB2312" w:cs="CESI仿宋-GB2312;仿宋" w:hint="eastAsia" w:ascii="仿宋_GB2312" w:hAnsi="仿宋_GB2312"/>
          <w:color w:val="0D0D0D"/>
          <w:sz w:val="32"/>
          <w:szCs w:val="32"/>
        </w:rPr>
        <w:t>1</w:t>
      </w:r>
      <w:r>
        <w:rPr>
          <w:rFonts w:ascii="仿宋_GB2312" w:hAnsi="仿宋_GB2312" w:cs="CESI仿宋-GB2312;仿宋" w:hint="eastAsia" w:eastAsia="仿宋_GB2312"/>
          <w:color w:val="0D0D0D"/>
          <w:sz w:val="32"/>
          <w:szCs w:val="32"/>
        </w:rPr>
        <w:t>日起施行。</w:t>
      </w:r>
    </w:p>
    <w:sectPr>
      <w:footerReference w:type="default" r:id="rId2"/>
      <w:type w:val="nextPage"/>
      <w:pgSz w:w="11906" w:h="16838"/>
      <w:pgMar w:left="1746" w:right="1689"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 w:name="CESI小标宋-GB2312">
    <w:altName w:val="宋体"/>
    <w:charset w:val="86"/>
    <w:family w:val="auto"/>
    <w:pitch w:val="default"/>
  </w:font>
  <w:font w:name="方正小标宋_GBK">
    <w:altName w:val="Arial Unicode MS"/>
    <w:charset w:val="86"/>
    <w:family w:val="script"/>
    <w:pitch w:val="default"/>
  </w:font>
  <w:font w:name="楷体_GB2312">
    <w:altName w:val="楷体"/>
    <w:charset w:val="86"/>
    <w:family w:val="modern"/>
    <w:pitch w:val="default"/>
  </w:font>
  <w:font w:name="黑体">
    <w:charset w:val="86"/>
    <w:family w:val="auto"/>
    <w:pitch w:val="default"/>
  </w:font>
  <w:font w:name="CESI仿宋-GB2312">
    <w:altName w:val="仿宋"/>
    <w:charset w:val="86"/>
    <w:family w:val="auto"/>
    <w:pitch w:val="default"/>
  </w:font>
  <w:font w:name="CESI楷体-GB2312">
    <w:altName w:val="宋体"/>
    <w:charset w:val="86"/>
    <w:family w:val="auto"/>
    <w:pitch w:val="default"/>
  </w:font>
  <w:font w:name="CESI黑体-GB2312">
    <w:altName w:val="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2"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11</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7.1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11</w:t>
                    </w:r>
                    <w:r>
                      <w:rPr>
                        <w:rFonts w:hint="eastAsia"/>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ascii="仿宋_GB2312" w:hAnsi="仿宋_GB2312" w:eastAsia="仿宋_GB2312"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character" w:styleId="WW8Num1z0">
    <w:name w:val="WW8Num1z0"/>
    <w:qFormat/>
    <w:rPr>
      <w:rFonts w:ascii="仿宋_GB2312" w:hAnsi="仿宋_GB2312" w:eastAsia="仿宋_GB2312"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Style15">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2021-08-18T19:14:00Z</dcterms:created>
  <dc:creator>guest</dc:creator>
  <dc:description/>
  <dc:language>en-US</dc:language>
  <cp:lastModifiedBy>AIJING</cp:lastModifiedBy>
  <cp:lastPrinted>2021-11-26T11:40:00Z</cp:lastPrinted>
  <dcterms:modified xsi:type="dcterms:W3CDTF">2021-12-04T10:00:42Z</dcterms:modified>
  <cp:revision>739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96D5F5D0DF934BDD9B9C0781BE1B977B</vt:lpwstr>
  </property>
  <property fmtid="{D5CDD505-2E9C-101B-9397-08002B2CF9AE}" pid="3" name="KSOProductBuildVer">
    <vt:lpwstr>2052-11.1.0.10700</vt:lpwstr>
  </property>
</Properties>
</file>