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center"/>
        <w:rPr>
          <w:rFonts w:ascii="方正小标宋_GBK" w:hAnsi="方正小标宋_GBK" w:eastAsia="方正小标宋_GBK" w:cs="方正小标宋_GBK" w:hint="eastAsia"/>
          <w:sz w:val="44"/>
          <w:szCs w:val="44"/>
        </w:rPr>
      </w:pPr>
      <w:r>
        <w:rPr>
          <w:rFonts w:eastAsia="方正小标宋_GBK" w:cs="方正小标宋_GBK" w:hint="eastAsia" w:ascii="方正小标宋_GBK" w:hAnsi="方正小标宋_GBK"/>
          <w:sz w:val="44"/>
          <w:szCs w:val="44"/>
        </w:rPr>
      </w:r>
    </w:p>
    <w:p>
      <w:pPr>
        <w:pStyle w:val="Normal"/>
        <w:jc w:val="center"/>
        <w:rPr>
          <w:rFonts w:ascii="方正小标宋_GBK" w:hAnsi="方正小标宋_GBK" w:eastAsia="方正小标宋_GBK" w:cs="方正小标宋_GBK" w:hint="eastAsia"/>
          <w:sz w:val="44"/>
          <w:szCs w:val="44"/>
        </w:rPr>
      </w:pPr>
      <w:r>
        <w:rPr>
          <w:rFonts w:eastAsia="方正小标宋_GBK" w:cs="方正小标宋_GBK" w:hint="eastAsia" w:ascii="方正小标宋_GBK" w:hAnsi="方正小标宋_GBK"/>
          <w:sz w:val="44"/>
          <w:szCs w:val="44"/>
        </w:rPr>
      </w:r>
    </w:p>
    <w:p>
      <w:pPr>
        <w:pStyle w:val="Normal"/>
        <w:jc w:val="center"/>
        <w:rPr>
          <w:rFonts w:ascii="方正小标宋_GBK" w:hAnsi="方正小标宋_GBK" w:eastAsia="方正小标宋_GBK" w:cs="方正小标宋_GBK" w:hint="eastAsia"/>
          <w:sz w:val="44"/>
          <w:szCs w:val="44"/>
        </w:rPr>
      </w:pPr>
      <w:r>
        <w:rPr>
          <w:rFonts w:ascii="方正小标宋_GBK" w:hAnsi="方正小标宋_GBK" w:cs="方正小标宋_GBK" w:hint="eastAsia" w:eastAsia="方正小标宋_GBK"/>
          <w:sz w:val="44"/>
          <w:szCs w:val="44"/>
        </w:rPr>
        <w:t>陕西省防灾避险人员安全转移规定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jc w:val="start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楷体_GB2312" w:hAnsi="楷体_GB2312" w:cs="楷体_GB2312" w:hint="eastAsia" w:eastAsia="楷体_GB2312"/>
          <w:spacing w:val="0"/>
          <w:sz w:val="28"/>
          <w:szCs w:val="28"/>
        </w:rPr>
        <w:t>（</w:t>
      </w:r>
      <w:r>
        <w:rPr>
          <w:rFonts w:eastAsia="楷体_GB2312" w:cs="楷体_GB2312" w:hint="eastAsia" w:ascii="楷体_GB2312" w:hAnsi="楷体_GB2312"/>
          <w:spacing w:val="0"/>
          <w:sz w:val="28"/>
          <w:szCs w:val="28"/>
        </w:rPr>
        <w:t>2021</w:t>
      </w:r>
      <w:r>
        <w:rPr>
          <w:rFonts w:ascii="楷体_GB2312" w:hAnsi="楷体_GB2312" w:cs="楷体_GB2312" w:hint="eastAsia" w:eastAsia="楷体_GB2312"/>
          <w:spacing w:val="0"/>
          <w:sz w:val="28"/>
          <w:szCs w:val="28"/>
        </w:rPr>
        <w:t>年</w:t>
      </w:r>
      <w:r>
        <w:rPr>
          <w:rFonts w:eastAsia="楷体_GB2312" w:cs="楷体_GB2312" w:hint="eastAsia" w:ascii="楷体_GB2312" w:hAnsi="楷体_GB2312"/>
          <w:spacing w:val="0"/>
          <w:sz w:val="28"/>
          <w:szCs w:val="28"/>
        </w:rPr>
        <w:t>11</w:t>
      </w:r>
      <w:r>
        <w:rPr>
          <w:rFonts w:ascii="楷体_GB2312" w:hAnsi="楷体_GB2312" w:cs="楷体_GB2312" w:hint="eastAsia" w:eastAsia="楷体_GB2312"/>
          <w:spacing w:val="0"/>
          <w:sz w:val="28"/>
          <w:szCs w:val="28"/>
        </w:rPr>
        <w:t>月</w:t>
      </w:r>
      <w:r>
        <w:rPr>
          <w:rFonts w:eastAsia="楷体_GB2312" w:cs="楷体_GB2312" w:hint="eastAsia" w:ascii="楷体_GB2312" w:hAnsi="楷体_GB2312"/>
          <w:spacing w:val="0"/>
          <w:sz w:val="28"/>
          <w:szCs w:val="28"/>
        </w:rPr>
        <w:t>26</w:t>
      </w:r>
      <w:r>
        <w:rPr>
          <w:rFonts w:ascii="楷体_GB2312" w:hAnsi="楷体_GB2312" w:cs="楷体_GB2312" w:hint="eastAsia" w:eastAsia="楷体_GB2312"/>
          <w:spacing w:val="0"/>
          <w:sz w:val="28"/>
          <w:szCs w:val="28"/>
        </w:rPr>
        <w:t>日陕西省第十三届人民代表大会常务委员会第二十九次会议通过）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00"/>
        <w:jc w:val="center"/>
        <w:textAlignment w:val="auto"/>
        <w:rPr>
          <w:rFonts w:ascii="楷体_GB2312" w:hAnsi="楷体_GB2312" w:eastAsia="楷体_GB2312" w:cs="楷体_GB2312" w:hint="eastAsia"/>
          <w:sz w:val="32"/>
          <w:szCs w:val="32"/>
          <w:lang w:val="en"/>
        </w:rPr>
      </w:pPr>
      <w:r>
        <w:rPr>
          <w:rFonts w:eastAsia="楷体_GB2312" w:cs="楷体_GB2312" w:hint="eastAsia" w:ascii="楷体_GB2312" w:hAnsi="楷体_GB2312"/>
          <w:sz w:val="32"/>
          <w:szCs w:val="32"/>
          <w:lang w:val="e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="641" w:end="0"/>
        <w:jc w:val="both"/>
        <w:textAlignment w:val="auto"/>
        <w:rPr>
          <w:rFonts w:ascii="仿宋" w:hAnsi="仿宋" w:eastAsia="仿宋" w:cs="仿宋" w:hint="eastAsia"/>
          <w:color w:val="000000"/>
          <w:sz w:val="32"/>
          <w:szCs w:val="32"/>
          <w:lang w:val="en"/>
        </w:rPr>
      </w:pPr>
      <w:r>
        <w:rPr>
          <w:rFonts w:ascii="黑体" w:hAnsi="黑体" w:cs="黑体" w:hint="eastAsia" w:eastAsia="黑体"/>
          <w:color w:val="000000"/>
          <w:sz w:val="32"/>
          <w:szCs w:val="32"/>
        </w:rPr>
        <w:t>第一条</w:t>
      </w:r>
      <w:r>
        <w:rPr>
          <w:rFonts w:ascii="楷体_GB2312" w:hAnsi="楷体_GB2312" w:cs="楷体_GB2312" w:hint="eastAsia" w:eastAsia="楷体_GB2312"/>
          <w:color w:val="000000"/>
          <w:sz w:val="32"/>
          <w:szCs w:val="32"/>
          <w:lang w:val="en"/>
        </w:rPr>
        <w:t>　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为了有效应对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暴雨、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洪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涝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、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崩塌、滑坡、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泥石流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等自然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灾害风险，规范人员安全转移避险工作，保障人民生命安全，根据《中华人民共和国防洪法》《中华人民共和国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突发事件应对法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》等有关法律、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行政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法规，结合本省实际，制定本规定。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="641" w:end="0"/>
        <w:jc w:val="both"/>
        <w:textAlignment w:val="auto"/>
        <w:rPr>
          <w:rFonts w:ascii="仿宋" w:hAnsi="仿宋" w:eastAsia="仿宋" w:cs="仿宋" w:hint="eastAsia"/>
          <w:color w:val="000000"/>
          <w:sz w:val="32"/>
          <w:szCs w:val="32"/>
          <w:lang w:val="en"/>
        </w:rPr>
      </w:pPr>
      <w:r>
        <w:rPr>
          <w:rFonts w:ascii="黑体" w:hAnsi="黑体" w:cs="黑体" w:hint="eastAsia" w:eastAsia="黑体"/>
          <w:color w:val="000000"/>
          <w:sz w:val="32"/>
          <w:szCs w:val="32"/>
          <w:lang w:val="en"/>
        </w:rPr>
        <w:t>第二条</w:t>
      </w:r>
      <w:r>
        <w:rPr>
          <w:rFonts w:ascii="楷体_GB2312" w:hAnsi="楷体_GB2312" w:cs="楷体_GB2312" w:hint="eastAsia" w:eastAsia="楷体_GB2312"/>
          <w:color w:val="000000"/>
          <w:sz w:val="32"/>
          <w:szCs w:val="32"/>
          <w:lang w:val="en"/>
        </w:rPr>
        <w:t>　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本规定适用于本省行政区域内防灾避险人员安全转移的组织、动员、撤离、安置等活动。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="641" w:end="0"/>
        <w:jc w:val="both"/>
        <w:textAlignment w:val="auto"/>
        <w:rPr>
          <w:rFonts w:ascii="仿宋" w:hAnsi="仿宋" w:eastAsia="仿宋" w:cs="仿宋" w:hint="eastAsia"/>
          <w:color w:val="000000"/>
          <w:sz w:val="32"/>
          <w:szCs w:val="32"/>
          <w:lang w:val="en"/>
        </w:rPr>
      </w:pP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本规定所称防灾避险人员安全转移，是指根据气象、水文、地质等灾害监测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预报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预警信息，对可能受到灾害严重威胁区域内的人员，由人民政府组织临时性撤离、转移安置的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应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急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处置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措施。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="641" w:end="0"/>
        <w:jc w:val="both"/>
        <w:textAlignment w:val="auto"/>
        <w:rPr>
          <w:rFonts w:ascii="仿宋" w:hAnsi="仿宋" w:eastAsia="仿宋" w:cs="仿宋" w:hint="eastAsia"/>
          <w:color w:val="000000"/>
          <w:sz w:val="32"/>
          <w:szCs w:val="32"/>
          <w:lang w:val="en"/>
        </w:rPr>
      </w:pPr>
      <w:r>
        <w:rPr>
          <w:rFonts w:ascii="黑体" w:hAnsi="黑体" w:cs="黑体" w:hint="eastAsia" w:eastAsia="黑体"/>
          <w:color w:val="000000"/>
          <w:sz w:val="32"/>
          <w:szCs w:val="32"/>
        </w:rPr>
        <w:t>第三条</w:t>
      </w:r>
      <w:r>
        <w:rPr>
          <w:rFonts w:ascii="楷体_GB2312" w:hAnsi="楷体_GB2312" w:cs="楷体_GB2312" w:hint="eastAsia" w:eastAsia="楷体_GB2312"/>
          <w:color w:val="000000"/>
          <w:sz w:val="32"/>
          <w:szCs w:val="32"/>
          <w:lang w:val="en"/>
        </w:rPr>
        <w:t>　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县（市、区）人民政府、乡（镇）人民政府、街道办事处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和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村民委员会、居民委员会对可能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发生的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暴雨、洪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涝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、崩塌、滑坡、泥石流等自然灾害，应当根据灾害风险等级评估情况，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依法编制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防灾避险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转移应急预案，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明确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组织领导、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转移责任、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转移对象、预警信号、转移路线、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安全转移避险地点、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联络人员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，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制作发放转移避险明白卡，依法做好转移避险的相关物资、通信等准备工作，组织防灾避险知识宣传，开展应急演练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="641" w:end="0"/>
        <w:jc w:val="both"/>
        <w:textAlignment w:val="auto"/>
        <w:rPr>
          <w:rFonts w:ascii="仿宋" w:hAnsi="仿宋" w:eastAsia="仿宋" w:cs="仿宋" w:hint="eastAsia"/>
          <w:color w:val="000000"/>
          <w:sz w:val="32"/>
          <w:szCs w:val="32"/>
          <w:lang w:val="en"/>
        </w:rPr>
      </w:pPr>
      <w:r>
        <w:rPr>
          <w:rFonts w:ascii="黑体" w:hAnsi="黑体" w:cs="黑体" w:hint="eastAsia" w:eastAsia="黑体"/>
          <w:color w:val="000000"/>
          <w:sz w:val="32"/>
          <w:szCs w:val="32"/>
          <w:lang w:val="en"/>
        </w:rPr>
        <w:t>第四条</w:t>
      </w:r>
      <w:r>
        <w:rPr>
          <w:rFonts w:ascii="楷体_GB2312" w:hAnsi="楷体_GB2312" w:cs="楷体_GB2312" w:hint="eastAsia" w:eastAsia="楷体_GB2312"/>
          <w:color w:val="000000"/>
          <w:sz w:val="32"/>
          <w:szCs w:val="32"/>
          <w:lang w:val="en"/>
        </w:rPr>
        <w:t>　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县（市、区）人民政府和乡（镇）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人民政府、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街道办事处根据自然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灾害监测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预报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预警信息或者上级防汛防灾指挥机构的指令，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对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可能受到灾害严重威胁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的区域立即启动相应应急预案，发布紧急情况转移避险决定、命令，实施人员转移避险，并在广播电视滚动播出自然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灾害预警信息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="641" w:end="0"/>
        <w:jc w:val="both"/>
        <w:textAlignment w:val="auto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hint="eastAsia" w:eastAsia="仿宋"/>
          <w:color w:val="000000"/>
          <w:sz w:val="32"/>
          <w:szCs w:val="32"/>
        </w:rPr>
        <w:t>特别紧急情况发生时，村民委员会、居民委员会应当立即启动应急预案，并及时向乡（镇）人民政府、街道办事处报告。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="641" w:end="0"/>
        <w:jc w:val="both"/>
        <w:textAlignment w:val="auto"/>
        <w:rPr>
          <w:rFonts w:ascii="仿宋" w:hAnsi="仿宋" w:eastAsia="仿宋" w:cs="仿宋" w:hint="eastAsia"/>
          <w:color w:val="000000"/>
          <w:sz w:val="32"/>
          <w:szCs w:val="32"/>
          <w:lang w:val="en"/>
        </w:rPr>
      </w:pPr>
      <w:r>
        <w:rPr>
          <w:rFonts w:ascii="黑体" w:hAnsi="黑体" w:cs="黑体" w:hint="eastAsia" w:eastAsia="黑体"/>
          <w:color w:val="000000"/>
          <w:sz w:val="32"/>
          <w:szCs w:val="32"/>
        </w:rPr>
        <w:t>第五条</w:t>
      </w:r>
      <w:r>
        <w:rPr>
          <w:rFonts w:ascii="仿宋_GB2312" w:hAnsi="仿宋_GB2312" w:cs="Times New Roman" w:hint="eastAsia" w:eastAsia="仿宋_GB2312"/>
          <w:color w:val="000000"/>
          <w:sz w:val="32"/>
          <w:szCs w:val="32"/>
          <w:lang w:val="en"/>
        </w:rPr>
        <w:t>　乡（镇）人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民政府、街道办事处和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村民委员会、居民委员会根据紧急情况转移避险决定、命令或者应急预案要求，应当通过广播喇叭、铜锣哨子、手机通信、上门告知等方式，立即通知动员并组织危险区域的人员转移避险。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="641" w:end="0"/>
        <w:jc w:val="both"/>
        <w:textAlignment w:val="auto"/>
        <w:rPr>
          <w:rFonts w:ascii="仿宋" w:hAnsi="仿宋" w:eastAsia="仿宋" w:cs="仿宋" w:hint="eastAsia"/>
          <w:color w:val="000000"/>
          <w:sz w:val="32"/>
          <w:szCs w:val="32"/>
        </w:rPr>
      </w:pPr>
      <w:r>
        <w:rPr>
          <w:rFonts w:ascii="仿宋" w:hAnsi="仿宋" w:cs="仿宋" w:hint="eastAsia" w:eastAsia="仿宋"/>
          <w:color w:val="000000"/>
          <w:sz w:val="32"/>
          <w:szCs w:val="32"/>
        </w:rPr>
        <w:t>收到转移指令的人员，</w:t>
      </w:r>
      <w:r>
        <w:rPr>
          <w:rFonts w:ascii="仿宋" w:hAnsi="仿宋" w:cs="仿宋" w:eastAsia="仿宋"/>
          <w:color w:val="000000"/>
          <w:sz w:val="32"/>
          <w:szCs w:val="32"/>
        </w:rPr>
        <w:t>应当服从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人民</w:t>
      </w:r>
      <w:r>
        <w:rPr>
          <w:rFonts w:ascii="仿宋" w:hAnsi="仿宋" w:cs="仿宋" w:eastAsia="仿宋"/>
          <w:color w:val="000000"/>
          <w:sz w:val="32"/>
          <w:szCs w:val="32"/>
        </w:rPr>
        <w:t>政府及有关部门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和村民委员会、居民委员会统一</w:t>
      </w:r>
      <w:r>
        <w:rPr>
          <w:rFonts w:ascii="仿宋" w:hAnsi="仿宋" w:cs="仿宋" w:eastAsia="仿宋"/>
          <w:color w:val="000000"/>
          <w:sz w:val="32"/>
          <w:szCs w:val="32"/>
        </w:rPr>
        <w:t>组织安排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，积极配合，主动转移避险。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="641" w:end="0"/>
        <w:jc w:val="both"/>
        <w:textAlignment w:val="auto"/>
        <w:rPr>
          <w:rFonts w:ascii="仿宋" w:hAnsi="仿宋" w:eastAsia="仿宋" w:cs="仿宋" w:hint="eastAsia"/>
          <w:color w:val="000000"/>
          <w:sz w:val="32"/>
          <w:szCs w:val="32"/>
        </w:rPr>
      </w:pPr>
      <w:r>
        <w:rPr>
          <w:rFonts w:ascii="仿宋" w:hAnsi="仿宋" w:cs="仿宋" w:hint="eastAsia" w:eastAsia="仿宋"/>
          <w:color w:val="000000"/>
          <w:sz w:val="32"/>
          <w:szCs w:val="32"/>
        </w:rPr>
        <w:t>对人员已经全部转移的危险区域，乡（镇）人民政府、街道办事处和村民委员会、居民委员会应当采取设置警戒线等措施，并实行二十四小时动态巡逻巡查。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="641" w:end="0"/>
        <w:jc w:val="both"/>
        <w:textAlignment w:val="auto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hint="eastAsia" w:eastAsia="仿宋"/>
          <w:color w:val="000000"/>
          <w:sz w:val="32"/>
          <w:szCs w:val="32"/>
        </w:rPr>
        <w:t>紧急情况解除前，严禁转移避险人员</w:t>
      </w:r>
      <w:r>
        <w:rPr>
          <w:rFonts w:ascii="仿宋" w:hAnsi="仿宋" w:cs="仿宋" w:eastAsia="仿宋"/>
          <w:color w:val="000000"/>
          <w:sz w:val="32"/>
          <w:szCs w:val="32"/>
        </w:rPr>
        <w:t>擅自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返回撤出区域或者其他危险区域。对经劝导或者警告后仍拒绝转移的，或者在紧急情况解除前，擅自返回撤出区域或者其他危险区域的，乡（镇）人民政府、街道办事处应当采取必要措施，保障人员安全撤离危险区域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="641" w:end="0"/>
        <w:jc w:val="both"/>
        <w:textAlignment w:val="auto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color w:val="000000"/>
          <w:sz w:val="32"/>
          <w:szCs w:val="32"/>
        </w:rPr>
        <w:t>第六条</w:t>
      </w:r>
      <w:r>
        <w:rPr>
          <w:rFonts w:ascii="楷体_GB2312" w:hAnsi="楷体_GB2312" w:cs="楷体_GB2312" w:hint="eastAsia" w:eastAsia="楷体_GB2312"/>
          <w:color w:val="000000"/>
          <w:sz w:val="32"/>
          <w:szCs w:val="32"/>
          <w:lang w:val="en"/>
        </w:rPr>
        <w:t>　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县（市、区）人民政府、乡（镇）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人民政府、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街道办事处和村民委员会、居民委员会应当落实避险场所防火、防疫等安全管理责任，</w:t>
      </w:r>
      <w:r>
        <w:rPr>
          <w:rFonts w:ascii="仿宋" w:hAnsi="仿宋" w:cs="仿宋" w:eastAsia="仿宋"/>
          <w:color w:val="000000"/>
          <w:sz w:val="32"/>
          <w:szCs w:val="32"/>
        </w:rPr>
        <w:t>妥善安排被转移人员的基本生活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，做好生活服务保障工作。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="641" w:end="0"/>
        <w:jc w:val="both"/>
        <w:textAlignment w:val="auto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hint="eastAsia" w:eastAsia="仿宋"/>
          <w:color w:val="000000"/>
          <w:sz w:val="32"/>
          <w:szCs w:val="32"/>
        </w:rPr>
        <w:t>无法就地转移安置需要跨行政区域安置的，由设区的市、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县（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市、区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）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人民政府统一组织协调，接收地的人民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政府应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当按照规定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予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以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安置。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="641" w:end="0"/>
        <w:jc w:val="both"/>
        <w:textAlignment w:val="auto"/>
        <w:rPr>
          <w:rFonts w:ascii="仿宋" w:hAnsi="仿宋" w:eastAsia="仿宋" w:cs="仿宋" w:hint="eastAsia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紧急情况解除后，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乡（镇）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人民政府、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街道办事处和村民委员会、居民委员会</w:t>
      </w:r>
      <w:r>
        <w:rPr>
          <w:rFonts w:ascii="仿宋" w:hAnsi="仿宋" w:cs="仿宋" w:eastAsia="仿宋"/>
          <w:color w:val="000000"/>
          <w:sz w:val="32"/>
          <w:szCs w:val="32"/>
        </w:rPr>
        <w:t>应当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对村庄及房屋受损情况组织核查，在确保安全的前提下，有序组织被转移人员返回，并依法做好灾后安置工作</w:t>
      </w:r>
      <w:r>
        <w:rPr>
          <w:rFonts w:ascii="仿宋" w:hAnsi="仿宋" w:cs="仿宋" w:eastAsia="仿宋"/>
          <w:color w:val="000000"/>
          <w:sz w:val="32"/>
          <w:szCs w:val="32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suppressAutoHyphens w:val="tru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textAlignment w:val="auto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hint="eastAsia" w:eastAsia="仿宋"/>
          <w:color w:val="000000"/>
          <w:sz w:val="32"/>
          <w:szCs w:val="32"/>
        </w:rPr>
        <w:t>转移安置费用，由县（市、区）人民政府予以保障。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确有困难的，由省、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设区的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市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人民</w:t>
      </w:r>
      <w:r>
        <w:rPr>
          <w:rFonts w:ascii="仿宋" w:hAnsi="仿宋" w:cs="仿宋" w:hint="eastAsia" w:eastAsia="仿宋"/>
          <w:color w:val="000000"/>
          <w:sz w:val="32"/>
          <w:szCs w:val="32"/>
          <w:lang w:val="en"/>
        </w:rPr>
        <w:t>政府予以补助。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="641" w:end="0"/>
        <w:jc w:val="both"/>
        <w:textAlignment w:val="auto"/>
        <w:rPr>
          <w:rFonts w:ascii="仿宋" w:hAnsi="仿宋" w:eastAsia="仿宋" w:cs="仿宋" w:hint="eastAsia"/>
          <w:color w:val="000000"/>
          <w:sz w:val="32"/>
          <w:szCs w:val="32"/>
        </w:rPr>
      </w:pPr>
      <w:r>
        <w:rPr>
          <w:rFonts w:ascii="黑体" w:hAnsi="黑体" w:cs="黑体" w:eastAsia="黑体"/>
          <w:color w:val="000000"/>
          <w:sz w:val="32"/>
          <w:szCs w:val="32"/>
        </w:rPr>
        <w:t>第</w:t>
      </w:r>
      <w:r>
        <w:rPr>
          <w:rFonts w:ascii="黑体" w:hAnsi="黑体" w:cs="黑体" w:hint="eastAsia" w:eastAsia="黑体"/>
          <w:color w:val="000000"/>
          <w:sz w:val="32"/>
          <w:szCs w:val="32"/>
        </w:rPr>
        <w:t>七条</w:t>
      </w:r>
      <w:r>
        <w:rPr>
          <w:rFonts w:ascii="楷体_GB2312" w:hAnsi="楷体_GB2312" w:cs="楷体_GB2312" w:hint="eastAsia" w:eastAsia="楷体_GB2312"/>
          <w:color w:val="000000"/>
          <w:sz w:val="32"/>
          <w:szCs w:val="32"/>
          <w:lang w:val="en"/>
        </w:rPr>
        <w:t>　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有关</w:t>
      </w:r>
      <w:r>
        <w:rPr>
          <w:rFonts w:ascii="仿宋" w:hAnsi="仿宋" w:cs="仿宋" w:eastAsia="仿宋"/>
          <w:color w:val="000000"/>
          <w:sz w:val="32"/>
          <w:szCs w:val="32"/>
        </w:rPr>
        <w:t>人民政府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、部门</w:t>
      </w:r>
      <w:r>
        <w:rPr>
          <w:rFonts w:ascii="仿宋" w:hAnsi="仿宋" w:cs="仿宋" w:eastAsia="仿宋"/>
          <w:color w:val="000000"/>
          <w:sz w:val="32"/>
          <w:szCs w:val="32"/>
        </w:rPr>
        <w:t>及其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国家工作人员在转移避险工作中责任不落实、工作不尽责、组织不得力等玩忽职守造成人员伤亡的，根据情节和危害后果，</w:t>
      </w:r>
      <w:r>
        <w:rPr>
          <w:rFonts w:ascii="仿宋" w:hAnsi="仿宋" w:cs="仿宋" w:eastAsia="仿宋"/>
          <w:color w:val="000000"/>
          <w:sz w:val="32"/>
          <w:szCs w:val="32"/>
        </w:rPr>
        <w:t>对直接负责的主管人员和其他直接责任人员依法给予处分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；构成犯罪的，依法追究刑事责任。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="641" w:end="0"/>
        <w:jc w:val="both"/>
        <w:textAlignment w:val="auto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黑体" w:hAnsi="黑体" w:cs="黑体" w:eastAsia="黑体"/>
          <w:color w:val="000000"/>
          <w:sz w:val="32"/>
          <w:szCs w:val="32"/>
        </w:rPr>
        <w:t>第</w:t>
      </w:r>
      <w:r>
        <w:rPr>
          <w:rFonts w:ascii="黑体" w:hAnsi="黑体" w:cs="黑体" w:hint="eastAsia" w:eastAsia="黑体"/>
          <w:color w:val="000000"/>
          <w:sz w:val="32"/>
          <w:szCs w:val="32"/>
        </w:rPr>
        <w:t>八</w:t>
      </w:r>
      <w:r>
        <w:rPr>
          <w:rFonts w:ascii="黑体" w:hAnsi="黑体" w:cs="黑体" w:eastAsia="黑体"/>
          <w:color w:val="000000"/>
          <w:sz w:val="32"/>
          <w:szCs w:val="32"/>
        </w:rPr>
        <w:t>条</w:t>
      </w:r>
      <w:r>
        <w:rPr>
          <w:rFonts w:ascii="楷体_GB2312" w:hAnsi="楷体_GB2312" w:cs="楷体_GB2312" w:hint="eastAsia" w:eastAsia="楷体_GB2312"/>
          <w:color w:val="000000"/>
          <w:sz w:val="32"/>
          <w:szCs w:val="32"/>
          <w:lang w:val="en"/>
        </w:rPr>
        <w:t>　</w:t>
      </w:r>
      <w:r>
        <w:rPr>
          <w:rFonts w:ascii="仿宋" w:hAnsi="仿宋" w:cs="仿宋" w:eastAsia="仿宋"/>
          <w:color w:val="000000"/>
          <w:sz w:val="32"/>
          <w:szCs w:val="32"/>
        </w:rPr>
        <w:t>违反本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规定</w:t>
      </w:r>
      <w:r>
        <w:rPr>
          <w:rFonts w:ascii="仿宋" w:hAnsi="仿宋" w:cs="仿宋" w:eastAsia="仿宋"/>
          <w:color w:val="000000"/>
          <w:sz w:val="32"/>
          <w:szCs w:val="32"/>
        </w:rPr>
        <w:t>，拒不执行人民政府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发布</w:t>
      </w:r>
      <w:r>
        <w:rPr>
          <w:rFonts w:ascii="仿宋" w:hAnsi="仿宋" w:cs="仿宋" w:eastAsia="仿宋"/>
          <w:color w:val="000000"/>
          <w:sz w:val="32"/>
          <w:szCs w:val="32"/>
        </w:rPr>
        <w:t>的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紧急情况转移避险</w:t>
      </w:r>
      <w:r>
        <w:rPr>
          <w:rFonts w:ascii="仿宋" w:hAnsi="仿宋" w:cs="仿宋" w:eastAsia="仿宋"/>
          <w:color w:val="000000"/>
          <w:sz w:val="32"/>
          <w:szCs w:val="32"/>
        </w:rPr>
        <w:t>决定、命令或者不配合其依法采取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的必要</w:t>
      </w:r>
      <w:r>
        <w:rPr>
          <w:rFonts w:ascii="仿宋" w:hAnsi="仿宋" w:cs="仿宋" w:eastAsia="仿宋"/>
          <w:color w:val="000000"/>
          <w:sz w:val="32"/>
          <w:szCs w:val="32"/>
        </w:rPr>
        <w:t>措施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，</w:t>
      </w:r>
      <w:r>
        <w:rPr>
          <w:rFonts w:ascii="仿宋" w:hAnsi="仿宋" w:cs="仿宋" w:eastAsia="仿宋"/>
          <w:color w:val="000000"/>
          <w:sz w:val="32"/>
          <w:szCs w:val="32"/>
        </w:rPr>
        <w:t>构成违反治安管理行为的，由公安机关依照《中华人民共和国治安管理处罚法》给予处罚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；构成犯罪的，依法追究刑事责任。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="641" w:end="0"/>
        <w:jc w:val="both"/>
        <w:textAlignment w:val="auto"/>
        <w:rPr/>
      </w:pPr>
      <w:r>
        <w:rPr>
          <w:rFonts w:ascii="黑体" w:hAnsi="黑体" w:cs="黑体" w:eastAsia="黑体"/>
          <w:color w:val="000000"/>
          <w:sz w:val="32"/>
          <w:szCs w:val="32"/>
        </w:rPr>
        <w:t>第</w:t>
      </w:r>
      <w:r>
        <w:rPr>
          <w:rFonts w:ascii="黑体" w:hAnsi="黑体" w:cs="黑体" w:hint="eastAsia" w:eastAsia="黑体"/>
          <w:color w:val="000000"/>
          <w:sz w:val="32"/>
          <w:szCs w:val="32"/>
        </w:rPr>
        <w:t>九</w:t>
      </w:r>
      <w:r>
        <w:rPr>
          <w:rFonts w:ascii="黑体" w:hAnsi="黑体" w:cs="黑体" w:eastAsia="黑体"/>
          <w:color w:val="000000"/>
          <w:sz w:val="32"/>
          <w:szCs w:val="32"/>
        </w:rPr>
        <w:t>条</w:t>
      </w:r>
      <w:r>
        <w:rPr>
          <w:rFonts w:ascii="楷体_GB2312" w:hAnsi="楷体_GB2312" w:cs="楷体_GB2312" w:hint="eastAsia" w:eastAsia="楷体_GB2312"/>
          <w:color w:val="000000"/>
          <w:sz w:val="32"/>
          <w:szCs w:val="32"/>
          <w:lang w:val="en"/>
        </w:rPr>
        <w:t>　</w:t>
      </w:r>
      <w:r>
        <w:rPr>
          <w:rFonts w:ascii="仿宋" w:hAnsi="仿宋" w:cs="仿宋" w:eastAsia="仿宋"/>
          <w:color w:val="000000"/>
          <w:sz w:val="32"/>
          <w:szCs w:val="32"/>
        </w:rPr>
        <w:t>本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规定</w:t>
      </w:r>
      <w:r>
        <w:rPr>
          <w:rFonts w:ascii="仿宋" w:hAnsi="仿宋" w:cs="仿宋" w:eastAsia="仿宋"/>
          <w:color w:val="000000"/>
          <w:sz w:val="32"/>
          <w:szCs w:val="32"/>
        </w:rPr>
        <w:t>自公布之日起施行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。</w:t>
      </w:r>
    </w:p>
    <w:sectPr>
      <w:footerReference w:type="default" r:id="rId2"/>
      <w:type w:val="nextPage"/>
      <w:pgSz w:w="11906" w:h="16838"/>
      <w:pgMar w:left="1800" w:right="1800" w:gutter="0" w:header="0" w:top="1440" w:footer="72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0" w:characterSet="windows-1252"/>
    <w:family w:val="swiss"/>
    <w:pitch w:val="default"/>
  </w:font>
  <w:font w:name="宋体">
    <w:charset w:val="86"/>
    <w:family w:val="auto"/>
    <w:pitch w:val="default"/>
  </w:font>
  <w:font w:name="方正小标宋_GBK">
    <w:charset w:val="86"/>
    <w:family w:val="auto"/>
    <w:pitch w:val="default"/>
  </w:font>
  <w:font w:name="楷体_GB2312">
    <w:charset w:val="86"/>
    <w:family w:val="auto"/>
    <w:pitch w:val="default"/>
  </w:font>
  <w:font w:name="仿宋_GB2312">
    <w:charset w:val="86"/>
    <w:family w:val="modern"/>
    <w:pitch w:val="default"/>
  </w:font>
  <w:font w:name="黑体">
    <w:charset w:val="86"/>
    <w:family w:val="auto"/>
    <w:pitch w:val="default"/>
  </w:font>
  <w:font w:name="仿宋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9690" cy="11557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90" cy="1155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7pt;height:9.1pt;mso-wrap-distance-left:9.05pt;mso-wrap-distance-right:9.05pt;mso-wrap-distance-top:0pt;mso-wrap-distance-bottom:0pt;margin-top:0pt;mso-position-vertical-relative:text;margin-left:205.3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40"/>
  <w:displayBackgroundShape/>
  <w:defaultTabStop w:val="420"/>
  <w:autoHyphenation w:val="true"/>
  <w:hyphenationZone w:val="0"/>
  <w:compat>
    <w:noLeading/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BodyText"/>
    <w:qFormat/>
    <w:pPr>
      <w:widowControl w:val="false"/>
      <w:suppressAutoHyphens w:val="true"/>
      <w:bidi w:val="0"/>
      <w:jc w:val="both"/>
    </w:pPr>
    <w:rPr>
      <w:rFonts w:ascii="Calibri" w:hAnsi="Calibri" w:eastAsia="宋体" w:cs="Times New Roman"/>
      <w:color w:val="000000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1">
    <w:name w:val="默认段落字体1"/>
    <w:qFormat/>
    <w:rPr/>
  </w:style>
  <w:style w:type="paragraph" w:styleId="Heading">
    <w:name w:val="Heading"/>
    <w:basedOn w:val="Normal"/>
    <w:next w:val="BodyText"/>
    <w:qFormat/>
    <w:pPr>
      <w:keepNext w:val="true"/>
      <w:widowControl w:val="false"/>
      <w:suppressAutoHyphens w:val="true"/>
      <w:spacing w:before="240" w:after="120"/>
    </w:pPr>
    <w:rPr>
      <w:rFonts w:ascii="Liberation Sans;微软雅黑" w:hAnsi="Liberation Sans;微软雅黑" w:eastAsia="Noto Sans CJK SC Regular;宋体" w:cs="Noto Sans CJK SC Regular;宋体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widowControl w:val="false"/>
      <w:suppressLineNumbers/>
      <w:suppressAutoHyphens w:val="true"/>
    </w:pPr>
    <w:rPr/>
  </w:style>
  <w:style w:type="paragraph" w:styleId="Style15">
    <w:name w:val="题注"/>
    <w:basedOn w:val="Normal"/>
    <w:qFormat/>
    <w:pPr>
      <w:widowControl w:val="false"/>
      <w:suppressLineNumbers/>
      <w:suppressAutoHyphens w:val="true"/>
      <w:spacing w:before="120" w:after="120"/>
    </w:pPr>
    <w:rPr>
      <w:i/>
      <w:iCs/>
      <w:sz w:val="24"/>
      <w:szCs w:val="24"/>
    </w:rPr>
  </w:style>
  <w:style w:type="paragraph" w:styleId="Style16">
    <w:name w:val="纯文本"/>
    <w:basedOn w:val="Normal"/>
    <w:qFormat/>
    <w:pPr/>
    <w:rPr>
      <w:rFonts w:ascii="宋体" w:hAnsi="宋体" w:eastAsia="宋体" w:cs="Courier New"/>
      <w:szCs w:val="21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Style17">
    <w:name w:val="普通(网站)"/>
    <w:qFormat/>
    <w:pPr>
      <w:widowControl w:val="false"/>
      <w:suppressAutoHyphens w:val="true"/>
      <w:bidi w:val="0"/>
      <w:spacing w:before="100" w:after="100"/>
      <w:ind w:hanging="0" w:start="0" w:end="0"/>
      <w:jc w:val="start"/>
    </w:pPr>
    <w:rPr>
      <w:rFonts w:ascii="Calibri" w:hAnsi="Calibri" w:eastAsia="宋体" w:cs="Times New Roman"/>
      <w:color w:val="000000"/>
      <w:kern w:val="0"/>
      <w:sz w:val="24"/>
      <w:szCs w:val="24"/>
      <w:lang w:bidi="ar" w:val="en-US" w:eastAsia="zh-CN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3360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2018-12-05T09:47:00Z</dcterms:created>
  <dc:creator>guest</dc:creator>
  <dc:description/>
  <dc:language>en-US</dc:language>
  <cp:lastModifiedBy>施勇敢</cp:lastModifiedBy>
  <cp:lastPrinted>2021-11-29T09:46:00Z</cp:lastPrinted>
  <dcterms:modified xsi:type="dcterms:W3CDTF">2021-11-29T09:46:53Z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1D99F32EDABC4A87A8AA4DA1A3BE2F79</vt:lpwstr>
  </property>
  <property fmtid="{D5CDD505-2E9C-101B-9397-08002B2CF9AE}" pid="3" name="KSOProductBuildVer">
    <vt:lpwstr>2052-11.1.0.11115</vt:lpwstr>
  </property>
</Properties>
</file>