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widowControl w:val="false"/>
        <w:spacing w:lineRule="exact" w:line="600"/>
        <w:rPr>
          <w:rFonts w:ascii="华文中宋" w:hAnsi="华文中宋" w:eastAsia="华文中宋" w:cs="华文中宋"/>
          <w:kern w:val="2"/>
        </w:rPr>
      </w:pPr>
      <w:r>
        <w:rPr>
          <w:rFonts w:eastAsia="华文中宋" w:cs="华文中宋" w:ascii="华文中宋" w:hAnsi="华文中宋"/>
          <w:kern w:val="2"/>
        </w:rPr>
      </w:r>
    </w:p>
    <w:p>
      <w:pPr>
        <w:pStyle w:val="Normal"/>
        <w:widowControl w:val="false"/>
        <w:spacing w:lineRule="exact" w:line="600"/>
        <w:rPr>
          <w:rFonts w:ascii="华文中宋" w:hAnsi="华文中宋" w:eastAsia="华文中宋" w:cs="华文中宋" w:hint="eastAsia"/>
          <w:kern w:val="2"/>
        </w:rPr>
      </w:pPr>
      <w:r>
        <w:rPr>
          <w:rFonts w:eastAsia="华文中宋" w:cs="华文中宋" w:hint="eastAsia" w:ascii="华文中宋" w:hAnsi="华文中宋"/>
          <w:kern w:val="2"/>
        </w:rPr>
      </w:r>
    </w:p>
    <w:p>
      <w:pPr>
        <w:pStyle w:val="Normal"/>
        <w:widowControl w:val="false"/>
        <w:spacing w:lineRule="exact" w:line="600"/>
        <w:jc w:val="center"/>
        <w:rPr>
          <w:rFonts w:ascii="华文中宋" w:hAnsi="华文中宋" w:eastAsia="华文中宋" w:cs="华文中宋"/>
          <w:kern w:val="2"/>
          <w:sz w:val="44"/>
          <w:szCs w:val="44"/>
        </w:rPr>
      </w:pPr>
      <w:r>
        <w:rPr>
          <w:rFonts w:ascii="华文中宋" w:hAnsi="华文中宋" w:cs="华文中宋" w:eastAsia="华文中宋"/>
          <w:kern w:val="2"/>
          <w:sz w:val="44"/>
          <w:szCs w:val="44"/>
        </w:rPr>
        <w:t>西安市地下水资源管理条例</w:t>
      </w:r>
    </w:p>
    <w:p>
      <w:pPr>
        <w:pStyle w:val="Normal"/>
        <w:widowControl w:val="false"/>
        <w:spacing w:lineRule="exact" w:line="600"/>
        <w:rPr>
          <w:rFonts w:ascii="华文中宋" w:hAnsi="华文中宋" w:eastAsia="华文中宋" w:cs="华文中宋"/>
          <w:kern w:val="2"/>
          <w:sz w:val="44"/>
          <w:szCs w:val="44"/>
        </w:rPr>
      </w:pPr>
      <w:r>
        <w:rPr>
          <w:rFonts w:eastAsia="华文中宋" w:cs="华文中宋" w:ascii="华文中宋" w:hAnsi="华文中宋"/>
          <w:kern w:val="2"/>
          <w:sz w:val="44"/>
          <w:szCs w:val="44"/>
        </w:rPr>
      </w:r>
    </w:p>
    <w:p>
      <w:pPr>
        <w:pStyle w:val="Normal"/>
        <w:widowControl w:val="false"/>
        <w:spacing w:lineRule="exact" w:line="600"/>
        <w:ind w:firstLineChars="200" w:startChars="200" w:endChars="200"/>
        <w:jc w:val="both"/>
        <w:rPr>
          <w:rFonts w:ascii="楷体_GB2312" w:hAnsi="楷体_GB2312" w:eastAsia="楷体_GB2312" w:cs="宋体;SimSun" w:hint="eastAsia"/>
          <w:kern w:val="2"/>
        </w:rPr>
      </w:pPr>
      <w:r>
        <w:rPr>
          <w:rFonts w:ascii="楷体_GB2312" w:hAnsi="楷体_GB2312" w:cs="宋体;SimSun" w:hint="eastAsia" w:eastAsia="楷体_GB2312"/>
          <w:kern w:val="2"/>
        </w:rPr>
        <w:t>（</w:t>
      </w:r>
      <w:r>
        <w:rPr>
          <w:rFonts w:eastAsia="楷体_GB2312" w:cs="宋体;SimSun" w:hint="eastAsia" w:ascii="楷体_GB2312" w:hAnsi="楷体_GB2312"/>
          <w:kern w:val="2"/>
        </w:rPr>
        <w:t>2007</w:t>
      </w:r>
      <w:r>
        <w:rPr>
          <w:rFonts w:ascii="楷体_GB2312" w:hAnsi="楷体_GB2312" w:cs="宋体;SimSun" w:hint="eastAsia" w:eastAsia="楷体_GB2312"/>
          <w:kern w:val="2"/>
        </w:rPr>
        <w:t>年</w:t>
      </w:r>
      <w:r>
        <w:rPr>
          <w:rFonts w:eastAsia="楷体_GB2312" w:cs="宋体;SimSun" w:hint="eastAsia" w:ascii="楷体_GB2312" w:hAnsi="楷体_GB2312"/>
          <w:kern w:val="2"/>
        </w:rPr>
        <w:t>11</w:t>
      </w:r>
      <w:r>
        <w:rPr>
          <w:rFonts w:ascii="楷体_GB2312" w:hAnsi="楷体_GB2312" w:cs="宋体;SimSun" w:hint="eastAsia" w:eastAsia="楷体_GB2312"/>
          <w:kern w:val="2"/>
        </w:rPr>
        <w:t>月</w:t>
      </w:r>
      <w:r>
        <w:rPr>
          <w:rFonts w:eastAsia="楷体_GB2312" w:cs="宋体;SimSun" w:hint="eastAsia" w:ascii="楷体_GB2312" w:hAnsi="楷体_GB2312"/>
          <w:kern w:val="2"/>
        </w:rPr>
        <w:t>1</w:t>
      </w:r>
      <w:r>
        <w:rPr>
          <w:rFonts w:ascii="楷体_GB2312" w:hAnsi="楷体_GB2312" w:cs="宋体;SimSun" w:hint="eastAsia" w:eastAsia="楷体_GB2312"/>
          <w:kern w:val="2"/>
        </w:rPr>
        <w:t>日西安市第十四届人民代表大会常务委员会第五次会议通过　</w:t>
      </w:r>
      <w:r>
        <w:rPr>
          <w:rFonts w:eastAsia="楷体_GB2312" w:cs="宋体;SimSun" w:hint="eastAsia" w:ascii="楷体_GB2312" w:hAnsi="楷体_GB2312"/>
          <w:kern w:val="2"/>
        </w:rPr>
        <w:t>2007</w:t>
      </w:r>
      <w:r>
        <w:rPr>
          <w:rFonts w:ascii="楷体_GB2312" w:hAnsi="楷体_GB2312" w:cs="宋体;SimSun" w:hint="eastAsia" w:eastAsia="楷体_GB2312"/>
          <w:kern w:val="2"/>
        </w:rPr>
        <w:t>年</w:t>
      </w:r>
      <w:r>
        <w:rPr>
          <w:rFonts w:eastAsia="楷体_GB2312" w:cs="宋体;SimSun" w:hint="eastAsia" w:ascii="楷体_GB2312" w:hAnsi="楷体_GB2312"/>
          <w:kern w:val="2"/>
        </w:rPr>
        <w:t>11</w:t>
      </w:r>
      <w:r>
        <w:rPr>
          <w:rFonts w:ascii="楷体_GB2312" w:hAnsi="楷体_GB2312" w:cs="宋体;SimSun" w:hint="eastAsia" w:eastAsia="楷体_GB2312"/>
          <w:kern w:val="2"/>
        </w:rPr>
        <w:t>月</w:t>
      </w:r>
      <w:r>
        <w:rPr>
          <w:rFonts w:eastAsia="楷体_GB2312" w:cs="宋体;SimSun" w:hint="eastAsia" w:ascii="楷体_GB2312" w:hAnsi="楷体_GB2312"/>
          <w:kern w:val="2"/>
        </w:rPr>
        <w:t>24</w:t>
      </w:r>
      <w:r>
        <w:rPr>
          <w:rFonts w:ascii="楷体_GB2312" w:hAnsi="楷体_GB2312" w:cs="宋体;SimSun" w:hint="eastAsia" w:eastAsia="楷体_GB2312"/>
          <w:kern w:val="2"/>
        </w:rPr>
        <w:t>日陕西省第十届人民代表大会常务委员会第三十四次会议批准</w:t>
      </w:r>
    </w:p>
    <w:p>
      <w:pPr>
        <w:pStyle w:val="Normal"/>
        <w:widowControl w:val="false"/>
        <w:spacing w:lineRule="exact" w:line="600"/>
        <w:ind w:firstLineChars="200" w:startChars="200" w:endChars="200"/>
        <w:jc w:val="both"/>
        <w:rPr/>
      </w:pPr>
      <w:r>
        <w:rPr>
          <w:rFonts w:ascii="楷体_GB2312" w:hAnsi="楷体_GB2312" w:cs="宋体;SimSun" w:hint="eastAsia" w:eastAsia="楷体_GB2312"/>
          <w:kern w:val="2"/>
        </w:rPr>
        <w:t>根据</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10</w:t>
      </w:r>
      <w:r>
        <w:rPr>
          <w:rFonts w:ascii="楷体_GB2312" w:hAnsi="楷体_GB2312" w:cs="宋体;SimSun" w:hint="eastAsia" w:eastAsia="楷体_GB2312"/>
          <w:kern w:val="2"/>
        </w:rPr>
        <w:t>月</w:t>
      </w:r>
      <w:r>
        <w:rPr>
          <w:rFonts w:eastAsia="楷体_GB2312" w:cs="宋体;SimSun" w:hint="eastAsia" w:ascii="楷体_GB2312" w:hAnsi="楷体_GB2312"/>
          <w:kern w:val="2"/>
        </w:rPr>
        <w:t>21</w:t>
      </w:r>
      <w:r>
        <w:rPr>
          <w:rFonts w:ascii="楷体_GB2312" w:hAnsi="楷体_GB2312" w:cs="宋体;SimSun" w:hint="eastAsia" w:eastAsia="楷体_GB2312"/>
          <w:kern w:val="2"/>
        </w:rPr>
        <w:t>日西安市第十六届人民代表大会常务委员会第三十七次会议通过　</w:t>
      </w:r>
      <w:r>
        <w:rPr>
          <w:rFonts w:eastAsia="楷体_GB2312" w:cs="宋体;SimSun" w:hint="eastAsia" w:ascii="楷体_GB2312" w:hAnsi="楷体_GB2312"/>
          <w:kern w:val="2"/>
        </w:rPr>
        <w:t>2020</w:t>
      </w:r>
      <w:r>
        <w:rPr>
          <w:rFonts w:ascii="楷体_GB2312" w:hAnsi="楷体_GB2312" w:cs="宋体;SimSun" w:hint="eastAsia" w:eastAsia="楷体_GB2312"/>
          <w:kern w:val="2"/>
        </w:rPr>
        <w:t>年</w:t>
      </w:r>
      <w:r>
        <w:rPr>
          <w:rFonts w:eastAsia="楷体_GB2312" w:cs="宋体;SimSun" w:hint="eastAsia" w:ascii="楷体_GB2312" w:hAnsi="楷体_GB2312"/>
          <w:kern w:val="2"/>
        </w:rPr>
        <w:t>11</w:t>
      </w:r>
      <w:r>
        <w:rPr>
          <w:rFonts w:ascii="楷体_GB2312" w:hAnsi="楷体_GB2312" w:cs="宋体;SimSun" w:hint="eastAsia" w:eastAsia="楷体_GB2312"/>
          <w:kern w:val="2"/>
        </w:rPr>
        <w:t>月</w:t>
      </w:r>
      <w:r>
        <w:rPr>
          <w:rFonts w:eastAsia="楷体_GB2312" w:cs="宋体;SimSun" w:hint="eastAsia" w:ascii="楷体_GB2312" w:hAnsi="楷体_GB2312"/>
          <w:kern w:val="2"/>
        </w:rPr>
        <w:t>26</w:t>
      </w:r>
      <w:r>
        <w:rPr>
          <w:rFonts w:ascii="楷体_GB2312" w:hAnsi="楷体_GB2312" w:cs="宋体;SimSun" w:hint="eastAsia" w:eastAsia="楷体_GB2312"/>
          <w:kern w:val="2"/>
        </w:rPr>
        <w:t>日陕西省第十三届人民代表大会常务委员会第二十三次会议批准的《西安市人民代表大会常务委员会关于修改〈西安市保护消费者合法权益条例〉等</w:t>
      </w:r>
      <w:r>
        <w:rPr>
          <w:rFonts w:eastAsia="楷体_GB2312" w:cs="宋体;SimSun" w:hint="eastAsia" w:ascii="楷体_GB2312" w:hAnsi="楷体_GB2312"/>
          <w:kern w:val="2"/>
        </w:rPr>
        <w:t>65</w:t>
      </w:r>
      <w:r>
        <w:rPr>
          <w:rFonts w:ascii="楷体_GB2312" w:hAnsi="楷体_GB2312" w:cs="宋体;SimSun" w:hint="eastAsia" w:eastAsia="楷体_GB2312"/>
          <w:kern w:val="2"/>
        </w:rPr>
        <w:t>部地方性法规的决定》修正）</w:t>
      </w:r>
    </w:p>
    <w:p>
      <w:pPr>
        <w:pStyle w:val="Normal"/>
        <w:widowControl w:val="false"/>
        <w:spacing w:lineRule="exact" w:line="600"/>
        <w:rPr>
          <w:rFonts w:ascii="宋体;SimSun" w:hAnsi="宋体;SimSun" w:eastAsia="宋体;SimSun" w:cs="宋体;SimSun" w:hint="eastAsia"/>
          <w:kern w:val="2"/>
        </w:rPr>
      </w:pPr>
      <w:r>
        <w:rPr>
          <w:rFonts w:eastAsia="宋体;SimSun" w:cs="宋体;SimSun" w:hint="eastAsia" w:ascii="宋体;SimSun" w:hAnsi="宋体;SimSun"/>
          <w:kern w:val="2"/>
        </w:rPr>
      </w:r>
    </w:p>
    <w:p>
      <w:pPr>
        <w:pStyle w:val="Normal"/>
        <w:widowControl w:val="false"/>
        <w:spacing w:lineRule="exact" w:line="600"/>
        <w:rPr/>
      </w:pPr>
      <w:r>
        <w:rPr>
          <w:rFonts w:hint="eastAsia"/>
          <w:kern w:val="2"/>
        </w:rPr>
        <w:t>　　</w:t>
      </w:r>
      <w:r>
        <w:rPr>
          <w:rFonts w:ascii="黑体;SimHei" w:hAnsi="黑体;SimHei" w:cs="黑体;SimHei" w:eastAsia="黑体;SimHei"/>
          <w:kern w:val="2"/>
        </w:rPr>
        <w:t>第一条</w:t>
      </w:r>
      <w:r>
        <w:rPr>
          <w:rFonts w:hint="eastAsia"/>
          <w:kern w:val="2"/>
        </w:rPr>
        <w:t>　</w:t>
      </w:r>
      <w:r>
        <w:rPr>
          <w:kern w:val="2"/>
        </w:rPr>
        <w:t>为了加强地下水资源的保护和管理，合理开发、利用地下水资源，防止地下水污染和超量开采造成地质灾害，促进地下水资源的可持续利用，根据《中华人民共和国水法》和有关法律、法规，结合本市实际，制定本条例。</w:t>
      </w:r>
    </w:p>
    <w:p>
      <w:pPr>
        <w:pStyle w:val="Normal"/>
        <w:widowControl w:val="false"/>
        <w:spacing w:lineRule="exact" w:line="600"/>
        <w:rPr/>
      </w:pPr>
      <w:r>
        <w:rPr>
          <w:rFonts w:hint="eastAsia"/>
          <w:kern w:val="2"/>
        </w:rPr>
        <w:t>　　</w:t>
      </w:r>
      <w:r>
        <w:rPr>
          <w:rFonts w:ascii="黑体;SimHei" w:hAnsi="黑体;SimHei" w:cs="黑体;SimHei" w:eastAsia="黑体;SimHei"/>
          <w:kern w:val="2"/>
        </w:rPr>
        <w:t>第二条</w:t>
      </w:r>
      <w:r>
        <w:rPr>
          <w:rFonts w:hint="eastAsia"/>
          <w:kern w:val="2"/>
        </w:rPr>
        <w:t>　</w:t>
      </w:r>
      <w:r>
        <w:rPr>
          <w:kern w:val="2"/>
        </w:rPr>
        <w:t>本市行政区域内地下水资源的保护、开发、利用和管理，适用本条例。</w:t>
      </w:r>
    </w:p>
    <w:p>
      <w:pPr>
        <w:pStyle w:val="Normal"/>
        <w:widowControl w:val="false"/>
        <w:spacing w:lineRule="exact" w:line="600"/>
        <w:jc w:val="both"/>
        <w:rPr>
          <w:kern w:val="2"/>
        </w:rPr>
      </w:pPr>
      <w:r>
        <w:rPr>
          <w:rFonts w:hint="eastAsia"/>
          <w:kern w:val="2"/>
        </w:rPr>
        <w:t>　　</w:t>
      </w:r>
      <w:r>
        <w:rPr>
          <w:rFonts w:ascii="黑体;SimHei" w:hAnsi="黑体;SimHei" w:cs="黑体;SimHei" w:eastAsia="黑体;SimHei"/>
          <w:kern w:val="2"/>
        </w:rPr>
        <w:t>第三条</w:t>
      </w:r>
      <w:r>
        <w:rPr>
          <w:rFonts w:hint="eastAsia"/>
          <w:kern w:val="2"/>
        </w:rPr>
        <w:t>　</w:t>
      </w:r>
      <w:r>
        <w:rPr>
          <w:rFonts w:cs="宋体;SimSun" w:hint="eastAsia"/>
          <w:kern w:val="2"/>
        </w:rPr>
        <w:t>市水行政主管部门是本市行政区域内地下水资源管理的行政主管部门。区县水行政主管部门按照规定的权限，负责本辖区内地下水资源的管理工作。</w:t>
      </w:r>
    </w:p>
    <w:p>
      <w:pPr>
        <w:pStyle w:val="Normal"/>
        <w:widowControl w:val="false"/>
        <w:spacing w:lineRule="exact" w:line="600"/>
        <w:rPr>
          <w:rFonts w:hint="eastAsia"/>
          <w:kern w:val="2"/>
        </w:rPr>
      </w:pPr>
      <w:r>
        <w:rPr>
          <w:rFonts w:hint="eastAsia"/>
          <w:kern w:val="2"/>
        </w:rPr>
        <w:t>　　</w:t>
      </w:r>
      <w:r>
        <w:rPr>
          <w:rFonts w:cs="宋体;SimSun" w:hint="eastAsia"/>
          <w:kern w:val="2"/>
        </w:rPr>
        <w:t>生态环境、住建、资源规划等部门</w:t>
      </w:r>
      <w:r>
        <w:rPr>
          <w:kern w:val="2"/>
        </w:rPr>
        <w:t>，按照职责分工，负责地下水资源保护、开发和利用的有关工作。</w:t>
      </w:r>
    </w:p>
    <w:p>
      <w:pPr>
        <w:pStyle w:val="Normal"/>
        <w:widowControl w:val="false"/>
        <w:spacing w:lineRule="exact" w:line="600"/>
        <w:rPr/>
      </w:pPr>
      <w:r>
        <w:rPr>
          <w:rFonts w:hint="eastAsia"/>
          <w:kern w:val="2"/>
        </w:rPr>
        <w:t>　　</w:t>
      </w:r>
      <w:r>
        <w:rPr>
          <w:rFonts w:ascii="黑体;SimHei" w:hAnsi="黑体;SimHei" w:cs="黑体;SimHei" w:eastAsia="黑体;SimHei"/>
          <w:kern w:val="2"/>
        </w:rPr>
        <w:t>第四条</w:t>
      </w:r>
      <w:r>
        <w:rPr>
          <w:rFonts w:hint="eastAsia"/>
          <w:kern w:val="2"/>
        </w:rPr>
        <w:t>　</w:t>
      </w:r>
      <w:r>
        <w:rPr>
          <w:kern w:val="2"/>
        </w:rPr>
        <w:t>任何单位和个人都有保护地下水资源的义务。对保护地下水资源成绩显著的单位和个人，市、区县人民政府应当给予表彰和奖励。</w:t>
      </w:r>
    </w:p>
    <w:p>
      <w:pPr>
        <w:pStyle w:val="Normal"/>
        <w:widowControl w:val="false"/>
        <w:spacing w:lineRule="exact" w:line="600"/>
        <w:rPr/>
      </w:pPr>
      <w:r>
        <w:rPr>
          <w:rFonts w:hint="eastAsia"/>
          <w:kern w:val="2"/>
        </w:rPr>
        <w:t>　　</w:t>
      </w:r>
      <w:r>
        <w:rPr>
          <w:rFonts w:ascii="黑体;SimHei" w:hAnsi="黑体;SimHei" w:cs="黑体;SimHei" w:eastAsia="黑体;SimHei"/>
          <w:kern w:val="2"/>
        </w:rPr>
        <w:t>第五条</w:t>
      </w:r>
      <w:r>
        <w:rPr>
          <w:rFonts w:hint="eastAsia"/>
          <w:kern w:val="2"/>
        </w:rPr>
        <w:t>　</w:t>
      </w:r>
      <w:r>
        <w:rPr>
          <w:kern w:val="2"/>
        </w:rPr>
        <w:t>市人民政府有关部门应当根据经济社会发展总体规划和地下水开发利用现状，编制地下水资源保护利用规划。</w:t>
      </w:r>
    </w:p>
    <w:p>
      <w:pPr>
        <w:pStyle w:val="Normal"/>
        <w:widowControl w:val="false"/>
        <w:spacing w:lineRule="exact" w:line="600"/>
        <w:rPr>
          <w:rFonts w:hint="eastAsia"/>
          <w:kern w:val="2"/>
        </w:rPr>
      </w:pPr>
      <w:r>
        <w:rPr>
          <w:rFonts w:hint="eastAsia"/>
          <w:kern w:val="2"/>
        </w:rPr>
        <w:t>　　</w:t>
      </w:r>
      <w:r>
        <w:rPr>
          <w:rFonts w:ascii="黑体;SimHei" w:hAnsi="黑体;SimHei" w:cs="黑体;SimHei" w:eastAsia="黑体;SimHei"/>
          <w:kern w:val="2"/>
        </w:rPr>
        <w:t>第六条</w:t>
      </w:r>
      <w:r>
        <w:rPr>
          <w:rFonts w:hint="eastAsia"/>
          <w:kern w:val="2"/>
        </w:rPr>
        <w:t>　</w:t>
      </w:r>
      <w:r>
        <w:rPr>
          <w:kern w:val="2"/>
        </w:rPr>
        <w:t>水行政主管部门应当会同有关部门做好地下水动态监测，定期开展区域地下水评价。根据地下水动态监测和评价结果、供水水源情况划定地下水禁采区和限采区，按照有关程序报请批准后公布。</w:t>
      </w:r>
    </w:p>
    <w:p>
      <w:pPr>
        <w:pStyle w:val="Normal"/>
        <w:widowControl w:val="false"/>
        <w:spacing w:lineRule="exact" w:line="600"/>
        <w:ind w:firstLine="630" w:end="0"/>
        <w:rPr>
          <w:rFonts w:hint="eastAsia"/>
          <w:kern w:val="2"/>
        </w:rPr>
      </w:pPr>
      <w:r>
        <w:rPr>
          <w:rFonts w:ascii="黑体;SimHei" w:hAnsi="黑体;SimHei" w:cs="黑体;SimHei" w:eastAsia="黑体;SimHei"/>
          <w:kern w:val="2"/>
        </w:rPr>
        <w:t>第七条</w:t>
      </w:r>
      <w:r>
        <w:rPr>
          <w:rFonts w:hint="eastAsia"/>
          <w:kern w:val="2"/>
        </w:rPr>
        <w:t>　</w:t>
      </w:r>
      <w:r>
        <w:rPr>
          <w:kern w:val="2"/>
        </w:rPr>
        <w:t>下列区域为地下水禁采区：</w:t>
      </w:r>
    </w:p>
    <w:p>
      <w:pPr>
        <w:pStyle w:val="Normal"/>
        <w:widowControl w:val="false"/>
        <w:spacing w:lineRule="exact" w:line="600"/>
        <w:ind w:firstLine="630" w:end="0"/>
        <w:rPr>
          <w:kern w:val="2"/>
        </w:rPr>
      </w:pPr>
      <w:r>
        <w:rPr>
          <w:kern w:val="2"/>
        </w:rPr>
        <w:t>（一）严重超采区域；</w:t>
      </w:r>
    </w:p>
    <w:p>
      <w:pPr>
        <w:pStyle w:val="Normal"/>
        <w:widowControl w:val="false"/>
        <w:spacing w:lineRule="exact" w:line="600"/>
        <w:ind w:firstLine="630" w:end="0"/>
        <w:rPr>
          <w:rFonts w:hint="eastAsia"/>
          <w:kern w:val="2"/>
        </w:rPr>
      </w:pPr>
      <w:r>
        <w:rPr>
          <w:kern w:val="2"/>
        </w:rPr>
        <w:t>（二）城市公共供水管网已到达的区域；</w:t>
      </w:r>
    </w:p>
    <w:p>
      <w:pPr>
        <w:pStyle w:val="Normal"/>
        <w:widowControl w:val="false"/>
        <w:spacing w:lineRule="exact" w:line="600"/>
        <w:ind w:firstLine="630" w:end="0"/>
        <w:rPr>
          <w:kern w:val="2"/>
        </w:rPr>
      </w:pPr>
      <w:r>
        <w:rPr>
          <w:kern w:val="2"/>
        </w:rPr>
        <w:t>（三）通过替代水源已解决供水问题的区域；</w:t>
      </w:r>
    </w:p>
    <w:p>
      <w:pPr>
        <w:pStyle w:val="Normal"/>
        <w:widowControl w:val="false"/>
        <w:spacing w:lineRule="exact" w:line="600"/>
        <w:ind w:firstLine="630" w:end="0"/>
        <w:rPr>
          <w:rFonts w:hint="eastAsia"/>
          <w:kern w:val="2"/>
        </w:rPr>
      </w:pPr>
      <w:r>
        <w:rPr>
          <w:kern w:val="2"/>
        </w:rPr>
        <w:t>（四）发生严重地面沉降、地裂缝等地质灾害的区域；</w:t>
      </w:r>
    </w:p>
    <w:p>
      <w:pPr>
        <w:pStyle w:val="Normal"/>
        <w:widowControl w:val="false"/>
        <w:spacing w:lineRule="exact" w:line="600"/>
        <w:ind w:firstLine="630" w:end="0"/>
        <w:rPr>
          <w:rFonts w:hint="eastAsia"/>
          <w:kern w:val="2"/>
        </w:rPr>
      </w:pPr>
      <w:r>
        <w:rPr>
          <w:kern w:val="2"/>
        </w:rPr>
        <w:t>（五）重点文物保护区；</w:t>
      </w:r>
    </w:p>
    <w:p>
      <w:pPr>
        <w:pStyle w:val="Normal"/>
        <w:widowControl w:val="false"/>
        <w:spacing w:lineRule="exact" w:line="600"/>
        <w:ind w:firstLine="630" w:end="0"/>
        <w:rPr>
          <w:kern w:val="2"/>
        </w:rPr>
      </w:pPr>
      <w:r>
        <w:rPr>
          <w:kern w:val="2"/>
        </w:rPr>
        <w:t>（六）其他需要禁采的区域。</w:t>
      </w:r>
    </w:p>
    <w:p>
      <w:pPr>
        <w:pStyle w:val="Normal"/>
        <w:widowControl w:val="false"/>
        <w:spacing w:lineRule="exact" w:line="600"/>
        <w:rPr/>
      </w:pPr>
      <w:r>
        <w:rPr>
          <w:rFonts w:hint="eastAsia"/>
          <w:kern w:val="2"/>
        </w:rPr>
        <w:t>　　</w:t>
      </w:r>
      <w:r>
        <w:rPr>
          <w:kern w:val="2"/>
        </w:rPr>
        <w:t>地下水禁采区内，不得新建地下水取水工程。对已有的地下水取水工程，应当限期封停。</w:t>
      </w:r>
    </w:p>
    <w:p>
      <w:pPr>
        <w:pStyle w:val="Normal"/>
        <w:widowControl w:val="false"/>
        <w:spacing w:lineRule="exact" w:line="600"/>
        <w:ind w:firstLine="630" w:end="0"/>
        <w:rPr>
          <w:rFonts w:hint="eastAsia"/>
          <w:kern w:val="2"/>
        </w:rPr>
      </w:pPr>
      <w:r>
        <w:rPr>
          <w:rFonts w:ascii="黑体;SimHei" w:hAnsi="黑体;SimHei" w:cs="黑体;SimHei" w:eastAsia="黑体;SimHei"/>
          <w:kern w:val="2"/>
        </w:rPr>
        <w:t>第八条</w:t>
      </w:r>
      <w:r>
        <w:rPr>
          <w:rFonts w:hint="eastAsia"/>
          <w:kern w:val="2"/>
        </w:rPr>
        <w:t>　</w:t>
      </w:r>
      <w:r>
        <w:rPr>
          <w:kern w:val="2"/>
        </w:rPr>
        <w:t>下列区域为地下水限采区：</w:t>
      </w:r>
    </w:p>
    <w:p>
      <w:pPr>
        <w:pStyle w:val="Normal"/>
        <w:widowControl w:val="false"/>
        <w:spacing w:lineRule="exact" w:line="600"/>
        <w:ind w:firstLine="630" w:end="0"/>
        <w:rPr>
          <w:rFonts w:hint="eastAsia"/>
          <w:kern w:val="2"/>
        </w:rPr>
      </w:pPr>
      <w:r>
        <w:rPr>
          <w:kern w:val="2"/>
        </w:rPr>
        <w:t>（一）一般超采区域；</w:t>
      </w:r>
    </w:p>
    <w:p>
      <w:pPr>
        <w:pStyle w:val="Normal"/>
        <w:widowControl w:val="false"/>
        <w:spacing w:lineRule="exact" w:line="600"/>
        <w:ind w:firstLine="630" w:end="0"/>
        <w:rPr>
          <w:kern w:val="2"/>
        </w:rPr>
      </w:pPr>
      <w:r>
        <w:rPr>
          <w:kern w:val="2"/>
        </w:rPr>
        <w:t>（二）一般文物保护区和风景名胜区；</w:t>
      </w:r>
    </w:p>
    <w:p>
      <w:pPr>
        <w:pStyle w:val="Normal"/>
        <w:widowControl w:val="false"/>
        <w:spacing w:lineRule="exact" w:line="600"/>
        <w:rPr/>
      </w:pPr>
      <w:r>
        <w:rPr>
          <w:rFonts w:hint="eastAsia"/>
          <w:kern w:val="2"/>
        </w:rPr>
        <w:t>　　</w:t>
      </w:r>
      <w:r>
        <w:rPr>
          <w:kern w:val="2"/>
        </w:rPr>
        <w:t>（三）其他需要限制的区域。</w:t>
      </w:r>
    </w:p>
    <w:p>
      <w:pPr>
        <w:pStyle w:val="Normal"/>
        <w:widowControl w:val="false"/>
        <w:spacing w:lineRule="exact" w:line="600"/>
        <w:ind w:firstLine="629" w:end="0"/>
        <w:jc w:val="both"/>
        <w:rPr>
          <w:kern w:val="2"/>
        </w:rPr>
      </w:pPr>
      <w:r>
        <w:rPr>
          <w:kern w:val="2"/>
        </w:rPr>
        <w:t>地下水限采区内，严格控制地下水取水指标和建设地下水取水工程，不得批准需要大量取用地下水的工业和服务业建设项目。</w:t>
      </w:r>
    </w:p>
    <w:p>
      <w:pPr>
        <w:pStyle w:val="Normal"/>
        <w:widowControl w:val="false"/>
        <w:spacing w:lineRule="exact" w:line="600"/>
        <w:rPr/>
      </w:pPr>
      <w:r>
        <w:rPr>
          <w:rFonts w:hint="eastAsia"/>
          <w:kern w:val="2"/>
        </w:rPr>
        <w:t>　　</w:t>
      </w:r>
      <w:r>
        <w:rPr>
          <w:rFonts w:ascii="黑体;SimHei" w:hAnsi="黑体;SimHei" w:cs="黑体;SimHei" w:eastAsia="黑体;SimHei"/>
          <w:kern w:val="2"/>
        </w:rPr>
        <w:t>第九条</w:t>
      </w:r>
      <w:r>
        <w:rPr>
          <w:rFonts w:hint="eastAsia"/>
          <w:kern w:val="2"/>
        </w:rPr>
        <w:t>　</w:t>
      </w:r>
      <w:r>
        <w:rPr>
          <w:kern w:val="2"/>
        </w:rPr>
        <w:t>开发地下水的单位和个人，应当向水行政主管部门提出申请，经批准后方可兴建取水工程。</w:t>
      </w:r>
    </w:p>
    <w:p>
      <w:pPr>
        <w:pStyle w:val="Normal"/>
        <w:widowControl w:val="false"/>
        <w:spacing w:lineRule="exact" w:line="600"/>
        <w:jc w:val="both"/>
        <w:rPr/>
      </w:pPr>
      <w:r>
        <w:rPr>
          <w:rFonts w:hint="eastAsia"/>
          <w:kern w:val="2"/>
        </w:rPr>
        <w:t>　　</w:t>
      </w:r>
      <w:r>
        <w:rPr>
          <w:kern w:val="2"/>
        </w:rPr>
        <w:t>新城、碑林、莲湖、雁塔、未央、灞桥等六区的地下水开采由市水行政主管部门负责审批；其他区县的地下水开采由区县水行政主管部门负责审批，并在</w:t>
      </w:r>
      <w:r>
        <w:rPr>
          <w:kern w:val="2"/>
        </w:rPr>
        <w:t>30</w:t>
      </w:r>
      <w:r>
        <w:rPr>
          <w:kern w:val="2"/>
        </w:rPr>
        <w:t>日内报市水行政主管部门备案。但法律、行政法规规定不需要申请领取取水许可证的除外。</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第十条</w:t>
      </w:r>
      <w:r>
        <w:rPr>
          <w:rFonts w:hint="eastAsia"/>
          <w:kern w:val="2"/>
        </w:rPr>
        <w:t>　</w:t>
      </w:r>
      <w:r>
        <w:rPr>
          <w:kern w:val="2"/>
        </w:rPr>
        <w:t>承建开发地下水凿井施工的单位，应当具备相应的资质。凿井施工单位在凿井前，应当向水行政主管部门提交凿井方案和资质证明，经水行政主管部门核准并在其监督下方可施工。</w:t>
      </w:r>
    </w:p>
    <w:p>
      <w:pPr>
        <w:pStyle w:val="Normal"/>
        <w:widowControl w:val="false"/>
        <w:spacing w:lineRule="exact" w:line="600"/>
        <w:rPr/>
      </w:pPr>
      <w:r>
        <w:rPr>
          <w:rFonts w:hint="eastAsia"/>
          <w:kern w:val="2"/>
        </w:rPr>
        <w:t>　　</w:t>
      </w:r>
      <w:r>
        <w:rPr>
          <w:kern w:val="2"/>
        </w:rPr>
        <w:t>开发地下水的单位和个人未取得取水许可审批文件的，凿井施工单位不得承建该凿井工程。</w:t>
      </w:r>
    </w:p>
    <w:p>
      <w:pPr>
        <w:pStyle w:val="Normal"/>
        <w:widowControl w:val="false"/>
        <w:spacing w:lineRule="exact" w:line="600"/>
        <w:rPr/>
      </w:pPr>
      <w:r>
        <w:rPr>
          <w:rFonts w:hint="eastAsia"/>
          <w:kern w:val="2"/>
        </w:rPr>
        <w:t>　　</w:t>
      </w:r>
      <w:r>
        <w:rPr>
          <w:rFonts w:ascii="黑体;SimHei" w:hAnsi="黑体;SimHei" w:cs="黑体;SimHei" w:eastAsia="黑体;SimHei"/>
          <w:kern w:val="2"/>
        </w:rPr>
        <w:t>第十一条</w:t>
      </w:r>
      <w:r>
        <w:rPr>
          <w:rFonts w:hint="eastAsia"/>
          <w:kern w:val="2"/>
        </w:rPr>
        <w:t>　</w:t>
      </w:r>
      <w:r>
        <w:rPr>
          <w:kern w:val="2"/>
        </w:rPr>
        <w:t>开发地下水的单位和个人及其委托的凿井施工单位，应当按照取水许可审批文件批准的取水地点、凿井深度、开采层段和有关技术规范组织施工。</w:t>
      </w:r>
    </w:p>
    <w:p>
      <w:pPr>
        <w:pStyle w:val="Normal"/>
        <w:widowControl w:val="false"/>
        <w:spacing w:lineRule="exact" w:line="600"/>
        <w:rPr>
          <w:rFonts w:hint="eastAsia"/>
          <w:kern w:val="2"/>
        </w:rPr>
      </w:pPr>
      <w:r>
        <w:rPr>
          <w:rFonts w:hint="eastAsia"/>
          <w:kern w:val="2"/>
        </w:rPr>
        <w:t>　　</w:t>
      </w:r>
      <w:r>
        <w:rPr>
          <w:kern w:val="2"/>
        </w:rPr>
        <w:t>取水工程及其设施竣工后，开发地下水的单位和个人应当向水行政主管部门报送取水工程及其设施试运行情况等相关资料；经验收合格的，核发取水许可证。</w:t>
      </w:r>
    </w:p>
    <w:p>
      <w:pPr>
        <w:pStyle w:val="Normal"/>
        <w:widowControl w:val="false"/>
        <w:spacing w:lineRule="exact" w:line="600"/>
        <w:ind w:firstLine="630" w:end="0"/>
        <w:jc w:val="both"/>
        <w:rPr/>
      </w:pPr>
      <w:r>
        <w:rPr>
          <w:rFonts w:ascii="黑体;SimHei" w:hAnsi="黑体;SimHei" w:cs="黑体;SimHei" w:eastAsia="黑体;SimHei"/>
          <w:kern w:val="2"/>
        </w:rPr>
        <w:t>第十二条</w:t>
      </w:r>
      <w:r>
        <w:rPr>
          <w:rFonts w:hint="eastAsia"/>
          <w:kern w:val="2"/>
        </w:rPr>
        <w:t>　</w:t>
      </w:r>
      <w:r>
        <w:rPr>
          <w:kern w:val="2"/>
        </w:rPr>
        <w:t>取用地下水的单位和个人应当缴纳水资源费。水资源费的征收按照有关规定执行。</w:t>
      </w:r>
    </w:p>
    <w:p>
      <w:pPr>
        <w:pStyle w:val="Normal"/>
        <w:widowControl w:val="false"/>
        <w:spacing w:lineRule="exact" w:line="600"/>
        <w:rPr/>
      </w:pPr>
      <w:r>
        <w:rPr>
          <w:rFonts w:hint="eastAsia"/>
          <w:kern w:val="2"/>
        </w:rPr>
        <w:t>　　</w:t>
      </w:r>
      <w:r>
        <w:rPr>
          <w:rFonts w:ascii="黑体;SimHei" w:hAnsi="黑体;SimHei" w:cs="黑体;SimHei" w:eastAsia="黑体;SimHei"/>
          <w:kern w:val="2"/>
        </w:rPr>
        <w:t>第十三条</w:t>
      </w:r>
      <w:r>
        <w:rPr>
          <w:rFonts w:hint="eastAsia"/>
          <w:kern w:val="2"/>
        </w:rPr>
        <w:t>　</w:t>
      </w:r>
      <w:r>
        <w:rPr>
          <w:kern w:val="2"/>
        </w:rPr>
        <w:t>取用地下水的单位和个人应当安装符合质量技术标准的取水计量设施，定期检查维修，保证正常运行。</w:t>
      </w:r>
    </w:p>
    <w:p>
      <w:pPr>
        <w:pStyle w:val="Normal"/>
        <w:widowControl w:val="false"/>
        <w:spacing w:lineRule="exact" w:line="600"/>
        <w:rPr/>
      </w:pPr>
      <w:r>
        <w:rPr>
          <w:rFonts w:hint="eastAsia"/>
          <w:kern w:val="2"/>
        </w:rPr>
        <w:t>　　</w:t>
      </w:r>
      <w:r>
        <w:rPr>
          <w:rFonts w:ascii="黑体;SimHei" w:hAnsi="黑体;SimHei" w:cs="黑体;SimHei" w:eastAsia="黑体;SimHei"/>
          <w:kern w:val="2"/>
        </w:rPr>
        <w:t>第十四条</w:t>
      </w:r>
      <w:r>
        <w:rPr>
          <w:rFonts w:hint="eastAsia"/>
          <w:kern w:val="2"/>
        </w:rPr>
        <w:t>　</w:t>
      </w:r>
      <w:r>
        <w:rPr>
          <w:kern w:val="2"/>
        </w:rPr>
        <w:t>取用地下水应当按照批准的用途使用</w:t>
      </w:r>
      <w:r>
        <w:rPr>
          <w:rFonts w:hint="eastAsia"/>
          <w:kern w:val="2"/>
        </w:rPr>
        <w:t>，</w:t>
      </w:r>
      <w:r>
        <w:rPr>
          <w:kern w:val="2"/>
        </w:rPr>
        <w:t>不得擅自改变用途。</w:t>
      </w:r>
    </w:p>
    <w:p>
      <w:pPr>
        <w:pStyle w:val="Normal"/>
        <w:widowControl w:val="false"/>
        <w:spacing w:lineRule="exact" w:line="600"/>
        <w:rPr/>
      </w:pPr>
      <w:r>
        <w:rPr>
          <w:rFonts w:hint="eastAsia"/>
          <w:kern w:val="2"/>
        </w:rPr>
        <w:t>　　</w:t>
      </w:r>
      <w:r>
        <w:rPr>
          <w:kern w:val="2"/>
        </w:rPr>
        <w:t>未经批准不得对外销售地热水。</w:t>
      </w:r>
    </w:p>
    <w:p>
      <w:pPr>
        <w:pStyle w:val="Normal"/>
        <w:widowControl w:val="false"/>
        <w:spacing w:lineRule="exact" w:line="600"/>
        <w:rPr/>
      </w:pPr>
      <w:r>
        <w:rPr>
          <w:rFonts w:hint="eastAsia"/>
          <w:kern w:val="2"/>
        </w:rPr>
        <w:t>　　</w:t>
      </w:r>
      <w:r>
        <w:rPr>
          <w:rFonts w:ascii="黑体;SimHei" w:hAnsi="黑体;SimHei" w:cs="黑体;SimHei" w:eastAsia="黑体;SimHei"/>
          <w:kern w:val="2"/>
        </w:rPr>
        <w:t>第十五条</w:t>
      </w:r>
      <w:r>
        <w:rPr>
          <w:rFonts w:hint="eastAsia"/>
          <w:kern w:val="2"/>
        </w:rPr>
        <w:t>　</w:t>
      </w:r>
      <w:r>
        <w:rPr>
          <w:kern w:val="2"/>
        </w:rPr>
        <w:t>城市供水应当以地表水为主，公共供水单位管理和使用的地下水工程，在满足城市供水需要和确保地下水供水设施正常运行的情况下，按照市人民政府批准的年度供水调度计划确定的指标取用地下水。</w:t>
      </w:r>
    </w:p>
    <w:p>
      <w:pPr>
        <w:pStyle w:val="Normal"/>
        <w:widowControl w:val="false"/>
        <w:spacing w:lineRule="exact" w:line="600"/>
        <w:rPr/>
      </w:pPr>
      <w:r>
        <w:rPr>
          <w:rFonts w:hint="eastAsia"/>
          <w:kern w:val="2"/>
        </w:rPr>
        <w:t>　　</w:t>
      </w:r>
      <w:r>
        <w:rPr>
          <w:rFonts w:ascii="黑体;SimHei" w:hAnsi="黑体;SimHei" w:cs="黑体;SimHei" w:eastAsia="黑体;SimHei"/>
          <w:kern w:val="2"/>
        </w:rPr>
        <w:t>第十六条</w:t>
      </w:r>
      <w:r>
        <w:rPr>
          <w:rFonts w:hint="eastAsia"/>
          <w:kern w:val="2"/>
        </w:rPr>
        <w:t>　</w:t>
      </w:r>
      <w:r>
        <w:rPr>
          <w:kern w:val="2"/>
        </w:rPr>
        <w:t>人工湖泊注水、新建造纸企业以及发电、供热等需要大量用水的工业建设项目，不得开采地下水。</w:t>
      </w:r>
    </w:p>
    <w:p>
      <w:pPr>
        <w:pStyle w:val="Normal"/>
        <w:widowControl w:val="false"/>
        <w:spacing w:lineRule="exact" w:line="600"/>
        <w:rPr>
          <w:kern w:val="2"/>
        </w:rPr>
      </w:pPr>
      <w:r>
        <w:rPr>
          <w:rFonts w:hint="eastAsia"/>
          <w:kern w:val="2"/>
        </w:rPr>
        <w:t>　　</w:t>
      </w:r>
      <w:r>
        <w:rPr>
          <w:rFonts w:ascii="黑体;SimHei" w:hAnsi="黑体;SimHei" w:cs="黑体;SimHei" w:eastAsia="黑体;SimHei"/>
          <w:kern w:val="2"/>
        </w:rPr>
        <w:t>第十七条</w:t>
      </w:r>
      <w:r>
        <w:rPr>
          <w:rFonts w:hint="eastAsia"/>
          <w:kern w:val="2"/>
        </w:rPr>
        <w:t>　</w:t>
      </w:r>
      <w:r>
        <w:rPr>
          <w:rFonts w:cs="宋体;SimSun"/>
          <w:kern w:val="2"/>
        </w:rPr>
        <w:t>开采矿泉水的，应当</w:t>
      </w:r>
      <w:r>
        <w:rPr>
          <w:rFonts w:cs="宋体;SimSun" w:hint="eastAsia"/>
          <w:kern w:val="2"/>
        </w:rPr>
        <w:t>依照有关法律、法规规定办理</w:t>
      </w:r>
      <w:r>
        <w:rPr>
          <w:rFonts w:cs="宋体;SimSun"/>
          <w:kern w:val="2"/>
        </w:rPr>
        <w:t>审批</w:t>
      </w:r>
      <w:r>
        <w:rPr>
          <w:rFonts w:cs="宋体;SimSun" w:hint="eastAsia"/>
          <w:kern w:val="2"/>
        </w:rPr>
        <w:t>手续</w:t>
      </w:r>
      <w:r>
        <w:rPr>
          <w:rFonts w:cs="宋体;SimSun"/>
          <w:kern w:val="2"/>
        </w:rPr>
        <w:t>。</w:t>
      </w:r>
    </w:p>
    <w:p>
      <w:pPr>
        <w:pStyle w:val="Normal"/>
        <w:widowControl w:val="false"/>
        <w:spacing w:lineRule="exact" w:line="600"/>
        <w:jc w:val="both"/>
        <w:rPr/>
      </w:pPr>
      <w:r>
        <w:rPr>
          <w:rFonts w:hint="eastAsia"/>
          <w:kern w:val="2"/>
        </w:rPr>
        <w:t>　　</w:t>
      </w:r>
      <w:r>
        <w:rPr>
          <w:rFonts w:ascii="黑体;SimHei" w:hAnsi="黑体;SimHei" w:cs="黑体;SimHei" w:eastAsia="黑体;SimHei"/>
          <w:kern w:val="2"/>
        </w:rPr>
        <w:t>第十八条</w:t>
      </w:r>
      <w:r>
        <w:rPr>
          <w:rFonts w:hint="eastAsia"/>
          <w:kern w:val="2"/>
        </w:rPr>
        <w:t>　</w:t>
      </w:r>
      <w:r>
        <w:rPr>
          <w:kern w:val="2"/>
        </w:rPr>
        <w:t>开发利用地热水应当控制开采量和限定开采井距，防止水源枯竭和井间取水相互影响。</w:t>
      </w:r>
    </w:p>
    <w:p>
      <w:pPr>
        <w:pStyle w:val="Normal"/>
        <w:widowControl w:val="false"/>
        <w:spacing w:lineRule="exact" w:line="600"/>
        <w:rPr/>
      </w:pPr>
      <w:r>
        <w:rPr>
          <w:rFonts w:hint="eastAsia"/>
          <w:kern w:val="2"/>
        </w:rPr>
        <w:t>　　</w:t>
      </w:r>
      <w:r>
        <w:rPr>
          <w:kern w:val="2"/>
        </w:rPr>
        <w:t>地热水的开发使用权可以通过招标、拍卖等方式确定。</w:t>
      </w:r>
    </w:p>
    <w:p>
      <w:pPr>
        <w:pStyle w:val="Normal"/>
        <w:widowControl w:val="false"/>
        <w:spacing w:lineRule="exact" w:line="600"/>
        <w:jc w:val="both"/>
        <w:rPr/>
      </w:pPr>
      <w:r>
        <w:rPr>
          <w:rFonts w:hint="eastAsia"/>
          <w:kern w:val="2"/>
        </w:rPr>
        <w:t>　　</w:t>
      </w:r>
      <w:r>
        <w:rPr>
          <w:kern w:val="2"/>
        </w:rPr>
        <w:t>西安城墙以内不得新建地热水取水工程和增加地热水取水量。</w:t>
      </w:r>
    </w:p>
    <w:p>
      <w:pPr>
        <w:pStyle w:val="Normal"/>
        <w:widowControl w:val="false"/>
        <w:spacing w:lineRule="exact" w:line="600"/>
        <w:rPr/>
      </w:pPr>
      <w:r>
        <w:rPr>
          <w:rFonts w:hint="eastAsia"/>
          <w:kern w:val="2"/>
        </w:rPr>
        <w:t>　　</w:t>
      </w:r>
      <w:r>
        <w:rPr>
          <w:rFonts w:ascii="黑体;SimHei" w:hAnsi="黑体;SimHei" w:cs="黑体;SimHei" w:eastAsia="黑体;SimHei"/>
          <w:kern w:val="2"/>
        </w:rPr>
        <w:t>第十九条</w:t>
      </w:r>
      <w:r>
        <w:rPr>
          <w:rFonts w:hint="eastAsia"/>
          <w:kern w:val="2"/>
        </w:rPr>
        <w:t>　</w:t>
      </w:r>
      <w:r>
        <w:rPr>
          <w:kern w:val="2"/>
        </w:rPr>
        <w:t>市人民政府应当加强湿地的规划和建设。</w:t>
      </w:r>
    </w:p>
    <w:p>
      <w:pPr>
        <w:pStyle w:val="Normal"/>
        <w:widowControl w:val="false"/>
        <w:spacing w:lineRule="exact" w:line="600"/>
        <w:rPr/>
      </w:pPr>
      <w:r>
        <w:rPr>
          <w:rFonts w:hint="eastAsia"/>
          <w:kern w:val="2"/>
        </w:rPr>
        <w:t>　　</w:t>
      </w:r>
      <w:r>
        <w:rPr>
          <w:kern w:val="2"/>
        </w:rPr>
        <w:t>鼓励、支持单位和个人因地制宜，采取人工回灌、雨水渗透等措施，增加地下水的有效补给。</w:t>
      </w:r>
    </w:p>
    <w:p>
      <w:pPr>
        <w:pStyle w:val="Normal"/>
        <w:widowControl w:val="false"/>
        <w:spacing w:lineRule="exact" w:line="600"/>
        <w:rPr/>
      </w:pPr>
      <w:r>
        <w:rPr>
          <w:rFonts w:hint="eastAsia"/>
          <w:kern w:val="2"/>
        </w:rPr>
        <w:t>　　</w:t>
      </w:r>
      <w:r>
        <w:rPr>
          <w:kern w:val="2"/>
        </w:rPr>
        <w:t>地热水供暖以及水源地温空调取用地下水的，应当采取相应回灌措施。</w:t>
      </w:r>
    </w:p>
    <w:p>
      <w:pPr>
        <w:pStyle w:val="Normal"/>
        <w:widowControl w:val="false"/>
        <w:spacing w:lineRule="exact" w:line="600"/>
        <w:rPr/>
      </w:pPr>
      <w:r>
        <w:rPr>
          <w:rFonts w:hint="eastAsia"/>
          <w:kern w:val="2"/>
        </w:rPr>
        <w:t>　　</w:t>
      </w:r>
      <w:r>
        <w:rPr>
          <w:rFonts w:ascii="黑体;SimHei" w:hAnsi="黑体;SimHei" w:cs="黑体;SimHei" w:eastAsia="黑体;SimHei"/>
          <w:kern w:val="2"/>
        </w:rPr>
        <w:t>第二十条</w:t>
      </w:r>
      <w:r>
        <w:rPr>
          <w:rFonts w:hint="eastAsia"/>
          <w:kern w:val="2"/>
        </w:rPr>
        <w:t>　</w:t>
      </w:r>
      <w:r>
        <w:rPr>
          <w:kern w:val="2"/>
        </w:rPr>
        <w:t>多层地下水的含水层水质差异较大的，应当分层开采；对已受污染的含水层，不得混层开采。</w:t>
      </w:r>
    </w:p>
    <w:p>
      <w:pPr>
        <w:pStyle w:val="Normal"/>
        <w:widowControl w:val="false"/>
        <w:spacing w:lineRule="exact" w:line="600"/>
        <w:rPr/>
      </w:pPr>
      <w:r>
        <w:rPr>
          <w:rFonts w:hint="eastAsia"/>
          <w:kern w:val="2"/>
        </w:rPr>
        <w:t>　　</w:t>
      </w:r>
      <w:r>
        <w:rPr>
          <w:rFonts w:ascii="黑体;SimHei" w:hAnsi="黑体;SimHei" w:cs="黑体;SimHei" w:eastAsia="黑体;SimHei"/>
          <w:kern w:val="2"/>
        </w:rPr>
        <w:t>第二十一条</w:t>
      </w:r>
      <w:r>
        <w:rPr>
          <w:rFonts w:hint="eastAsia"/>
          <w:kern w:val="2"/>
        </w:rPr>
        <w:t>　</w:t>
      </w:r>
      <w:r>
        <w:rPr>
          <w:kern w:val="2"/>
        </w:rPr>
        <w:t>兴建地下工程设施或者进行地下勘探、采矿等活动，必须采取有效防护措施，防止污染地下水。</w:t>
      </w:r>
    </w:p>
    <w:p>
      <w:pPr>
        <w:pStyle w:val="Normal"/>
        <w:widowControl w:val="false"/>
        <w:spacing w:lineRule="exact" w:line="600"/>
        <w:ind w:firstLine="630" w:end="0"/>
        <w:rPr>
          <w:rFonts w:hint="eastAsia"/>
          <w:kern w:val="2"/>
        </w:rPr>
      </w:pPr>
      <w:r>
        <w:rPr>
          <w:rFonts w:ascii="黑体;SimHei" w:hAnsi="黑体;SimHei" w:cs="黑体;SimHei" w:eastAsia="黑体;SimHei"/>
          <w:kern w:val="2"/>
        </w:rPr>
        <w:t>第二十二条</w:t>
      </w:r>
      <w:r>
        <w:rPr>
          <w:rFonts w:hint="eastAsia"/>
          <w:kern w:val="2"/>
        </w:rPr>
        <w:t>　</w:t>
      </w:r>
      <w:r>
        <w:rPr>
          <w:kern w:val="2"/>
        </w:rPr>
        <w:t>禁止任何单位和个人从事下列污染地下水的行为：</w:t>
      </w:r>
    </w:p>
    <w:p>
      <w:pPr>
        <w:pStyle w:val="Normal"/>
        <w:widowControl w:val="false"/>
        <w:spacing w:lineRule="exact" w:line="600"/>
        <w:ind w:firstLine="630" w:end="0"/>
        <w:rPr>
          <w:rFonts w:hint="eastAsia"/>
          <w:kern w:val="2"/>
        </w:rPr>
      </w:pPr>
      <w:r>
        <w:rPr>
          <w:kern w:val="2"/>
        </w:rPr>
        <w:t>（一）将不符合国家回灌水水质标准的水灌入地下；</w:t>
      </w:r>
    </w:p>
    <w:p>
      <w:pPr>
        <w:pStyle w:val="Normal"/>
        <w:widowControl w:val="false"/>
        <w:spacing w:lineRule="exact" w:line="600"/>
        <w:ind w:firstLine="630" w:end="0"/>
        <w:rPr>
          <w:kern w:val="2"/>
        </w:rPr>
      </w:pPr>
      <w:r>
        <w:rPr>
          <w:kern w:val="2"/>
        </w:rPr>
        <w:t>（二）利用渗井、渗坑、裂隙和溶洞排放、倾倒含有毒污染物的废水、含病原体的污水和其他废弃物；</w:t>
      </w:r>
    </w:p>
    <w:p>
      <w:pPr>
        <w:pStyle w:val="Normal"/>
        <w:widowControl w:val="false"/>
        <w:spacing w:lineRule="exact" w:line="600"/>
        <w:rPr/>
      </w:pPr>
      <w:r>
        <w:rPr>
          <w:rFonts w:hint="eastAsia"/>
          <w:kern w:val="2"/>
        </w:rPr>
        <w:t>　　</w:t>
      </w:r>
      <w:r>
        <w:rPr>
          <w:kern w:val="2"/>
        </w:rPr>
        <w:t>（三）使用无有效防止渗漏措施的沟渠、坑塘等输送或贮存含有毒污染物的废水、含病原体的污水和其他废弃物；</w:t>
      </w:r>
    </w:p>
    <w:p>
      <w:pPr>
        <w:pStyle w:val="Normal"/>
        <w:widowControl w:val="false"/>
        <w:spacing w:lineRule="exact" w:line="600"/>
        <w:ind w:firstLine="630" w:end="0"/>
        <w:rPr>
          <w:rFonts w:hint="eastAsia"/>
          <w:kern w:val="2"/>
        </w:rPr>
      </w:pPr>
      <w:r>
        <w:rPr>
          <w:kern w:val="2"/>
        </w:rPr>
        <w:t>（四）使用不符合国家有关农田灌溉水质标准的污水进行灌溉；</w:t>
      </w:r>
    </w:p>
    <w:p>
      <w:pPr>
        <w:pStyle w:val="Normal"/>
        <w:widowControl w:val="false"/>
        <w:spacing w:lineRule="exact" w:line="600"/>
        <w:ind w:firstLine="630" w:end="0"/>
        <w:rPr>
          <w:rFonts w:hint="eastAsia"/>
          <w:kern w:val="2"/>
        </w:rPr>
      </w:pPr>
      <w:r>
        <w:rPr>
          <w:kern w:val="2"/>
        </w:rPr>
        <w:t>（五）利用含有毒污染物的污水作肥料；</w:t>
      </w:r>
    </w:p>
    <w:p>
      <w:pPr>
        <w:pStyle w:val="Normal"/>
        <w:widowControl w:val="false"/>
        <w:spacing w:lineRule="exact" w:line="600"/>
        <w:ind w:firstLine="630" w:end="0"/>
        <w:rPr>
          <w:rFonts w:hint="eastAsia"/>
          <w:kern w:val="2"/>
        </w:rPr>
      </w:pPr>
      <w:r>
        <w:rPr>
          <w:kern w:val="2"/>
        </w:rPr>
        <w:t>（六）使用剧毒和高残留农药；</w:t>
      </w:r>
    </w:p>
    <w:p>
      <w:pPr>
        <w:pStyle w:val="Normal"/>
        <w:widowControl w:val="false"/>
        <w:spacing w:lineRule="exact" w:line="600"/>
        <w:ind w:firstLine="630" w:end="0"/>
        <w:rPr>
          <w:kern w:val="2"/>
        </w:rPr>
      </w:pPr>
      <w:r>
        <w:rPr>
          <w:kern w:val="2"/>
        </w:rPr>
        <w:t>（七）其他污染地下水的行为。</w:t>
      </w:r>
    </w:p>
    <w:p>
      <w:pPr>
        <w:pStyle w:val="Normal"/>
        <w:widowControl w:val="false"/>
        <w:spacing w:lineRule="exact" w:line="600"/>
        <w:rPr>
          <w:rFonts w:hint="eastAsia"/>
          <w:kern w:val="2"/>
        </w:rPr>
      </w:pPr>
      <w:r>
        <w:rPr>
          <w:rFonts w:hint="eastAsia"/>
          <w:kern w:val="2"/>
        </w:rPr>
        <w:t>　　</w:t>
      </w:r>
      <w:r>
        <w:rPr>
          <w:rFonts w:ascii="黑体;SimHei" w:hAnsi="黑体;SimHei" w:cs="黑体;SimHei" w:eastAsia="黑体;SimHei"/>
          <w:kern w:val="2"/>
        </w:rPr>
        <w:t>第二十三条</w:t>
      </w:r>
      <w:r>
        <w:rPr>
          <w:rFonts w:hint="eastAsia"/>
          <w:kern w:val="2"/>
        </w:rPr>
        <w:t>　</w:t>
      </w:r>
      <w:r>
        <w:rPr>
          <w:kern w:val="2"/>
        </w:rPr>
        <w:t>在城市集中供水区及农村生活饮用水地下水源保护区内，禁止进行与取水和保护水源无关的建设项目及其他可能污染水源的活动。</w:t>
      </w:r>
    </w:p>
    <w:p>
      <w:pPr>
        <w:pStyle w:val="Normal"/>
        <w:widowControl w:val="false"/>
        <w:spacing w:lineRule="exact" w:line="600"/>
        <w:ind w:firstLine="630" w:end="0"/>
        <w:jc w:val="both"/>
        <w:rPr/>
      </w:pPr>
      <w:r>
        <w:rPr>
          <w:rFonts w:ascii="黑体;SimHei" w:hAnsi="黑体;SimHei" w:cs="黑体;SimHei" w:eastAsia="黑体;SimHei"/>
          <w:kern w:val="2"/>
        </w:rPr>
        <w:t>第二十四条</w:t>
      </w:r>
      <w:r>
        <w:rPr>
          <w:rFonts w:hint="eastAsia"/>
          <w:kern w:val="2"/>
        </w:rPr>
        <w:t>　</w:t>
      </w:r>
      <w:r>
        <w:rPr>
          <w:kern w:val="2"/>
        </w:rPr>
        <w:t>地下水取水工程废弃的，水行政主管部门应当监督取水工程所有人及时填埋取水井。</w:t>
      </w:r>
    </w:p>
    <w:p>
      <w:pPr>
        <w:pStyle w:val="Normal"/>
        <w:widowControl w:val="false"/>
        <w:spacing w:lineRule="exact" w:line="600"/>
        <w:ind w:firstLine="630" w:end="0"/>
        <w:jc w:val="both"/>
        <w:rPr>
          <w:rFonts w:hint="eastAsia"/>
          <w:kern w:val="2"/>
        </w:rPr>
      </w:pPr>
      <w:r>
        <w:rPr>
          <w:rFonts w:ascii="黑体;SimHei" w:hAnsi="黑体;SimHei" w:cs="黑体;SimHei" w:eastAsia="黑体;SimHei"/>
          <w:kern w:val="2"/>
        </w:rPr>
        <w:t>第二十五条</w:t>
      </w:r>
      <w:r>
        <w:rPr>
          <w:rFonts w:hint="eastAsia"/>
          <w:kern w:val="2"/>
        </w:rPr>
        <w:t>　违反本条例规定，开发地下水的单位和个人未经批准擅自修建地下水取水工程的，由水行政主管部门责令停止违法行为，限期补办有关手续；逾期不补办或者补办未被批准的，责令限期拆除或者封闭其取水工程；逾期不拆除或者不封闭其取水工程的，由水行政主管部门组织拆除或者封闭，所需费用由违法行为人承担，可以处</w:t>
      </w:r>
      <w:r>
        <w:rPr>
          <w:rFonts w:hint="eastAsia"/>
          <w:kern w:val="2"/>
        </w:rPr>
        <w:t>1</w:t>
      </w:r>
      <w:r>
        <w:rPr>
          <w:rFonts w:hint="eastAsia"/>
          <w:kern w:val="2"/>
        </w:rPr>
        <w:t>万元以上</w:t>
      </w:r>
      <w:r>
        <w:rPr>
          <w:rFonts w:hint="eastAsia"/>
          <w:kern w:val="2"/>
        </w:rPr>
        <w:t>5</w:t>
      </w:r>
      <w:r>
        <w:rPr>
          <w:rFonts w:hint="eastAsia"/>
          <w:kern w:val="2"/>
        </w:rPr>
        <w:t>万元以下罚款。</w:t>
      </w:r>
    </w:p>
    <w:p>
      <w:pPr>
        <w:pStyle w:val="Normal"/>
        <w:widowControl w:val="false"/>
        <w:spacing w:lineRule="exact" w:line="600"/>
        <w:ind w:firstLine="630" w:end="0"/>
        <w:rPr/>
      </w:pPr>
      <w:r>
        <w:rPr>
          <w:rFonts w:ascii="黑体;SimHei" w:hAnsi="黑体;SimHei" w:cs="黑体;SimHei" w:eastAsia="黑体;SimHei"/>
          <w:kern w:val="2"/>
        </w:rPr>
        <w:t>第二十六条</w:t>
      </w:r>
      <w:r>
        <w:rPr>
          <w:rFonts w:hint="eastAsia"/>
          <w:kern w:val="2"/>
        </w:rPr>
        <w:t>　</w:t>
      </w:r>
      <w:r>
        <w:rPr>
          <w:kern w:val="2"/>
        </w:rPr>
        <w:t>违反本条例规定，凿井施工单位不具备相应资质承建开发地下水取水工程、承建未经批准的凿井工程或者未按照批准的凿井方案凿井的，由水行政主管部门责令停止施工，并处</w:t>
      </w:r>
      <w:r>
        <w:rPr>
          <w:kern w:val="2"/>
        </w:rPr>
        <w:t>5000</w:t>
      </w:r>
      <w:r>
        <w:rPr>
          <w:kern w:val="2"/>
        </w:rPr>
        <w:t>元以上</w:t>
      </w:r>
      <w:r>
        <w:rPr>
          <w:kern w:val="2"/>
        </w:rPr>
        <w:t>5</w:t>
      </w:r>
      <w:r>
        <w:rPr>
          <w:kern w:val="2"/>
        </w:rPr>
        <w:t>万元以下的罚款。</w:t>
      </w:r>
    </w:p>
    <w:p>
      <w:pPr>
        <w:pStyle w:val="Normal"/>
        <w:widowControl w:val="false"/>
        <w:spacing w:lineRule="exact" w:line="600"/>
        <w:jc w:val="both"/>
        <w:rPr>
          <w:kern w:val="2"/>
        </w:rPr>
      </w:pPr>
      <w:r>
        <w:rPr>
          <w:rFonts w:hint="eastAsia"/>
          <w:kern w:val="2"/>
        </w:rPr>
        <w:t>　　</w:t>
      </w:r>
      <w:r>
        <w:rPr>
          <w:rFonts w:ascii="黑体;SimHei" w:hAnsi="黑体;SimHei" w:cs="黑体;SimHei" w:eastAsia="黑体;SimHei"/>
          <w:kern w:val="2"/>
        </w:rPr>
        <w:t>第二十七条</w:t>
      </w:r>
      <w:r>
        <w:rPr>
          <w:rFonts w:hint="eastAsia"/>
          <w:kern w:val="2"/>
        </w:rPr>
        <w:t>　违反本条例规定，未经批准擅自取用地下水或者未依照批准的取水许可规定条件取水的，由水行政主管部门责令停止违法行为，限期采取补救措施，处</w:t>
      </w:r>
      <w:r>
        <w:rPr>
          <w:rFonts w:hint="eastAsia"/>
          <w:kern w:val="2"/>
        </w:rPr>
        <w:t>2</w:t>
      </w:r>
      <w:r>
        <w:rPr>
          <w:rFonts w:hint="eastAsia"/>
          <w:kern w:val="2"/>
        </w:rPr>
        <w:t>万元以上</w:t>
      </w:r>
      <w:r>
        <w:rPr>
          <w:rFonts w:hint="eastAsia"/>
          <w:kern w:val="2"/>
        </w:rPr>
        <w:t>10</w:t>
      </w:r>
      <w:r>
        <w:rPr>
          <w:rFonts w:hint="eastAsia"/>
          <w:kern w:val="2"/>
        </w:rPr>
        <w:t>万元以下罚款；情节严重的，吊销其取水许可证。</w:t>
      </w:r>
    </w:p>
    <w:p>
      <w:pPr>
        <w:pStyle w:val="Normal"/>
        <w:widowControl w:val="false"/>
        <w:spacing w:lineRule="exact" w:line="600"/>
        <w:rPr/>
      </w:pPr>
      <w:r>
        <w:rPr>
          <w:rFonts w:hint="eastAsia"/>
          <w:kern w:val="2"/>
        </w:rPr>
        <w:t>　　</w:t>
      </w:r>
      <w:r>
        <w:rPr>
          <w:rFonts w:ascii="黑体;SimHei" w:hAnsi="黑体;SimHei" w:cs="黑体;SimHei" w:eastAsia="黑体;SimHei"/>
          <w:kern w:val="2"/>
        </w:rPr>
        <w:t>第二十八条</w:t>
      </w:r>
      <w:r>
        <w:rPr>
          <w:rFonts w:hint="eastAsia"/>
          <w:kern w:val="2"/>
        </w:rPr>
        <w:t>　</w:t>
      </w:r>
      <w:r>
        <w:rPr>
          <w:kern w:val="2"/>
        </w:rPr>
        <w:t>违反本条例规定，未安装计量设施的，责令限期安装，并按照日最大取水能力计算的取水量和水资源费征收标准计征水资源费，处</w:t>
      </w:r>
      <w:r>
        <w:rPr>
          <w:kern w:val="2"/>
        </w:rPr>
        <w:t>5000</w:t>
      </w:r>
      <w:r>
        <w:rPr>
          <w:kern w:val="2"/>
        </w:rPr>
        <w:t>元以上</w:t>
      </w:r>
      <w:r>
        <w:rPr>
          <w:kern w:val="2"/>
        </w:rPr>
        <w:t>2</w:t>
      </w:r>
      <w:r>
        <w:rPr>
          <w:kern w:val="2"/>
        </w:rPr>
        <w:t>万元以下罚款；情节严重的，吊销取水许可证。</w:t>
      </w:r>
    </w:p>
    <w:p>
      <w:pPr>
        <w:pStyle w:val="Normal"/>
        <w:widowControl w:val="false"/>
        <w:spacing w:lineRule="exact" w:line="600"/>
        <w:jc w:val="both"/>
        <w:rPr>
          <w:rFonts w:hint="eastAsia"/>
          <w:kern w:val="2"/>
        </w:rPr>
      </w:pPr>
      <w:r>
        <w:rPr>
          <w:rFonts w:hint="eastAsia"/>
          <w:kern w:val="2"/>
        </w:rPr>
        <w:t>　　</w:t>
      </w:r>
      <w:r>
        <w:rPr>
          <w:kern w:val="2"/>
        </w:rPr>
        <w:t>计量设施不合格或者运行不正常的，责令限期更换或者修复；逾期不更换或者不修复的，按照日最大取水能力计算的取水量和水资源费征收标准计征水资源费，可以处</w:t>
      </w:r>
      <w:r>
        <w:rPr>
          <w:kern w:val="2"/>
        </w:rPr>
        <w:t>1000</w:t>
      </w:r>
      <w:r>
        <w:rPr>
          <w:kern w:val="2"/>
        </w:rPr>
        <w:t>元以上</w:t>
      </w:r>
      <w:r>
        <w:rPr>
          <w:kern w:val="2"/>
        </w:rPr>
        <w:t>1</w:t>
      </w:r>
      <w:r>
        <w:rPr>
          <w:kern w:val="2"/>
        </w:rPr>
        <w:t>万元以下罚款；情节严重的，吊销取水许可证。</w:t>
      </w:r>
    </w:p>
    <w:p>
      <w:pPr>
        <w:pStyle w:val="Normal"/>
        <w:widowControl w:val="false"/>
        <w:spacing w:lineRule="exact" w:line="600"/>
        <w:ind w:firstLine="630" w:end="0"/>
        <w:jc w:val="both"/>
        <w:rPr/>
      </w:pPr>
      <w:r>
        <w:rPr>
          <w:rFonts w:ascii="黑体;SimHei" w:hAnsi="黑体;SimHei" w:cs="黑体;SimHei" w:eastAsia="黑体;SimHei"/>
          <w:kern w:val="2"/>
        </w:rPr>
        <w:t>第二十九条</w:t>
      </w:r>
      <w:r>
        <w:rPr>
          <w:rFonts w:hint="eastAsia"/>
          <w:kern w:val="2"/>
        </w:rPr>
        <w:t>　</w:t>
      </w:r>
      <w:r>
        <w:rPr>
          <w:kern w:val="2"/>
        </w:rPr>
        <w:t>违反本条例规定，擅自对外转供、销售地热水的，由水行政主管部门责令改正，并处</w:t>
      </w:r>
      <w:r>
        <w:rPr>
          <w:kern w:val="2"/>
        </w:rPr>
        <w:t>2</w:t>
      </w:r>
      <w:r>
        <w:rPr>
          <w:kern w:val="2"/>
        </w:rPr>
        <w:t>万元以上</w:t>
      </w:r>
      <w:r>
        <w:rPr>
          <w:kern w:val="2"/>
        </w:rPr>
        <w:t>5</w:t>
      </w:r>
      <w:r>
        <w:rPr>
          <w:kern w:val="2"/>
        </w:rPr>
        <w:t>万元以下罚款；拒不改正的，吊销取水许可证。</w:t>
      </w:r>
    </w:p>
    <w:p>
      <w:pPr>
        <w:pStyle w:val="Normal"/>
        <w:widowControl w:val="false"/>
        <w:spacing w:lineRule="exact" w:line="600"/>
        <w:ind w:firstLine="630" w:end="0"/>
        <w:rPr/>
      </w:pPr>
      <w:r>
        <w:rPr>
          <w:rFonts w:ascii="黑体;SimHei" w:hAnsi="黑体;SimHei" w:cs="黑体;SimHei" w:eastAsia="黑体;SimHei"/>
          <w:kern w:val="2"/>
        </w:rPr>
        <w:t>第三十条</w:t>
      </w:r>
      <w:r>
        <w:rPr>
          <w:rFonts w:hint="eastAsia"/>
          <w:kern w:val="2"/>
        </w:rPr>
        <w:t>　</w:t>
      </w:r>
      <w:r>
        <w:rPr>
          <w:rFonts w:cs="宋体;SimSun" w:hint="eastAsia"/>
          <w:kern w:val="2"/>
        </w:rPr>
        <w:t>违反本条例规定的其他行为，法律、法规有法律责任规定的，适用其规定。</w:t>
      </w:r>
    </w:p>
    <w:p>
      <w:pPr>
        <w:pStyle w:val="Normal"/>
        <w:widowControl w:val="false"/>
        <w:spacing w:lineRule="exact" w:line="600"/>
        <w:ind w:firstLine="630" w:end="0"/>
        <w:rPr>
          <w:kern w:val="2"/>
        </w:rPr>
      </w:pPr>
      <w:r>
        <w:rPr>
          <w:rFonts w:ascii="黑体;SimHei" w:hAnsi="黑体;SimHei" w:cs="黑体;SimHei" w:eastAsia="黑体;SimHei"/>
          <w:kern w:val="2"/>
        </w:rPr>
        <w:t>第三十一条</w:t>
      </w:r>
      <w:r>
        <w:rPr>
          <w:rFonts w:hint="eastAsia"/>
          <w:kern w:val="2"/>
        </w:rPr>
        <w:t>　</w:t>
      </w:r>
      <w:r>
        <w:rPr>
          <w:rFonts w:cs="宋体;SimSun" w:hint="eastAsia"/>
          <w:kern w:val="2"/>
        </w:rPr>
        <w:t>依照本条例规定，对单位作出</w:t>
      </w:r>
      <w:r>
        <w:rPr>
          <w:rFonts w:cs="宋体;SimSun" w:hint="eastAsia"/>
          <w:kern w:val="2"/>
        </w:rPr>
        <w:t>5</w:t>
      </w:r>
      <w:r>
        <w:rPr>
          <w:rFonts w:cs="宋体;SimSun" w:hint="eastAsia"/>
          <w:kern w:val="2"/>
        </w:rPr>
        <w:t>万元罚款、对个人作出</w:t>
      </w:r>
      <w:r>
        <w:rPr>
          <w:rFonts w:cs="宋体;SimSun" w:hint="eastAsia"/>
          <w:kern w:val="2"/>
        </w:rPr>
        <w:t>5000</w:t>
      </w:r>
      <w:r>
        <w:rPr>
          <w:rFonts w:cs="宋体;SimSun" w:hint="eastAsia"/>
          <w:kern w:val="2"/>
        </w:rPr>
        <w:t>元以上罚款处罚决定前，应当告知当事人有要求举行听证的权利。</w:t>
      </w:r>
    </w:p>
    <w:p>
      <w:pPr>
        <w:pStyle w:val="Normal"/>
        <w:widowControl w:val="false"/>
        <w:spacing w:lineRule="exact" w:line="600"/>
        <w:rPr>
          <w:kern w:val="2"/>
        </w:rPr>
      </w:pPr>
      <w:r>
        <w:rPr>
          <w:rFonts w:hint="eastAsia"/>
          <w:kern w:val="2"/>
        </w:rPr>
        <w:t>　　</w:t>
      </w:r>
      <w:r>
        <w:rPr>
          <w:rFonts w:ascii="黑体;SimHei" w:hAnsi="黑体;SimHei" w:cs="黑体;SimHei" w:eastAsia="黑体;SimHei"/>
          <w:kern w:val="2"/>
        </w:rPr>
        <w:t>第三十</w:t>
      </w:r>
      <w:r>
        <w:rPr>
          <w:rFonts w:ascii="黑体;SimHei" w:hAnsi="黑体;SimHei" w:cs="黑体;SimHei" w:hint="eastAsia" w:eastAsia="黑体;SimHei"/>
          <w:kern w:val="2"/>
        </w:rPr>
        <w:t>二</w:t>
      </w:r>
      <w:r>
        <w:rPr>
          <w:rFonts w:ascii="黑体;SimHei" w:hAnsi="黑体;SimHei" w:cs="黑体;SimHei" w:eastAsia="黑体;SimHei"/>
          <w:kern w:val="2"/>
        </w:rPr>
        <w:t>条</w:t>
      </w:r>
      <w:r>
        <w:rPr>
          <w:rFonts w:hint="eastAsia"/>
          <w:kern w:val="2"/>
        </w:rPr>
        <w:t>　</w:t>
      </w:r>
      <w:r>
        <w:rPr>
          <w:rFonts w:cs="宋体;SimSun" w:hint="eastAsia"/>
          <w:kern w:val="2"/>
        </w:rPr>
        <w:t>水行政主管部门及其他有关部门工作人员玩忽职守、滥用职权、徇私舞弊的，依法给予处分；构成犯罪的，依法追究刑事责任。</w:t>
      </w:r>
    </w:p>
    <w:p>
      <w:pPr>
        <w:pStyle w:val="Normal"/>
        <w:widowControl w:val="false"/>
        <w:spacing w:lineRule="exact" w:line="600"/>
        <w:rPr/>
      </w:pPr>
      <w:r>
        <w:rPr>
          <w:rFonts w:hint="eastAsia"/>
          <w:kern w:val="2"/>
        </w:rPr>
        <w:t>　　</w:t>
      </w:r>
      <w:r>
        <w:rPr>
          <w:rFonts w:ascii="黑体;SimHei" w:hAnsi="黑体;SimHei" w:cs="黑体;SimHei" w:eastAsia="黑体;SimHei"/>
          <w:kern w:val="2"/>
        </w:rPr>
        <w:t>第三十</w:t>
      </w:r>
      <w:r>
        <w:rPr>
          <w:rFonts w:ascii="黑体;SimHei" w:hAnsi="黑体;SimHei" w:cs="黑体;SimHei" w:hint="eastAsia" w:eastAsia="黑体;SimHei"/>
          <w:kern w:val="2"/>
        </w:rPr>
        <w:t>三</w:t>
      </w:r>
      <w:r>
        <w:rPr>
          <w:rFonts w:ascii="黑体;SimHei" w:hAnsi="黑体;SimHei" w:cs="黑体;SimHei" w:eastAsia="黑体;SimHei"/>
          <w:kern w:val="2"/>
        </w:rPr>
        <w:t>条</w:t>
      </w:r>
      <w:r>
        <w:rPr>
          <w:rFonts w:hint="eastAsia"/>
          <w:kern w:val="2"/>
        </w:rPr>
        <w:t>　</w:t>
      </w:r>
      <w:r>
        <w:rPr>
          <w:kern w:val="2"/>
        </w:rPr>
        <w:t>本条例自</w:t>
      </w:r>
      <w:r>
        <w:rPr>
          <w:kern w:val="2"/>
        </w:rPr>
        <w:t>2008</w:t>
      </w:r>
      <w:r>
        <w:rPr>
          <w:kern w:val="2"/>
        </w:rPr>
        <w:t>年</w:t>
      </w:r>
      <w:r>
        <w:rPr>
          <w:kern w:val="2"/>
        </w:rPr>
        <w:t>1</w:t>
      </w:r>
      <w:r>
        <w:rPr>
          <w:kern w:val="2"/>
        </w:rPr>
        <w:t>月</w:t>
      </w:r>
      <w:r>
        <w:rPr>
          <w:kern w:val="2"/>
        </w:rPr>
        <w:t>1</w:t>
      </w:r>
      <w:r>
        <w:rPr>
          <w:kern w:val="2"/>
        </w:rPr>
        <w:t>日起施行。</w:t>
      </w:r>
    </w:p>
    <w:sectPr>
      <w:footerReference w:type="default" r:id="rId2"/>
      <w:type w:val="nextPage"/>
      <w:pgSz w:w="11906" w:h="16838"/>
      <w:pgMar w:left="1531" w:right="1531" w:gutter="0" w:header="0" w:top="2041" w:footer="1361" w:bottom="1588"/>
      <w:pgNumType w:fmt="decimal"/>
      <w:formProt w:val="false"/>
      <w:textDirection w:val="lrTb"/>
      <w:docGrid w:type="lines" w:linePitch="579" w:charSpace="429496627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仿宋_GB2312">
    <w:charset w:val="86"/>
    <w:family w:val="modern"/>
    <w:pitch w:val="default"/>
  </w:font>
  <w:font w:name="Liberation Sans">
    <w:altName w:val="Arial"/>
    <w:charset w:val="01" w:characterSet="utf-8"/>
    <w:family w:val="swiss"/>
    <w:pitch w:val="variable"/>
  </w:font>
  <w:font w:name="华文中宋">
    <w:charset w:val="86"/>
    <w:family w:val="auto"/>
    <w:pitch w:val="variable"/>
  </w:font>
  <w:font w:name="楷体_GB2312">
    <w:charset w:val="86"/>
    <w:family w:val="modern"/>
    <w:pitch w:val="default"/>
  </w:font>
  <w:font w:name="宋体">
    <w:altName w:val="SimSun"/>
    <w:charset w:val="86"/>
    <w:family w:val="auto"/>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8" behindDoc="0" locked="0" layoutInCell="0" allowOverlap="1">
              <wp:simplePos x="0" y="0"/>
              <wp:positionH relativeFrom="margin">
                <wp:align>outside</wp:align>
              </wp:positionH>
              <wp:positionV relativeFrom="paragraph">
                <wp:posOffset>635</wp:posOffset>
              </wp:positionV>
              <wp:extent cx="552450"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552450" cy="302260"/>
                      </a:xfrm>
                      <a:prstGeom prst="rect"/>
                      <a:solidFill>
                        <a:srgbClr val="FFFFFF">
                          <a:alpha val="0"/>
                        </a:srgbClr>
                      </a:solidFill>
                    </wps:spPr>
                    <wps:txbx>
                      <w:txbxContent>
                        <w:p>
                          <w:pPr>
                            <w:pStyle w:val="Footer"/>
                            <w:widowControl w:val="false"/>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43.5pt;height:23.8pt;mso-wrap-distance-left:0pt;mso-wrap-distance-right:0pt;mso-wrap-distance-top:0pt;mso-wrap-distance-bottom:0pt;margin-top:0.05pt;mso-position-vertical-relative:text;margin-left:398.7pt;mso-position-horizontal:outside;mso-position-horizontal-relative:margin">
              <v:fill opacity="0f"/>
              <v:textbox inset="0in,0in,0in,0in">
                <w:txbxContent>
                  <w:p>
                    <w:pPr>
                      <w:pStyle w:val="Footer"/>
                      <w:widowControl w:val="false"/>
                      <w:rPr>
                        <w:rStyle w:val="PageNumber"/>
                        <w:rFonts w:ascii="宋体;SimSun" w:hAnsi="宋体;SimSun" w:eastAsia="宋体;SimSun" w:cs="宋体;SimSun"/>
                        <w:sz w:val="28"/>
                        <w:szCs w:val="28"/>
                      </w:rPr>
                    </w:pPr>
                    <w:r>
                      <w:rPr>
                        <w:rStyle w:val="PageNumber"/>
                        <w:rFonts w:eastAsia="宋体;SimSun" w:cs="宋体;SimSun" w:hint="eastAsia" w:ascii="宋体;SimSun" w:hAnsi="宋体;SimSun"/>
                        <w:sz w:val="28"/>
                        <w:szCs w:val="28"/>
                      </w:rPr>
                      <w:t xml:space="preserve">— </w:t>
                    </w:r>
                    <w:r>
                      <w:rPr>
                        <w:rStyle w:val="PageNumber"/>
                        <w:rFonts w:eastAsia="宋体;SimSun" w:cs="宋体;SimSun" w:ascii="宋体;SimSun" w:hAnsi="宋体;SimSun"/>
                        <w:sz w:val="28"/>
                        <w:szCs w:val="28"/>
                      </w:rPr>
                      <w:fldChar w:fldCharType="begin"/>
                    </w:r>
                    <w:r>
                      <w:rPr>
                        <w:rStyle w:val="PageNumber"/>
                        <w:rFonts w:eastAsia="宋体;SimSun" w:cs="宋体;SimSun" w:ascii="宋体;SimSun" w:hAnsi="宋体;SimSun"/>
                        <w:sz w:val="28"/>
                        <w:szCs w:val="28"/>
                      </w:rPr>
                      <w:instrText xml:space="preserve"> PAGE </w:instrText>
                    </w:r>
                    <w:r>
                      <w:rPr>
                        <w:rStyle w:val="PageNumber"/>
                        <w:rFonts w:eastAsia="宋体;SimSun" w:cs="宋体;SimSun" w:ascii="宋体;SimSun" w:hAnsi="宋体;SimSun"/>
                        <w:sz w:val="28"/>
                        <w:szCs w:val="28"/>
                      </w:rPr>
                      <w:fldChar w:fldCharType="separate"/>
                    </w:r>
                    <w:r>
                      <w:rPr>
                        <w:rStyle w:val="PageNumber"/>
                        <w:rFonts w:eastAsia="宋体;SimSun" w:cs="宋体;SimSun" w:ascii="宋体;SimSun" w:hAnsi="宋体;SimSun"/>
                        <w:sz w:val="28"/>
                        <w:szCs w:val="28"/>
                      </w:rPr>
                      <w:t>7</w:t>
                    </w:r>
                    <w:r>
                      <w:rPr>
                        <w:rStyle w:val="PageNumber"/>
                        <w:rFonts w:eastAsia="宋体;SimSun" w:cs="宋体;SimSun" w:ascii="宋体;SimSun" w:hAnsi="宋体;SimSun"/>
                        <w:sz w:val="28"/>
                        <w:szCs w:val="28"/>
                      </w:rPr>
                      <w:fldChar w:fldCharType="end"/>
                    </w:r>
                    <w:r>
                      <w:rPr>
                        <w:rStyle w:val="PageNumber"/>
                        <w:rFonts w:eastAsia="宋体;SimSun"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bidi w:val="0"/>
    </w:pPr>
    <w:rPr>
      <w:rFonts w:ascii="仿宋_GB2312" w:hAnsi="仿宋_GB2312" w:eastAsia="仿宋_GB2312" w:cs="仿宋_GB2312"/>
      <w:color w:val="auto"/>
      <w:sz w:val="32"/>
      <w:szCs w:val="32"/>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Doc2.dot</Template>
  <TotalTime>41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2017-02-01T23:47:00Z</dcterms:created>
  <dc:creator>lenovo</dc:creator>
  <dc:description/>
  <cp:keywords/>
  <dc:language>en-US</dc:language>
  <cp:lastModifiedBy>Administrator</cp:lastModifiedBy>
  <dcterms:modified xsi:type="dcterms:W3CDTF">2020-12-17T11:25:00Z</dcterms:modified>
  <cp:revision>64</cp:revision>
  <dc:subject/>
  <dc:title>西安市地下水资源管理条例</dc:title>
</cp:coreProperties>
</file>