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before="0" w:after="0"/>
        <w:contextualSpacing/>
        <w:rPr>
          <w:rFonts w:ascii="仿宋_GB2312" w:hAnsi="仿宋_GB2312" w:cs="Arial"/>
          <w:color w:val="614E4E"/>
          <w:szCs w:val="32"/>
        </w:rPr>
      </w:pPr>
      <w:r>
        <w:rPr>
          <w:rFonts w:cs="Arial" w:ascii="仿宋_GB2312" w:hAnsi="仿宋_GB2312"/>
          <w:color w:val="614E4E"/>
          <w:szCs w:val="32"/>
        </w:rPr>
      </w:r>
    </w:p>
    <w:p>
      <w:pPr>
        <w:pStyle w:val="Normal"/>
        <w:spacing w:lineRule="exact" w:line="560" w:before="0" w:after="0"/>
        <w:contextualSpacing/>
        <w:rPr>
          <w:rFonts w:ascii="宋体" w:hAnsi="宋体" w:eastAsia="宋体" w:cs="Arial"/>
          <w:color w:val="000000"/>
          <w:szCs w:val="32"/>
        </w:rPr>
      </w:pPr>
      <w:r>
        <w:rPr>
          <w:rFonts w:eastAsia="宋体" w:cs="Arial" w:ascii="宋体" w:hAnsi="宋体"/>
          <w:color w:val="000000"/>
          <w:szCs w:val="32"/>
        </w:rPr>
      </w:r>
    </w:p>
    <w:p>
      <w:pPr>
        <w:pStyle w:val="Normal"/>
        <w:spacing w:lineRule="exact" w:line="560" w:before="0" w:after="0"/>
        <w:contextualSpacing/>
        <w:jc w:val="center"/>
        <w:rPr>
          <w:rFonts w:ascii="宋体" w:hAnsi="宋体" w:eastAsia="宋体" w:cs="Arial"/>
          <w:color w:val="000000"/>
          <w:sz w:val="44"/>
          <w:szCs w:val="44"/>
        </w:rPr>
      </w:pPr>
      <w:r>
        <w:rPr>
          <w:rFonts w:ascii="宋体" w:hAnsi="宋体" w:cs="Arial" w:hint="eastAsia" w:eastAsia="宋体"/>
          <w:color w:val="000000"/>
          <w:sz w:val="44"/>
          <w:szCs w:val="44"/>
        </w:rPr>
        <w:t>天津市养老服务促进条例</w:t>
      </w:r>
    </w:p>
    <w:p>
      <w:pPr>
        <w:pStyle w:val="Normal"/>
        <w:spacing w:lineRule="exact" w:line="560" w:before="0" w:after="0"/>
        <w:ind w:firstLine="601" w:end="0"/>
        <w:contextualSpacing/>
        <w:rPr>
          <w:rFonts w:ascii="楷体_GB2312" w:hAnsi="楷体_GB2312" w:eastAsia="楷体_GB2312" w:cs="Arial"/>
          <w:color w:val="000000"/>
          <w:szCs w:val="32"/>
        </w:rPr>
      </w:pPr>
      <w:r>
        <w:rPr>
          <w:rFonts w:eastAsia="楷体_GB2312" w:cs="Arial" w:hint="eastAsia" w:ascii="楷体_GB2312" w:hAnsi="楷体_GB2312"/>
          <w:color w:val="000000"/>
          <w:szCs w:val="32"/>
        </w:rPr>
        <w:t xml:space="preserve"> </w:t>
      </w:r>
    </w:p>
    <w:p>
      <w:pPr>
        <w:pStyle w:val="Normal"/>
        <w:spacing w:lineRule="exact" w:line="560" w:before="0" w:after="0"/>
        <w:ind w:firstLineChars="0" w:firstLine="0" w:startChars="200" w:endChars="200"/>
        <w:contextualSpacing/>
        <w:rPr>
          <w:rFonts w:ascii="楷体_GB2312" w:hAnsi="楷体_GB2312" w:eastAsia="楷体_GB2312" w:cs="Arial"/>
          <w:color w:val="000000"/>
          <w:szCs w:val="32"/>
        </w:rPr>
      </w:pPr>
      <w:r>
        <w:rPr>
          <w:rFonts w:eastAsia="楷体_GB2312" w:cs="Arial" w:hint="eastAsia" w:ascii="楷体_GB2312" w:hAnsi="楷体_GB2312"/>
          <w:color w:val="000000"/>
          <w:szCs w:val="32"/>
        </w:rPr>
        <w:t>(2014</w:t>
      </w:r>
      <w:r>
        <w:rPr>
          <w:rFonts w:ascii="楷体_GB2312" w:hAnsi="楷体_GB2312" w:cs="Arial" w:hint="eastAsia" w:eastAsia="楷体_GB2312"/>
          <w:color w:val="000000"/>
          <w:szCs w:val="32"/>
        </w:rPr>
        <w:t>年</w:t>
      </w:r>
      <w:r>
        <w:rPr>
          <w:rFonts w:eastAsia="楷体_GB2312" w:cs="Arial" w:hint="eastAsia" w:ascii="楷体_GB2312" w:hAnsi="楷体_GB2312"/>
          <w:color w:val="000000"/>
          <w:szCs w:val="32"/>
        </w:rPr>
        <w:t>12</w:t>
      </w:r>
      <w:r>
        <w:rPr>
          <w:rFonts w:ascii="楷体_GB2312" w:hAnsi="楷体_GB2312" w:cs="Arial" w:hint="eastAsia" w:eastAsia="楷体_GB2312"/>
          <w:color w:val="000000"/>
          <w:szCs w:val="32"/>
        </w:rPr>
        <w:t>月</w:t>
      </w:r>
      <w:r>
        <w:rPr>
          <w:rFonts w:eastAsia="楷体_GB2312" w:cs="Arial" w:hint="eastAsia" w:ascii="楷体_GB2312" w:hAnsi="楷体_GB2312"/>
          <w:color w:val="000000"/>
          <w:szCs w:val="32"/>
        </w:rPr>
        <w:t>23</w:t>
      </w:r>
      <w:r>
        <w:rPr>
          <w:rFonts w:ascii="楷体_GB2312" w:hAnsi="楷体_GB2312" w:cs="Arial" w:hint="eastAsia" w:eastAsia="楷体_GB2312"/>
          <w:color w:val="000000"/>
          <w:szCs w:val="32"/>
        </w:rPr>
        <w:t>日天津市第十六届人民代表大会常务委员会第十五次会议通过</w:t>
      </w:r>
      <w:r>
        <w:rPr>
          <w:rFonts w:eastAsia="楷体_GB2312" w:cs="Arial" w:hint="eastAsia" w:ascii="楷体_GB2312" w:hAnsi="楷体_GB2312"/>
          <w:color w:val="000000"/>
          <w:szCs w:val="32"/>
        </w:rPr>
        <w:t>)</w:t>
      </w:r>
    </w:p>
    <w:p>
      <w:pPr>
        <w:pStyle w:val="Style18"/>
        <w:snapToGrid w:val="false"/>
        <w:spacing w:lineRule="exact" w:line="560" w:before="0" w:after="0"/>
        <w:contextualSpacing/>
        <w:jc w:val="center"/>
        <w:rPr>
          <w:rFonts w:ascii="楷体_GB2312" w:hAnsi="楷体_GB2312" w:eastAsia="楷体_GB2312" w:cs="宋体"/>
          <w:color w:val="000000"/>
          <w:szCs w:val="32"/>
        </w:rPr>
      </w:pPr>
      <w:r>
        <w:rPr>
          <w:rFonts w:eastAsia="楷体_GB2312" w:cs="宋体" w:ascii="楷体_GB2312" w:hAnsi="楷体_GB2312"/>
          <w:color w:val="000000"/>
          <w:szCs w:val="32"/>
        </w:rPr>
      </w:r>
    </w:p>
    <w:p>
      <w:pPr>
        <w:pStyle w:val="Style18"/>
        <w:snapToGrid w:val="false"/>
        <w:spacing w:lineRule="exact" w:line="560" w:before="0" w:after="0"/>
        <w:contextualSpacing/>
        <w:jc w:val="center"/>
        <w:rPr>
          <w:rFonts w:ascii="楷体_GB2312" w:hAnsi="楷体_GB2312" w:eastAsia="楷体_GB2312" w:cs="宋体"/>
          <w:szCs w:val="32"/>
        </w:rPr>
      </w:pPr>
      <w:r>
        <w:rPr>
          <w:rFonts w:ascii="楷体_GB2312" w:hAnsi="楷体_GB2312" w:cs="宋体" w:hint="eastAsia" w:eastAsia="楷体_GB2312"/>
          <w:szCs w:val="32"/>
        </w:rPr>
        <w:t>目  录</w:t>
      </w:r>
    </w:p>
    <w:p>
      <w:pPr>
        <w:pStyle w:val="Style18"/>
        <w:tabs>
          <w:tab w:val="clear" w:pos="420"/>
          <w:tab w:val="center" w:pos="4738" w:leader="none"/>
        </w:tabs>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第一章  总则</w:t>
      </w:r>
      <w:r>
        <w:rPr>
          <w:rFonts w:eastAsia="楷体_GB2312" w:cs="宋体" w:ascii="楷体_GB2312" w:hAnsi="楷体_GB2312"/>
          <w:szCs w:val="32"/>
        </w:rPr>
        <w:tab/>
      </w:r>
    </w:p>
    <w:p>
      <w:pPr>
        <w:pStyle w:val="zhangcxsplast"/>
        <w:snapToGrid w:val="false"/>
        <w:spacing w:lineRule="exact" w:line="560" w:before="0" w:after="0"/>
        <w:ind w:firstLineChars="200" w:startChars="0" w:start="0" w:endChars="0" w:end="0"/>
        <w:contextualSpacing/>
        <w:rPr>
          <w:rFonts w:ascii="楷体_GB2312" w:hAnsi="楷体_GB2312" w:eastAsia="楷体_GB2312" w:cs="Adobe 仿宋 Std R;仿宋_GB2312"/>
          <w:kern w:val="2"/>
          <w:sz w:val="32"/>
          <w:szCs w:val="32"/>
        </w:rPr>
      </w:pPr>
      <w:r>
        <w:rPr>
          <w:rFonts w:ascii="楷体_GB2312" w:hAnsi="楷体_GB2312" w:cs="Adobe 仿宋 Std R;仿宋_GB2312" w:hint="eastAsia" w:eastAsia="楷体_GB2312"/>
          <w:kern w:val="2"/>
          <w:sz w:val="32"/>
          <w:szCs w:val="32"/>
        </w:rPr>
        <w:t>第二章  规划与建设</w:t>
      </w:r>
    </w:p>
    <w:p>
      <w:pPr>
        <w:pStyle w:val="Style18"/>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第三章  社区养老服务</w:t>
      </w:r>
    </w:p>
    <w:p>
      <w:pPr>
        <w:pStyle w:val="Style18"/>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第四章  机构养老服务</w:t>
      </w:r>
    </w:p>
    <w:p>
      <w:pPr>
        <w:pStyle w:val="Style18"/>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第五章  养老服务人员</w:t>
      </w:r>
    </w:p>
    <w:p>
      <w:pPr>
        <w:pStyle w:val="Style18"/>
        <w:snapToGrid w:val="false"/>
        <w:spacing w:lineRule="exact" w:line="560" w:before="0" w:after="0"/>
        <w:ind w:firstLineChars="0" w:firstLine="0" w:startChars="200" w:endChars="0" w:end="0"/>
        <w:contextualSpacing/>
        <w:rPr>
          <w:rFonts w:ascii="楷体_GB2312" w:hAnsi="楷体_GB2312" w:eastAsia="楷体_GB2312" w:cs="宋体" w:hint="eastAsia"/>
          <w:szCs w:val="32"/>
        </w:rPr>
      </w:pPr>
      <w:r>
        <w:rPr>
          <w:rFonts w:ascii="楷体_GB2312" w:hAnsi="楷体_GB2312" w:cs="宋体" w:hint="eastAsia" w:eastAsia="楷体_GB2312"/>
          <w:szCs w:val="32"/>
        </w:rPr>
        <w:t>第六章  鼓励与优惠</w:t>
      </w:r>
    </w:p>
    <w:p>
      <w:pPr>
        <w:pStyle w:val="Style18"/>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第七章  法律责任</w:t>
      </w:r>
    </w:p>
    <w:p>
      <w:pPr>
        <w:pStyle w:val="Style18"/>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第八章  附则</w:t>
      </w:r>
    </w:p>
    <w:p>
      <w:pPr>
        <w:pStyle w:val="Normal"/>
        <w:spacing w:lineRule="exact" w:line="560" w:before="0" w:after="0"/>
        <w:ind w:firstLine="601" w:end="0"/>
        <w:contextualSpacing/>
        <w:rPr>
          <w:rFonts w:ascii="宋体" w:hAnsi="宋体" w:eastAsia="宋体" w:cs="Arial"/>
          <w:color w:val="000000"/>
          <w:szCs w:val="32"/>
        </w:rPr>
      </w:pPr>
      <w:r>
        <w:rPr>
          <w:rFonts w:eastAsia="宋体" w:cs="Arial" w:ascii="宋体" w:hAnsi="宋体"/>
          <w:color w:val="000000"/>
          <w:szCs w:val="32"/>
        </w:rPr>
      </w:r>
    </w:p>
    <w:p>
      <w:pPr>
        <w:pStyle w:val="Normal"/>
        <w:spacing w:lineRule="exact" w:line="560" w:before="0" w:after="0"/>
        <w:contextualSpacing/>
        <w:jc w:val="center"/>
        <w:rPr>
          <w:rFonts w:ascii="黑体" w:hAnsi="黑体" w:eastAsia="黑体" w:cs="Arial"/>
          <w:color w:val="000000"/>
          <w:szCs w:val="32"/>
        </w:rPr>
      </w:pPr>
      <w:r>
        <w:rPr>
          <w:rFonts w:ascii="黑体" w:hAnsi="黑体" w:cs="Arial" w:hint="eastAsia" w:eastAsia="黑体"/>
          <w:color w:val="000000"/>
          <w:szCs w:val="32"/>
        </w:rPr>
        <w:t>第一章  总则</w:t>
      </w:r>
    </w:p>
    <w:p>
      <w:pPr>
        <w:pStyle w:val="Normal"/>
        <w:spacing w:lineRule="exact" w:line="560" w:before="0" w:after="0"/>
        <w:ind w:firstLine="601" w:end="0"/>
        <w:contextualSpacing/>
        <w:rPr>
          <w:rFonts w:ascii="宋体" w:hAnsi="宋体" w:eastAsia="宋体" w:cs="Arial"/>
          <w:color w:val="000000"/>
          <w:szCs w:val="32"/>
        </w:rPr>
      </w:pPr>
      <w:r>
        <w:rPr>
          <w:rFonts w:eastAsia="宋体" w:cs="Arial" w:ascii="宋体" w:hAnsi="宋体"/>
          <w:color w:val="000000"/>
          <w:szCs w:val="32"/>
        </w:rPr>
      </w:r>
    </w:p>
    <w:p>
      <w:pPr>
        <w:pStyle w:val="Normal"/>
        <w:spacing w:lineRule="exact" w:line="560" w:before="0" w:after="0"/>
        <w:ind w:firstLine="601" w:end="0"/>
        <w:contextualSpacing/>
        <w:rPr>
          <w:rFonts w:ascii="仿宋_GB2312" w:hAnsi="仿宋_GB2312" w:cs="Arial"/>
          <w:color w:val="000000"/>
          <w:szCs w:val="32"/>
        </w:rPr>
      </w:pPr>
      <w:r>
        <w:rPr>
          <w:rFonts w:ascii="黑体" w:hAnsi="黑体" w:cs="Arial" w:hint="eastAsia" w:eastAsia="黑体"/>
          <w:color w:val="000000"/>
          <w:szCs w:val="32"/>
        </w:rPr>
        <w:t>第一条</w:t>
      </w:r>
      <w:r>
        <w:rPr>
          <w:rFonts w:ascii="仿宋_GB2312" w:hAnsi="仿宋_GB2312" w:cs="Arial" w:hint="eastAsia"/>
          <w:color w:val="000000"/>
          <w:szCs w:val="32"/>
        </w:rPr>
        <w:t xml:space="preserve">  为了适应老年人生活服务需求，促进养老服务健康发展，根据国家有关法律、法规，结合本市实际情况，制定本条例。</w:t>
      </w:r>
    </w:p>
    <w:p>
      <w:pPr>
        <w:pStyle w:val="Normal"/>
        <w:spacing w:lineRule="exact" w:line="560" w:before="0" w:after="0"/>
        <w:ind w:firstLine="601" w:end="0"/>
        <w:contextualSpacing/>
        <w:rPr>
          <w:rFonts w:ascii="仿宋_GB2312" w:hAnsi="仿宋_GB2312" w:cs="Arial"/>
          <w:color w:val="000000"/>
          <w:szCs w:val="32"/>
        </w:rPr>
      </w:pPr>
      <w:r>
        <w:rPr>
          <w:rFonts w:ascii="黑体" w:hAnsi="黑体" w:cs="Arial" w:hint="eastAsia" w:eastAsia="黑体"/>
          <w:color w:val="000000"/>
          <w:szCs w:val="32"/>
        </w:rPr>
        <w:t>第二条</w:t>
      </w:r>
      <w:r>
        <w:rPr>
          <w:rFonts w:ascii="仿宋_GB2312" w:hAnsi="仿宋_GB2312" w:cs="Arial" w:hint="eastAsia"/>
          <w:color w:val="000000"/>
          <w:szCs w:val="32"/>
        </w:rPr>
        <w:t xml:space="preserve">  本市养老服务发展应当与经济社会发展水平相适应，坚持政府主导、政策支持、社会参与、市场运作的原则，建立和完善以居家为基础、社区服务为依托、养老机构为支撑的养老服务体系，逐步满足老年人多层次、多样化的养老服务需求。</w:t>
      </w:r>
    </w:p>
    <w:p>
      <w:pPr>
        <w:pStyle w:val="Normal"/>
        <w:spacing w:lineRule="exact" w:line="560" w:before="0" w:after="0"/>
        <w:ind w:firstLine="601" w:end="0"/>
        <w:contextualSpacing/>
        <w:rPr>
          <w:rFonts w:ascii="仿宋_GB2312" w:hAnsi="仿宋_GB2312" w:cs="Arial"/>
          <w:color w:val="000000"/>
          <w:szCs w:val="32"/>
        </w:rPr>
      </w:pPr>
      <w:r>
        <w:rPr>
          <w:rFonts w:ascii="黑体" w:hAnsi="黑体" w:cs="Arial" w:hint="eastAsia" w:eastAsia="黑体"/>
          <w:color w:val="000000"/>
          <w:szCs w:val="32"/>
        </w:rPr>
        <w:t>第三条</w:t>
      </w:r>
      <w:r>
        <w:rPr>
          <w:rFonts w:ascii="仿宋_GB2312" w:hAnsi="仿宋_GB2312" w:cs="Arial" w:hint="eastAsia"/>
          <w:color w:val="000000"/>
          <w:szCs w:val="32"/>
        </w:rPr>
        <w:t xml:space="preserve">  市和区县人民政府应当加强对养老服务工作的领导，制定养老服务发展规划和年度实施计划，并纳入国民经济和社会发展规划和计划；建立与人口老龄化和养老服务发展要求相适应的财政投入增长机制；制定养老服务促进政策，引导社会力量参与养老服务。</w:t>
      </w:r>
    </w:p>
    <w:p>
      <w:pPr>
        <w:pStyle w:val="Normal"/>
        <w:spacing w:lineRule="exact" w:line="560" w:before="0" w:after="0"/>
        <w:ind w:firstLine="601" w:end="0"/>
        <w:contextualSpacing/>
        <w:rPr>
          <w:rFonts w:ascii="仿宋_GB2312" w:hAnsi="仿宋_GB2312" w:cs="Arial"/>
          <w:color w:val="000000"/>
          <w:szCs w:val="32"/>
        </w:rPr>
      </w:pPr>
      <w:r>
        <w:rPr>
          <w:rFonts w:ascii="仿宋_GB2312" w:hAnsi="仿宋_GB2312" w:cs="Arial" w:hint="eastAsia"/>
          <w:color w:val="000000"/>
          <w:szCs w:val="32"/>
        </w:rPr>
        <w:t>区县人民政府应当采取措施组织实施养老服务发展规划和年度计划，落实养老服务促进政策。</w:t>
      </w:r>
    </w:p>
    <w:p>
      <w:pPr>
        <w:pStyle w:val="Normal"/>
        <w:spacing w:lineRule="exact" w:line="560" w:before="0" w:after="0"/>
        <w:ind w:firstLine="601" w:end="0"/>
        <w:contextualSpacing/>
        <w:rPr>
          <w:rFonts w:ascii="仿宋_GB2312" w:hAnsi="仿宋_GB2312" w:cs="Arial"/>
          <w:color w:val="000000"/>
          <w:szCs w:val="32"/>
        </w:rPr>
      </w:pPr>
      <w:r>
        <w:rPr>
          <w:rFonts w:ascii="黑体" w:hAnsi="黑体" w:cs="Arial" w:hint="eastAsia" w:eastAsia="黑体"/>
          <w:color w:val="000000"/>
          <w:szCs w:val="32"/>
        </w:rPr>
        <w:t>第四条</w:t>
      </w:r>
      <w:r>
        <w:rPr>
          <w:rFonts w:ascii="仿宋_GB2312" w:hAnsi="仿宋_GB2312" w:cs="Arial" w:hint="eastAsia"/>
          <w:color w:val="000000"/>
          <w:szCs w:val="32"/>
        </w:rPr>
        <w:t xml:space="preserve">  民政部门负责养老服务监督管理工作，规范、指导养老服务活动。</w:t>
      </w:r>
    </w:p>
    <w:p>
      <w:pPr>
        <w:pStyle w:val="Normal"/>
        <w:spacing w:lineRule="exact" w:line="560" w:before="0" w:after="0"/>
        <w:ind w:firstLine="601" w:end="0"/>
        <w:contextualSpacing/>
        <w:rPr>
          <w:rFonts w:ascii="仿宋_GB2312" w:hAnsi="仿宋_GB2312" w:cs="Arial"/>
          <w:color w:val="000000"/>
          <w:szCs w:val="32"/>
        </w:rPr>
      </w:pPr>
      <w:r>
        <w:rPr>
          <w:rFonts w:ascii="仿宋_GB2312" w:hAnsi="仿宋_GB2312" w:cs="Arial" w:hint="eastAsia"/>
          <w:color w:val="000000"/>
          <w:szCs w:val="32"/>
        </w:rPr>
        <w:t>规划、建设、国土房管、卫生计生、人力社保等有关部门，按照各自职责，做好养老服务相关工作。</w:t>
      </w:r>
    </w:p>
    <w:p>
      <w:pPr>
        <w:pStyle w:val="Normal"/>
        <w:spacing w:lineRule="exact" w:line="560" w:before="0" w:after="0"/>
        <w:ind w:firstLine="601" w:end="0"/>
        <w:contextualSpacing/>
        <w:rPr>
          <w:rFonts w:ascii="仿宋_GB2312" w:hAnsi="仿宋_GB2312" w:cs="Arial"/>
          <w:color w:val="000000"/>
          <w:szCs w:val="32"/>
        </w:rPr>
      </w:pPr>
      <w:r>
        <w:rPr>
          <w:rFonts w:ascii="黑体" w:hAnsi="黑体" w:cs="Arial" w:hint="eastAsia" w:eastAsia="黑体"/>
          <w:color w:val="000000"/>
          <w:szCs w:val="32"/>
        </w:rPr>
        <w:t>第五条</w:t>
      </w:r>
      <w:r>
        <w:rPr>
          <w:rFonts w:ascii="仿宋_GB2312" w:hAnsi="仿宋_GB2312" w:cs="Arial" w:hint="eastAsia"/>
          <w:color w:val="000000"/>
          <w:szCs w:val="32"/>
        </w:rPr>
        <w:t xml:space="preserve">  市和区县老龄工作机构在养老服务中应当发挥综合协调作用，加强对养老服务的督促指导。</w:t>
      </w:r>
    </w:p>
    <w:p>
      <w:pPr>
        <w:pStyle w:val="Normal"/>
        <w:spacing w:lineRule="exact" w:line="560" w:before="0" w:after="0"/>
        <w:ind w:firstLine="601" w:end="0"/>
        <w:contextualSpacing/>
        <w:rPr>
          <w:rFonts w:ascii="仿宋_GB2312" w:hAnsi="仿宋_GB2312" w:cs="Arial"/>
          <w:color w:val="000000"/>
          <w:szCs w:val="32"/>
        </w:rPr>
      </w:pPr>
      <w:r>
        <w:rPr>
          <w:rFonts w:ascii="黑体" w:hAnsi="黑体" w:cs="Arial" w:hint="eastAsia" w:eastAsia="黑体"/>
          <w:color w:val="000000"/>
          <w:szCs w:val="32"/>
        </w:rPr>
        <w:t>第六条</w:t>
      </w:r>
      <w:r>
        <w:rPr>
          <w:rFonts w:ascii="仿宋_GB2312" w:hAnsi="仿宋_GB2312" w:cs="Arial" w:hint="eastAsia"/>
          <w:color w:val="000000"/>
          <w:szCs w:val="32"/>
        </w:rPr>
        <w:t xml:space="preserve">  乡镇人民政府、街道办事处应当组织实施社区养老服务工作。</w:t>
      </w:r>
    </w:p>
    <w:p>
      <w:pPr>
        <w:pStyle w:val="Normal"/>
        <w:spacing w:lineRule="exact" w:line="560" w:before="0" w:after="0"/>
        <w:ind w:firstLine="601" w:end="0"/>
        <w:contextualSpacing/>
        <w:rPr>
          <w:rFonts w:ascii="仿宋_GB2312" w:hAnsi="仿宋_GB2312" w:cs="Arial"/>
          <w:color w:val="000000"/>
          <w:szCs w:val="32"/>
        </w:rPr>
      </w:pPr>
      <w:r>
        <w:rPr>
          <w:rFonts w:ascii="仿宋_GB2312" w:hAnsi="仿宋_GB2312" w:cs="Arial" w:hint="eastAsia"/>
          <w:color w:val="000000"/>
          <w:szCs w:val="32"/>
        </w:rPr>
        <w:t>居民委员会、村民委员会应当发挥各自优势，协助做好养老服务相关工作。</w:t>
      </w:r>
    </w:p>
    <w:p>
      <w:pPr>
        <w:pStyle w:val="Normal"/>
        <w:spacing w:lineRule="exact" w:line="560" w:before="0" w:after="0"/>
        <w:ind w:firstLine="601" w:end="0"/>
        <w:contextualSpacing/>
        <w:rPr>
          <w:rFonts w:ascii="仿宋_GB2312" w:hAnsi="仿宋_GB2312" w:cs="Arial"/>
          <w:color w:val="000000"/>
          <w:szCs w:val="32"/>
        </w:rPr>
      </w:pPr>
      <w:r>
        <w:rPr>
          <w:rFonts w:ascii="黑体" w:hAnsi="黑体" w:cs="Arial" w:hint="eastAsia" w:eastAsia="黑体"/>
          <w:color w:val="000000"/>
          <w:szCs w:val="32"/>
        </w:rPr>
        <w:t>第七条</w:t>
      </w:r>
      <w:r>
        <w:rPr>
          <w:rFonts w:ascii="仿宋_GB2312" w:hAnsi="仿宋_GB2312" w:cs="Arial" w:hint="eastAsia"/>
          <w:color w:val="000000"/>
          <w:szCs w:val="32"/>
        </w:rPr>
        <w:t xml:space="preserve">  鼓励社会力量投入养老服务，促进养老服务发展。</w:t>
      </w:r>
    </w:p>
    <w:p>
      <w:pPr>
        <w:pStyle w:val="Normal"/>
        <w:spacing w:lineRule="exact" w:line="560" w:before="0" w:after="0"/>
        <w:ind w:firstLine="601" w:end="0"/>
        <w:contextualSpacing/>
        <w:rPr>
          <w:rFonts w:ascii="仿宋_GB2312" w:hAnsi="仿宋_GB2312" w:cs="Arial"/>
          <w:color w:val="000000"/>
          <w:szCs w:val="32"/>
        </w:rPr>
      </w:pPr>
      <w:r>
        <w:rPr>
          <w:rFonts w:ascii="仿宋_GB2312" w:hAnsi="仿宋_GB2312" w:cs="Arial" w:hint="eastAsia"/>
          <w:color w:val="000000"/>
          <w:szCs w:val="32"/>
        </w:rPr>
        <w:t>鼓励机关、团体、企业事业单位以及公益慈善等社会组织和个人为老年人提供多种形式的养老服务。</w:t>
      </w:r>
    </w:p>
    <w:p>
      <w:pPr>
        <w:pStyle w:val="Normal"/>
        <w:spacing w:lineRule="exact" w:line="560" w:before="0" w:after="0"/>
        <w:ind w:firstLine="601" w:end="0"/>
        <w:contextualSpacing/>
        <w:rPr>
          <w:rFonts w:ascii="仿宋_GB2312" w:hAnsi="仿宋_GB2312" w:cs="Arial"/>
          <w:color w:val="000000"/>
          <w:szCs w:val="32"/>
        </w:rPr>
      </w:pPr>
      <w:r>
        <w:rPr>
          <w:rFonts w:ascii="黑体" w:hAnsi="黑体" w:cs="Arial" w:hint="eastAsia" w:eastAsia="黑体"/>
          <w:color w:val="000000"/>
          <w:szCs w:val="32"/>
        </w:rPr>
        <w:t>第八条</w:t>
      </w:r>
      <w:r>
        <w:rPr>
          <w:rFonts w:ascii="仿宋_GB2312" w:hAnsi="仿宋_GB2312" w:cs="Arial" w:hint="eastAsia"/>
          <w:color w:val="000000"/>
          <w:szCs w:val="32"/>
        </w:rPr>
        <w:t xml:space="preserve">  新闻媒体应当加强养老服务宣传，营造养老尊老敬老的良好社会氛围。</w:t>
      </w:r>
    </w:p>
    <w:p>
      <w:pPr>
        <w:pStyle w:val="Normal"/>
        <w:spacing w:lineRule="exact" w:line="560" w:before="0" w:after="0"/>
        <w:ind w:firstLine="601" w:end="0"/>
        <w:contextualSpacing/>
        <w:rPr>
          <w:rFonts w:ascii="仿宋_GB2312" w:hAnsi="仿宋_GB2312" w:cs="Arial"/>
          <w:color w:val="000000"/>
          <w:szCs w:val="32"/>
        </w:rPr>
      </w:pPr>
      <w:r>
        <w:rPr>
          <w:rFonts w:ascii="黑体" w:hAnsi="黑体" w:cs="Arial" w:hint="eastAsia" w:eastAsia="黑体"/>
          <w:color w:val="000000"/>
          <w:szCs w:val="32"/>
        </w:rPr>
        <w:t>第九条</w:t>
      </w:r>
      <w:r>
        <w:rPr>
          <w:rFonts w:ascii="仿宋_GB2312" w:hAnsi="仿宋_GB2312" w:cs="Arial" w:hint="eastAsia"/>
          <w:color w:val="000000"/>
          <w:szCs w:val="32"/>
        </w:rPr>
        <w:t xml:space="preserve">  各级人民政府及其有关部门对在养老服务中做出显著成绩的单位和个人，按照国家有关规定给予表彰或者奖励。</w:t>
      </w:r>
    </w:p>
    <w:p>
      <w:pPr>
        <w:pStyle w:val="Normal"/>
        <w:spacing w:lineRule="exact" w:line="560" w:before="0" w:after="0"/>
        <w:ind w:firstLine="601" w:end="0"/>
        <w:contextualSpacing/>
        <w:rPr>
          <w:rFonts w:ascii="仿宋_GB2312" w:hAnsi="仿宋_GB2312" w:cs="Arial"/>
          <w:color w:val="000000"/>
          <w:szCs w:val="32"/>
        </w:rPr>
      </w:pPr>
      <w:r>
        <w:rPr>
          <w:rFonts w:cs="Arial" w:ascii="仿宋_GB2312" w:hAnsi="仿宋_GB2312"/>
          <w:color w:val="000000"/>
          <w:szCs w:val="32"/>
        </w:rPr>
      </w:r>
    </w:p>
    <w:p>
      <w:pPr>
        <w:pStyle w:val="Normal"/>
        <w:spacing w:lineRule="exact" w:line="560" w:before="0" w:after="0"/>
        <w:contextualSpacing/>
        <w:jc w:val="center"/>
        <w:rPr>
          <w:rFonts w:ascii="黑体" w:hAnsi="黑体" w:eastAsia="黑体" w:cs="Arial"/>
          <w:color w:val="000000"/>
          <w:szCs w:val="32"/>
        </w:rPr>
      </w:pPr>
      <w:r>
        <w:rPr>
          <w:rFonts w:ascii="黑体" w:hAnsi="黑体" w:cs="Arial" w:hint="eastAsia" w:eastAsia="黑体"/>
          <w:color w:val="000000"/>
          <w:szCs w:val="32"/>
        </w:rPr>
        <w:t>第二章 规划与建设</w:t>
      </w:r>
    </w:p>
    <w:p>
      <w:pPr>
        <w:pStyle w:val="Normal"/>
        <w:spacing w:lineRule="exact" w:line="560" w:before="0" w:after="0"/>
        <w:contextualSpacing/>
        <w:jc w:val="center"/>
        <w:rPr>
          <w:rFonts w:ascii="黑体" w:hAnsi="黑体" w:eastAsia="黑体" w:cs="Arial"/>
          <w:color w:val="000000"/>
          <w:szCs w:val="32"/>
        </w:rPr>
      </w:pPr>
      <w:r>
        <w:rPr>
          <w:rFonts w:eastAsia="黑体" w:cs="Arial" w:ascii="黑体" w:hAnsi="黑体"/>
          <w:color w:val="000000"/>
          <w:szCs w:val="32"/>
        </w:rPr>
      </w:r>
    </w:p>
    <w:p>
      <w:pPr>
        <w:pStyle w:val="Normal"/>
        <w:spacing w:lineRule="exact" w:line="560" w:before="0" w:after="0"/>
        <w:ind w:firstLine="601" w:end="0"/>
        <w:contextualSpacing/>
        <w:rPr>
          <w:rFonts w:ascii="仿宋_GB2312" w:hAnsi="仿宋_GB2312" w:cs="Arial"/>
          <w:color w:val="000000"/>
          <w:szCs w:val="32"/>
        </w:rPr>
      </w:pPr>
      <w:r>
        <w:rPr>
          <w:rFonts w:ascii="黑体" w:hAnsi="黑体" w:cs="Arial" w:hint="eastAsia" w:eastAsia="黑体"/>
          <w:color w:val="000000"/>
          <w:szCs w:val="32"/>
        </w:rPr>
        <w:t>第十条</w:t>
      </w:r>
      <w:r>
        <w:rPr>
          <w:rFonts w:ascii="仿宋_GB2312" w:hAnsi="仿宋_GB2312" w:cs="Arial" w:hint="eastAsia"/>
          <w:color w:val="000000"/>
          <w:szCs w:val="32"/>
        </w:rPr>
        <w:t xml:space="preserve">  市民政部门应当会同规划部门根据经济社会发展水平、人口老龄化发展形势、老年人口分布和养老服务需求状况，制定全市养老服务设施建设规划，报市人民政府批准后组织实施。</w:t>
      </w:r>
    </w:p>
    <w:p>
      <w:pPr>
        <w:pStyle w:val="Normal"/>
        <w:spacing w:lineRule="exact" w:line="560" w:before="0" w:after="0"/>
        <w:ind w:firstLine="601" w:end="0"/>
        <w:contextualSpacing/>
        <w:rPr>
          <w:rFonts w:ascii="仿宋_GB2312" w:hAnsi="仿宋_GB2312" w:cs="Arial"/>
          <w:color w:val="000000"/>
          <w:szCs w:val="32"/>
        </w:rPr>
      </w:pPr>
      <w:r>
        <w:rPr>
          <w:rFonts w:ascii="仿宋_GB2312" w:hAnsi="仿宋_GB2312" w:cs="Arial" w:hint="eastAsia"/>
          <w:color w:val="000000"/>
          <w:szCs w:val="32"/>
        </w:rPr>
        <w:t>区县民政部门会同区县规划部门依据全市养老服务设施建设规划，制定本区域的养老服务设施建设规划，报区县人民政府批准后实施。</w:t>
      </w:r>
    </w:p>
    <w:p>
      <w:pPr>
        <w:pStyle w:val="Normal"/>
        <w:spacing w:lineRule="exact" w:line="560" w:before="0" w:after="0"/>
        <w:ind w:firstLine="601" w:end="0"/>
        <w:contextualSpacing/>
        <w:rPr>
          <w:rFonts w:ascii="仿宋_GB2312" w:hAnsi="仿宋_GB2312" w:cs="Arial"/>
          <w:color w:val="000000"/>
          <w:szCs w:val="32"/>
        </w:rPr>
      </w:pPr>
      <w:r>
        <w:rPr>
          <w:rFonts w:ascii="黑体" w:hAnsi="黑体" w:cs="Arial" w:hint="eastAsia" w:eastAsia="黑体"/>
          <w:color w:val="000000"/>
          <w:szCs w:val="32"/>
        </w:rPr>
        <w:t>第十一条</w:t>
      </w:r>
      <w:r>
        <w:rPr>
          <w:rFonts w:ascii="仿宋_GB2312" w:hAnsi="仿宋_GB2312" w:cs="Arial" w:hint="eastAsia"/>
          <w:color w:val="000000"/>
          <w:szCs w:val="32"/>
        </w:rPr>
        <w:t xml:space="preserve">  市和区县人民政府在制定控制性详细规划时，应当按照国家和本市养老服务设施用地标准，分区分级规划设置。</w:t>
      </w:r>
    </w:p>
    <w:p>
      <w:pPr>
        <w:pStyle w:val="Normal"/>
        <w:spacing w:lineRule="exact" w:line="560" w:before="0" w:after="0"/>
        <w:ind w:firstLine="601" w:end="0"/>
        <w:contextualSpacing/>
        <w:rPr>
          <w:rFonts w:ascii="仿宋_GB2312" w:hAnsi="仿宋_GB2312" w:cs="Arial"/>
          <w:color w:val="000000"/>
          <w:szCs w:val="32"/>
        </w:rPr>
      </w:pPr>
      <w:r>
        <w:rPr>
          <w:rFonts w:ascii="黑体" w:hAnsi="黑体" w:cs="Arial" w:hint="eastAsia" w:eastAsia="黑体"/>
          <w:color w:val="000000"/>
          <w:szCs w:val="32"/>
        </w:rPr>
        <w:t>第十二条</w:t>
      </w:r>
      <w:r>
        <w:rPr>
          <w:rFonts w:ascii="仿宋_GB2312" w:hAnsi="仿宋_GB2312" w:cs="Arial" w:hint="eastAsia"/>
          <w:color w:val="000000"/>
          <w:szCs w:val="32"/>
        </w:rPr>
        <w:t xml:space="preserve">  住宅建设应当按照规划和标准要求配套建设养老服务设施，并与住宅同步规划、同步建设、同步验收交付。</w:t>
      </w:r>
    </w:p>
    <w:p>
      <w:pPr>
        <w:pStyle w:val="Normal"/>
        <w:spacing w:lineRule="exact" w:line="560" w:before="0" w:after="0"/>
        <w:ind w:firstLine="601" w:end="0"/>
        <w:contextualSpacing/>
        <w:rPr>
          <w:rFonts w:ascii="仿宋_GB2312" w:hAnsi="仿宋_GB2312" w:cs="Arial"/>
          <w:color w:val="000000"/>
          <w:szCs w:val="32"/>
        </w:rPr>
      </w:pPr>
      <w:r>
        <w:rPr>
          <w:rFonts w:ascii="仿宋_GB2312" w:hAnsi="仿宋_GB2312" w:cs="Arial" w:hint="eastAsia"/>
          <w:color w:val="000000"/>
          <w:szCs w:val="32"/>
        </w:rPr>
        <w:t>已建成的居民住宅区无养老服务设施或者现有设施不能满足养老服务需要的，区县人民政府应当通过建设、购置、置换、租赁等方式设置养老服务设施，并不得挪作他用。</w:t>
      </w:r>
    </w:p>
    <w:p>
      <w:pPr>
        <w:pStyle w:val="Normal"/>
        <w:spacing w:lineRule="exact" w:line="560" w:before="0" w:after="0"/>
        <w:ind w:firstLine="601" w:end="0"/>
        <w:contextualSpacing/>
        <w:rPr>
          <w:rFonts w:ascii="仿宋_GB2312" w:hAnsi="仿宋_GB2312" w:cs="Arial"/>
          <w:color w:val="000000"/>
          <w:szCs w:val="32"/>
        </w:rPr>
      </w:pPr>
      <w:r>
        <w:rPr>
          <w:rFonts w:ascii="黑体" w:hAnsi="黑体" w:cs="Arial" w:hint="eastAsia" w:eastAsia="黑体"/>
          <w:color w:val="000000"/>
          <w:szCs w:val="32"/>
        </w:rPr>
        <w:t>第十三条</w:t>
      </w:r>
      <w:r>
        <w:rPr>
          <w:rFonts w:ascii="仿宋_GB2312" w:hAnsi="仿宋_GB2312" w:cs="Arial" w:hint="eastAsia"/>
          <w:color w:val="000000"/>
          <w:szCs w:val="32"/>
        </w:rPr>
        <w:t xml:space="preserve">  区县人民政府应当根据养老服务设施建设规划的要求，整合社区老年日间照料中心等资源，以街道、乡镇为基础，综合考虑社区老年人口数量、服务半径等因素，建设若干社区老年服务中心。</w:t>
      </w:r>
    </w:p>
    <w:p>
      <w:pPr>
        <w:pStyle w:val="Normal"/>
        <w:spacing w:lineRule="exact" w:line="560" w:before="0" w:after="0"/>
        <w:ind w:firstLine="601" w:end="0"/>
        <w:contextualSpacing/>
        <w:rPr>
          <w:rFonts w:ascii="仿宋_GB2312" w:hAnsi="仿宋_GB2312" w:cs="Arial"/>
          <w:color w:val="000000"/>
          <w:szCs w:val="32"/>
        </w:rPr>
      </w:pPr>
      <w:r>
        <w:rPr>
          <w:rFonts w:ascii="黑体" w:hAnsi="黑体" w:cs="Arial" w:hint="eastAsia" w:eastAsia="黑体"/>
          <w:color w:val="000000"/>
          <w:szCs w:val="32"/>
        </w:rPr>
        <w:t>第十四条</w:t>
      </w:r>
      <w:r>
        <w:rPr>
          <w:rFonts w:ascii="仿宋_GB2312" w:hAnsi="仿宋_GB2312" w:cs="Arial" w:hint="eastAsia"/>
          <w:color w:val="000000"/>
          <w:szCs w:val="32"/>
        </w:rPr>
        <w:t xml:space="preserve">  市和区县人民政府及其有关部门应当将养老服务设施建设用地纳入城镇土地利用总体规划和年度用地计划，合理安排用地。国有公益性用地没有明确用途的，可以根据养老服务设施建设规划调整为养老服务用地，纳入国有建设用地供应计划。</w:t>
      </w:r>
    </w:p>
    <w:p>
      <w:pPr>
        <w:pStyle w:val="Normal"/>
        <w:spacing w:lineRule="exact" w:line="560" w:before="0" w:after="0"/>
        <w:ind w:firstLine="601" w:end="0"/>
        <w:contextualSpacing/>
        <w:rPr>
          <w:rFonts w:ascii="仿宋_GB2312" w:hAnsi="仿宋_GB2312" w:cs="Arial"/>
          <w:color w:val="000000"/>
          <w:szCs w:val="32"/>
        </w:rPr>
      </w:pPr>
      <w:r>
        <w:rPr>
          <w:rFonts w:ascii="仿宋_GB2312" w:hAnsi="仿宋_GB2312" w:cs="Arial" w:hint="eastAsia"/>
          <w:color w:val="000000"/>
          <w:szCs w:val="32"/>
        </w:rPr>
        <w:t>非营利性养老机构建设所需用地，由市或者区县人民政府按照土地划拨方式供应。</w:t>
      </w:r>
    </w:p>
    <w:p>
      <w:pPr>
        <w:pStyle w:val="Normal"/>
        <w:spacing w:lineRule="exact" w:line="560" w:before="0" w:after="0"/>
        <w:ind w:firstLine="601" w:end="0"/>
        <w:contextualSpacing/>
        <w:rPr>
          <w:rFonts w:ascii="仿宋_GB2312" w:hAnsi="仿宋_GB2312" w:cs="Arial"/>
          <w:color w:val="000000"/>
          <w:szCs w:val="32"/>
        </w:rPr>
      </w:pPr>
      <w:r>
        <w:rPr>
          <w:rFonts w:ascii="黑体" w:hAnsi="黑体" w:cs="Arial" w:hint="eastAsia" w:eastAsia="黑体"/>
          <w:color w:val="000000"/>
          <w:szCs w:val="32"/>
        </w:rPr>
        <w:t>第十五条</w:t>
      </w:r>
      <w:r>
        <w:rPr>
          <w:rFonts w:ascii="仿宋_GB2312" w:hAnsi="仿宋_GB2312" w:cs="Arial" w:hint="eastAsia"/>
          <w:color w:val="000000"/>
          <w:szCs w:val="32"/>
        </w:rPr>
        <w:t xml:space="preserve">  养老机构、社区养老服务设施，应当按照国家和本市老年人设施建设规范和标准进行规划和建设。</w:t>
      </w:r>
    </w:p>
    <w:p>
      <w:pPr>
        <w:pStyle w:val="Normal"/>
        <w:spacing w:lineRule="exact" w:line="560" w:before="0" w:after="0"/>
        <w:ind w:firstLine="601" w:end="0"/>
        <w:contextualSpacing/>
        <w:rPr>
          <w:rFonts w:ascii="仿宋_GB2312" w:hAnsi="仿宋_GB2312" w:cs="Arial"/>
          <w:color w:val="000000"/>
          <w:szCs w:val="32"/>
        </w:rPr>
      </w:pPr>
      <w:r>
        <w:rPr>
          <w:rFonts w:ascii="黑体" w:hAnsi="黑体" w:cs="Arial" w:hint="eastAsia" w:eastAsia="黑体"/>
          <w:color w:val="000000"/>
          <w:szCs w:val="32"/>
        </w:rPr>
        <w:t xml:space="preserve">第十六条 </w:t>
      </w:r>
      <w:r>
        <w:rPr>
          <w:rFonts w:ascii="仿宋_GB2312" w:hAnsi="仿宋_GB2312" w:cs="Arial" w:hint="eastAsia"/>
          <w:color w:val="000000"/>
          <w:szCs w:val="32"/>
        </w:rPr>
        <w:t xml:space="preserve"> 市和区县人民政府及其有关部门，应当推动和扶持与老年人日常生活密切相关的公共设施和无障碍设施的建设和改造。</w:t>
      </w:r>
    </w:p>
    <w:p>
      <w:pPr>
        <w:pStyle w:val="Normal"/>
        <w:spacing w:lineRule="exact" w:line="560" w:before="0" w:after="0"/>
        <w:ind w:firstLine="601" w:end="0"/>
        <w:contextualSpacing/>
        <w:rPr>
          <w:rFonts w:ascii="仿宋_GB2312" w:hAnsi="仿宋_GB2312" w:cs="Arial"/>
          <w:color w:val="000000"/>
          <w:szCs w:val="32"/>
        </w:rPr>
      </w:pPr>
      <w:r>
        <w:rPr>
          <w:rFonts w:cs="Arial" w:ascii="仿宋_GB2312" w:hAnsi="仿宋_GB2312"/>
          <w:color w:val="000000"/>
          <w:szCs w:val="32"/>
        </w:rPr>
      </w:r>
    </w:p>
    <w:p>
      <w:pPr>
        <w:pStyle w:val="Normal"/>
        <w:spacing w:lineRule="exact" w:line="560" w:before="0" w:after="0"/>
        <w:contextualSpacing/>
        <w:jc w:val="center"/>
        <w:rPr>
          <w:rFonts w:ascii="黑体" w:hAnsi="黑体" w:eastAsia="黑体" w:cs="Arial"/>
          <w:color w:val="000000"/>
          <w:szCs w:val="32"/>
        </w:rPr>
      </w:pPr>
      <w:r>
        <w:rPr>
          <w:rFonts w:ascii="黑体" w:hAnsi="黑体" w:cs="Arial" w:hint="eastAsia" w:eastAsia="黑体"/>
          <w:color w:val="000000"/>
          <w:szCs w:val="32"/>
        </w:rPr>
        <w:t>第三章 社区养老服务</w:t>
      </w:r>
    </w:p>
    <w:p>
      <w:pPr>
        <w:pStyle w:val="Normal"/>
        <w:spacing w:lineRule="exact" w:line="560" w:before="0" w:after="0"/>
        <w:contextualSpacing/>
        <w:jc w:val="center"/>
        <w:rPr>
          <w:rFonts w:ascii="黑体" w:hAnsi="黑体" w:eastAsia="黑体" w:cs="Arial"/>
          <w:color w:val="000000"/>
          <w:szCs w:val="32"/>
        </w:rPr>
      </w:pPr>
      <w:r>
        <w:rPr>
          <w:rFonts w:eastAsia="黑体" w:cs="Arial" w:ascii="黑体" w:hAnsi="黑体"/>
          <w:color w:val="000000"/>
          <w:szCs w:val="32"/>
        </w:rPr>
      </w:r>
    </w:p>
    <w:p>
      <w:pPr>
        <w:pStyle w:val="Normal"/>
        <w:spacing w:lineRule="exact" w:line="560" w:before="0" w:after="0"/>
        <w:ind w:firstLine="601" w:end="0"/>
        <w:contextualSpacing/>
        <w:rPr>
          <w:rFonts w:ascii="仿宋_GB2312" w:hAnsi="仿宋_GB2312" w:cs="Arial"/>
          <w:color w:val="000000"/>
          <w:szCs w:val="32"/>
        </w:rPr>
      </w:pPr>
      <w:r>
        <w:rPr>
          <w:rFonts w:ascii="黑体" w:hAnsi="黑体" w:cs="Arial" w:hint="eastAsia" w:eastAsia="黑体"/>
          <w:color w:val="000000"/>
          <w:szCs w:val="32"/>
        </w:rPr>
        <w:t>第十七条</w:t>
      </w:r>
      <w:r>
        <w:rPr>
          <w:rFonts w:ascii="仿宋_GB2312" w:hAnsi="仿宋_GB2312" w:cs="Arial" w:hint="eastAsia"/>
          <w:color w:val="000000"/>
          <w:szCs w:val="32"/>
        </w:rPr>
        <w:t xml:space="preserve">  区县人民政府建立的社区老年服务中心，应当整合社会资源为居家养老的老年人提供生活照料、家政服务、餐饮配送、便利购物、医疗保健、心理关爱、应急救助、活动场所等服务。</w:t>
      </w:r>
    </w:p>
    <w:p>
      <w:pPr>
        <w:pStyle w:val="Normal"/>
        <w:spacing w:lineRule="exact" w:line="560" w:before="0" w:after="0"/>
        <w:ind w:firstLine="601" w:end="0"/>
        <w:contextualSpacing/>
        <w:rPr>
          <w:rFonts w:ascii="仿宋_GB2312" w:hAnsi="仿宋_GB2312" w:cs="Arial"/>
          <w:color w:val="000000"/>
          <w:szCs w:val="32"/>
        </w:rPr>
      </w:pPr>
      <w:r>
        <w:rPr>
          <w:rFonts w:ascii="仿宋_GB2312" w:hAnsi="仿宋_GB2312" w:cs="Arial" w:hint="eastAsia"/>
          <w:color w:val="000000"/>
          <w:szCs w:val="32"/>
        </w:rPr>
        <w:t>具备条件的社区老年服务中心可以建立老年日间照料中心，为日托老年人提供餐饮、休息、娱乐、简易护理等服务。</w:t>
      </w:r>
    </w:p>
    <w:p>
      <w:pPr>
        <w:pStyle w:val="Normal"/>
        <w:spacing w:lineRule="exact" w:line="560" w:before="0" w:after="0"/>
        <w:ind w:firstLine="601" w:end="0"/>
        <w:contextualSpacing/>
        <w:rPr>
          <w:rFonts w:ascii="仿宋_GB2312" w:hAnsi="仿宋_GB2312" w:cs="Arial"/>
          <w:color w:val="000000"/>
          <w:szCs w:val="32"/>
        </w:rPr>
      </w:pPr>
      <w:r>
        <w:rPr>
          <w:rFonts w:ascii="黑体" w:hAnsi="黑体" w:cs="Arial" w:hint="eastAsia" w:eastAsia="黑体"/>
          <w:color w:val="000000"/>
          <w:szCs w:val="32"/>
        </w:rPr>
        <w:t>第十八条</w:t>
      </w:r>
      <w:r>
        <w:rPr>
          <w:rFonts w:ascii="仿宋_GB2312" w:hAnsi="仿宋_GB2312" w:cs="Arial" w:hint="eastAsia"/>
          <w:color w:val="000000"/>
          <w:szCs w:val="32"/>
        </w:rPr>
        <w:t xml:space="preserve">  社区老年服务中心由乡镇人民政府或者街道办事处负责组建和管理，其运行费用由区县人民政府承担。</w:t>
      </w:r>
    </w:p>
    <w:p>
      <w:pPr>
        <w:pStyle w:val="Normal"/>
        <w:spacing w:lineRule="exact" w:line="560" w:before="0" w:after="0"/>
        <w:ind w:firstLine="601" w:end="0"/>
        <w:contextualSpacing/>
        <w:rPr>
          <w:rFonts w:ascii="仿宋_GB2312" w:hAnsi="仿宋_GB2312" w:cs="Arial"/>
          <w:color w:val="000000"/>
          <w:szCs w:val="32"/>
        </w:rPr>
      </w:pPr>
      <w:r>
        <w:rPr>
          <w:rFonts w:ascii="黑体" w:hAnsi="黑体" w:cs="Arial" w:hint="eastAsia" w:eastAsia="黑体"/>
          <w:color w:val="000000"/>
          <w:szCs w:val="32"/>
        </w:rPr>
        <w:t>第十九条</w:t>
      </w:r>
      <w:r>
        <w:rPr>
          <w:rFonts w:ascii="仿宋_GB2312" w:hAnsi="仿宋_GB2312" w:cs="Arial" w:hint="eastAsia"/>
          <w:color w:val="000000"/>
          <w:szCs w:val="32"/>
        </w:rPr>
        <w:t xml:space="preserve">  社区老年服务中心可以运用便民信息网、远程监控、无线呼叫等科技手段，提供养老服务。</w:t>
      </w:r>
    </w:p>
    <w:p>
      <w:pPr>
        <w:pStyle w:val="Normal"/>
        <w:spacing w:lineRule="exact" w:line="560" w:before="0" w:after="0"/>
        <w:ind w:firstLine="601" w:end="0"/>
        <w:contextualSpacing/>
        <w:rPr>
          <w:rFonts w:ascii="仿宋_GB2312" w:hAnsi="仿宋_GB2312" w:cs="Arial"/>
          <w:color w:val="000000"/>
          <w:szCs w:val="32"/>
        </w:rPr>
      </w:pPr>
      <w:r>
        <w:rPr>
          <w:rFonts w:ascii="黑体" w:hAnsi="黑体" w:cs="Arial" w:hint="eastAsia" w:eastAsia="黑体"/>
          <w:color w:val="000000"/>
          <w:szCs w:val="32"/>
        </w:rPr>
        <w:t>第二十条</w:t>
      </w:r>
      <w:r>
        <w:rPr>
          <w:rFonts w:ascii="仿宋_GB2312" w:hAnsi="仿宋_GB2312" w:cs="Arial" w:hint="eastAsia"/>
          <w:color w:val="000000"/>
          <w:szCs w:val="32"/>
        </w:rPr>
        <w:t xml:space="preserve">  提供养老服务的单位和个人应当具备法律、法规规定的条件，并按照国家和本市规定的服务标准，诚实守信地提供服务。乡镇人民政府或者街道办事处应当根据服务满意度等情况对其服务质量定期进行评价，评价结果在社区公开。服务满意度差的单位和个人，应当退出社区老年服务中心。</w:t>
      </w:r>
    </w:p>
    <w:p>
      <w:pPr>
        <w:pStyle w:val="Normal"/>
        <w:spacing w:lineRule="exact" w:line="560" w:before="0" w:after="0"/>
        <w:ind w:firstLine="601" w:end="0"/>
        <w:contextualSpacing/>
        <w:rPr>
          <w:rFonts w:ascii="仿宋_GB2312" w:hAnsi="仿宋_GB2312" w:cs="Arial"/>
          <w:color w:val="000000"/>
          <w:szCs w:val="32"/>
        </w:rPr>
      </w:pPr>
      <w:r>
        <w:rPr>
          <w:rFonts w:ascii="黑体" w:hAnsi="黑体" w:cs="Arial" w:hint="eastAsia" w:eastAsia="黑体"/>
          <w:color w:val="000000"/>
          <w:szCs w:val="32"/>
        </w:rPr>
        <w:t>第二十一条</w:t>
      </w:r>
      <w:r>
        <w:rPr>
          <w:rFonts w:ascii="仿宋_GB2312" w:hAnsi="仿宋_GB2312" w:cs="Arial" w:hint="eastAsia"/>
          <w:color w:val="000000"/>
          <w:szCs w:val="32"/>
        </w:rPr>
        <w:t xml:space="preserve">  提供养老服务的单位和个人应当与服务对象建立服务合同关系，合理收取服务费用。</w:t>
      </w:r>
    </w:p>
    <w:p>
      <w:pPr>
        <w:pStyle w:val="Normal"/>
        <w:spacing w:lineRule="exact" w:line="560" w:before="0" w:after="0"/>
        <w:ind w:firstLine="601" w:end="0"/>
        <w:contextualSpacing/>
        <w:rPr>
          <w:rFonts w:ascii="仿宋_GB2312" w:hAnsi="仿宋_GB2312" w:cs="Arial"/>
          <w:color w:val="000000"/>
          <w:szCs w:val="32"/>
        </w:rPr>
      </w:pPr>
      <w:r>
        <w:rPr>
          <w:rFonts w:ascii="黑体" w:hAnsi="黑体" w:cs="Arial" w:hint="eastAsia" w:eastAsia="黑体"/>
          <w:color w:val="000000"/>
          <w:szCs w:val="32"/>
        </w:rPr>
        <w:t>第二十二条</w:t>
      </w:r>
      <w:r>
        <w:rPr>
          <w:rFonts w:ascii="仿宋_GB2312" w:hAnsi="仿宋_GB2312" w:cs="Arial" w:hint="eastAsia"/>
          <w:color w:val="000000"/>
          <w:szCs w:val="32"/>
        </w:rPr>
        <w:t xml:space="preserve">  乡镇人民政府、街道办事处和居民委员会、村民委员会应当创造条件，鼓励和组织社区老年人开展养老互助。</w:t>
      </w:r>
    </w:p>
    <w:p>
      <w:pPr>
        <w:pStyle w:val="Normal"/>
        <w:spacing w:lineRule="exact" w:line="560" w:before="0" w:after="0"/>
        <w:ind w:firstLine="601" w:end="0"/>
        <w:contextualSpacing/>
        <w:rPr>
          <w:rFonts w:ascii="仿宋_GB2312" w:hAnsi="仿宋_GB2312" w:cs="Arial"/>
          <w:color w:val="000000"/>
          <w:szCs w:val="32"/>
        </w:rPr>
      </w:pPr>
      <w:r>
        <w:rPr>
          <w:rFonts w:ascii="黑体" w:hAnsi="黑体" w:cs="Arial" w:hint="eastAsia" w:eastAsia="黑体"/>
          <w:color w:val="000000"/>
          <w:szCs w:val="32"/>
        </w:rPr>
        <w:t>第二十三条</w:t>
      </w:r>
      <w:r>
        <w:rPr>
          <w:rFonts w:ascii="仿宋_GB2312" w:hAnsi="仿宋_GB2312" w:cs="Arial" w:hint="eastAsia"/>
          <w:color w:val="000000"/>
          <w:szCs w:val="32"/>
        </w:rPr>
        <w:t xml:space="preserve">  市和区县卫生行政部门应当支持有条件的二级医院开设老年病科，提高老年病人收治比例；支持社区医疗卫生机构在社区老年服务中心设立服务站点。</w:t>
      </w:r>
    </w:p>
    <w:p>
      <w:pPr>
        <w:pStyle w:val="Normal"/>
        <w:spacing w:lineRule="exact" w:line="560" w:before="0" w:after="0"/>
        <w:ind w:firstLine="601" w:end="0"/>
        <w:contextualSpacing/>
        <w:rPr>
          <w:rFonts w:ascii="仿宋_GB2312" w:hAnsi="仿宋_GB2312" w:cs="Arial"/>
          <w:color w:val="000000"/>
          <w:szCs w:val="32"/>
        </w:rPr>
      </w:pPr>
      <w:r>
        <w:rPr>
          <w:rFonts w:ascii="黑体" w:hAnsi="黑体" w:cs="Arial" w:hint="eastAsia" w:eastAsia="黑体"/>
          <w:color w:val="000000"/>
          <w:szCs w:val="32"/>
        </w:rPr>
        <w:t>第二十四条</w:t>
      </w:r>
      <w:r>
        <w:rPr>
          <w:rFonts w:ascii="仿宋_GB2312" w:hAnsi="仿宋_GB2312" w:cs="Arial" w:hint="eastAsia"/>
          <w:color w:val="000000"/>
          <w:szCs w:val="32"/>
        </w:rPr>
        <w:t xml:space="preserve">  鼓励和支持利用社区公共服务设施和社会场所组织开展适合老年人的群众性文化体育娱乐活动。</w:t>
      </w:r>
    </w:p>
    <w:p>
      <w:pPr>
        <w:pStyle w:val="Normal"/>
        <w:spacing w:lineRule="exact" w:line="560" w:before="0" w:after="0"/>
        <w:ind w:firstLine="601" w:end="0"/>
        <w:contextualSpacing/>
        <w:rPr>
          <w:rFonts w:ascii="仿宋_GB2312" w:hAnsi="仿宋_GB2312" w:cs="Arial"/>
          <w:color w:val="000000"/>
          <w:szCs w:val="32"/>
        </w:rPr>
      </w:pPr>
      <w:r>
        <w:rPr>
          <w:rFonts w:cs="Arial" w:ascii="仿宋_GB2312" w:hAnsi="仿宋_GB2312"/>
          <w:color w:val="000000"/>
          <w:szCs w:val="32"/>
        </w:rPr>
      </w:r>
    </w:p>
    <w:p>
      <w:pPr>
        <w:pStyle w:val="Normal"/>
        <w:spacing w:lineRule="exact" w:line="560" w:before="0" w:after="0"/>
        <w:contextualSpacing/>
        <w:jc w:val="center"/>
        <w:rPr>
          <w:rFonts w:ascii="黑体" w:hAnsi="黑体" w:eastAsia="黑体" w:cs="Arial"/>
          <w:color w:val="000000"/>
          <w:szCs w:val="32"/>
        </w:rPr>
      </w:pPr>
      <w:r>
        <w:rPr>
          <w:rFonts w:ascii="黑体" w:hAnsi="黑体" w:cs="Arial" w:hint="eastAsia" w:eastAsia="黑体"/>
          <w:color w:val="000000"/>
          <w:szCs w:val="32"/>
        </w:rPr>
        <w:t>第四章  机构养老服务</w:t>
      </w:r>
    </w:p>
    <w:p>
      <w:pPr>
        <w:pStyle w:val="Normal"/>
        <w:spacing w:lineRule="exact" w:line="560" w:before="0" w:after="0"/>
        <w:contextualSpacing/>
        <w:jc w:val="center"/>
        <w:rPr>
          <w:rFonts w:ascii="黑体" w:hAnsi="黑体" w:eastAsia="黑体" w:cs="Arial"/>
          <w:color w:val="000000"/>
          <w:szCs w:val="32"/>
        </w:rPr>
      </w:pPr>
      <w:r>
        <w:rPr>
          <w:rFonts w:eastAsia="黑体" w:cs="Arial" w:ascii="黑体" w:hAnsi="黑体"/>
          <w:color w:val="000000"/>
          <w:szCs w:val="32"/>
        </w:rPr>
      </w:r>
    </w:p>
    <w:p>
      <w:pPr>
        <w:pStyle w:val="Normal"/>
        <w:spacing w:lineRule="exact" w:line="560" w:before="0" w:after="0"/>
        <w:ind w:firstLine="601" w:end="0"/>
        <w:contextualSpacing/>
        <w:rPr>
          <w:rFonts w:ascii="仿宋_GB2312" w:hAnsi="仿宋_GB2312" w:cs="Arial"/>
          <w:color w:val="000000"/>
          <w:szCs w:val="32"/>
        </w:rPr>
      </w:pPr>
      <w:r>
        <w:rPr>
          <w:rFonts w:ascii="黑体" w:hAnsi="黑体" w:cs="Arial" w:hint="eastAsia" w:eastAsia="黑体"/>
          <w:color w:val="000000"/>
          <w:szCs w:val="32"/>
        </w:rPr>
        <w:t>第二十五条</w:t>
      </w:r>
      <w:r>
        <w:rPr>
          <w:rFonts w:ascii="仿宋_GB2312" w:hAnsi="仿宋_GB2312" w:cs="Arial" w:hint="eastAsia"/>
          <w:color w:val="000000"/>
          <w:szCs w:val="32"/>
        </w:rPr>
        <w:t xml:space="preserve">  本市通过政府组织规划兴建、支持社会力量举办等多种形式，设立养老机构，提供机构养老服务。</w:t>
      </w:r>
    </w:p>
    <w:p>
      <w:pPr>
        <w:pStyle w:val="Normal"/>
        <w:spacing w:lineRule="exact" w:line="560" w:before="0" w:after="0"/>
        <w:ind w:firstLine="601" w:end="0"/>
        <w:contextualSpacing/>
        <w:rPr>
          <w:rFonts w:ascii="仿宋_GB2312" w:hAnsi="仿宋_GB2312" w:cs="Arial"/>
          <w:color w:val="000000"/>
          <w:szCs w:val="32"/>
        </w:rPr>
      </w:pPr>
      <w:r>
        <w:rPr>
          <w:rFonts w:ascii="仿宋_GB2312" w:hAnsi="仿宋_GB2312" w:cs="Arial" w:hint="eastAsia"/>
          <w:color w:val="000000"/>
          <w:szCs w:val="32"/>
        </w:rPr>
        <w:t>政府兴建的养老机构可以自行运营管理，也可以通过招标等方式委托社会组织运营管理。</w:t>
      </w:r>
    </w:p>
    <w:p>
      <w:pPr>
        <w:pStyle w:val="Normal"/>
        <w:spacing w:lineRule="exact" w:line="560" w:before="0" w:after="0"/>
        <w:ind w:firstLine="601" w:end="0"/>
        <w:contextualSpacing/>
        <w:rPr>
          <w:rFonts w:ascii="仿宋_GB2312" w:hAnsi="仿宋_GB2312" w:cs="Arial"/>
          <w:color w:val="000000"/>
          <w:szCs w:val="32"/>
        </w:rPr>
      </w:pPr>
      <w:r>
        <w:rPr>
          <w:rFonts w:ascii="黑体" w:hAnsi="黑体" w:cs="Arial" w:hint="eastAsia" w:eastAsia="黑体"/>
          <w:color w:val="000000"/>
          <w:szCs w:val="32"/>
        </w:rPr>
        <w:t>第二十六条</w:t>
      </w:r>
      <w:r>
        <w:rPr>
          <w:rFonts w:ascii="仿宋_GB2312" w:hAnsi="仿宋_GB2312" w:cs="Arial" w:hint="eastAsia"/>
          <w:color w:val="000000"/>
          <w:szCs w:val="32"/>
        </w:rPr>
        <w:t xml:space="preserve">  设立养老机构应当符合国家规定的条件，并应当依照规定向民政部门申请行政许可；经许可的，依法办理相应的登记。</w:t>
      </w:r>
    </w:p>
    <w:p>
      <w:pPr>
        <w:pStyle w:val="Normal"/>
        <w:spacing w:lineRule="exact" w:line="560" w:before="0" w:after="0"/>
        <w:ind w:firstLine="601" w:end="0"/>
        <w:contextualSpacing/>
        <w:rPr>
          <w:rFonts w:ascii="仿宋_GB2312" w:hAnsi="仿宋_GB2312" w:cs="Arial"/>
          <w:color w:val="000000"/>
          <w:szCs w:val="32"/>
        </w:rPr>
      </w:pPr>
      <w:r>
        <w:rPr>
          <w:rFonts w:ascii="仿宋_GB2312" w:hAnsi="仿宋_GB2312" w:cs="Arial" w:hint="eastAsia"/>
          <w:color w:val="000000"/>
          <w:szCs w:val="32"/>
        </w:rPr>
        <w:t>民政、公安消防、卫生计生等部门应当加强对养老机构的日常监督管理。</w:t>
      </w:r>
    </w:p>
    <w:p>
      <w:pPr>
        <w:pStyle w:val="Normal"/>
        <w:spacing w:lineRule="exact" w:line="560" w:before="0" w:after="0"/>
        <w:ind w:firstLine="601" w:end="0"/>
        <w:contextualSpacing/>
        <w:rPr>
          <w:rFonts w:ascii="仿宋_GB2312" w:hAnsi="仿宋_GB2312" w:cs="Arial"/>
          <w:color w:val="000000"/>
          <w:szCs w:val="32"/>
        </w:rPr>
      </w:pPr>
      <w:r>
        <w:rPr>
          <w:rFonts w:ascii="黑体" w:hAnsi="黑体" w:cs="Arial" w:hint="eastAsia" w:eastAsia="黑体"/>
          <w:color w:val="000000"/>
          <w:szCs w:val="32"/>
        </w:rPr>
        <w:t>第二十七条</w:t>
      </w:r>
      <w:r>
        <w:rPr>
          <w:rFonts w:ascii="仿宋_GB2312" w:hAnsi="仿宋_GB2312" w:cs="Arial" w:hint="eastAsia"/>
          <w:color w:val="000000"/>
          <w:szCs w:val="32"/>
        </w:rPr>
        <w:t xml:space="preserve">  政府投资兴办的养老机构，应当保证收住无劳动能力、无生活来源、无赡养人和扶养人或者其赡养人和扶养人确无赡养和扶养能力的老年人，并提供无偿的供养、护理服务。</w:t>
      </w:r>
    </w:p>
    <w:p>
      <w:pPr>
        <w:pStyle w:val="Normal"/>
        <w:spacing w:lineRule="exact" w:line="560" w:before="0" w:after="0"/>
        <w:ind w:firstLine="601" w:end="0"/>
        <w:contextualSpacing/>
        <w:rPr>
          <w:rFonts w:ascii="仿宋_GB2312" w:hAnsi="仿宋_GB2312" w:cs="Arial"/>
          <w:color w:val="000000"/>
          <w:szCs w:val="32"/>
        </w:rPr>
      </w:pPr>
      <w:r>
        <w:rPr>
          <w:rFonts w:ascii="黑体" w:hAnsi="黑体" w:cs="Arial" w:hint="eastAsia" w:eastAsia="黑体"/>
          <w:color w:val="000000"/>
          <w:szCs w:val="32"/>
        </w:rPr>
        <w:t xml:space="preserve">第二十八条 </w:t>
      </w:r>
      <w:r>
        <w:rPr>
          <w:rFonts w:ascii="仿宋_GB2312" w:hAnsi="仿宋_GB2312" w:cs="Arial" w:hint="eastAsia"/>
          <w:color w:val="000000"/>
          <w:szCs w:val="32"/>
        </w:rPr>
        <w:t xml:space="preserve"> 政府投资兴办的养老机构应当以收住失能半失能老年人为主，优先安排经济困难的失能半失能、孤寡、高龄老年人。</w:t>
      </w:r>
    </w:p>
    <w:p>
      <w:pPr>
        <w:pStyle w:val="Normal"/>
        <w:spacing w:lineRule="exact" w:line="560" w:before="0" w:after="0"/>
        <w:ind w:firstLine="601" w:end="0"/>
        <w:contextualSpacing/>
        <w:rPr>
          <w:rFonts w:ascii="仿宋_GB2312" w:hAnsi="仿宋_GB2312" w:cs="Arial"/>
          <w:color w:val="000000"/>
          <w:szCs w:val="32"/>
        </w:rPr>
      </w:pPr>
      <w:r>
        <w:rPr>
          <w:rFonts w:ascii="黑体" w:hAnsi="黑体" w:cs="Arial" w:hint="eastAsia" w:eastAsia="黑体"/>
          <w:color w:val="000000"/>
          <w:szCs w:val="32"/>
        </w:rPr>
        <w:t>第二十九条</w:t>
      </w:r>
      <w:r>
        <w:rPr>
          <w:rFonts w:ascii="仿宋_GB2312" w:hAnsi="仿宋_GB2312" w:cs="Arial" w:hint="eastAsia"/>
          <w:color w:val="000000"/>
          <w:szCs w:val="32"/>
        </w:rPr>
        <w:t xml:space="preserve">  申请入住政府兴办的养老机构的失能半失能老年人，由民政部门组织对其生活自理能力进行评估，对其经济困难状况进行核查。</w:t>
      </w:r>
    </w:p>
    <w:p>
      <w:pPr>
        <w:pStyle w:val="Normal"/>
        <w:spacing w:lineRule="exact" w:line="560" w:before="0" w:after="0"/>
        <w:ind w:firstLine="601" w:end="0"/>
        <w:contextualSpacing/>
        <w:rPr>
          <w:rFonts w:ascii="仿宋_GB2312" w:hAnsi="仿宋_GB2312" w:cs="Arial"/>
          <w:color w:val="000000"/>
          <w:szCs w:val="32"/>
        </w:rPr>
      </w:pPr>
      <w:r>
        <w:rPr>
          <w:rFonts w:ascii="黑体" w:hAnsi="黑体" w:cs="Arial" w:hint="eastAsia" w:eastAsia="黑体"/>
          <w:color w:val="000000"/>
          <w:szCs w:val="32"/>
        </w:rPr>
        <w:t>第三十条</w:t>
      </w:r>
      <w:r>
        <w:rPr>
          <w:rFonts w:ascii="仿宋_GB2312" w:hAnsi="仿宋_GB2312" w:cs="Arial" w:hint="eastAsia"/>
          <w:color w:val="000000"/>
          <w:szCs w:val="32"/>
        </w:rPr>
        <w:t xml:space="preserve">  鼓励社会力量兴办的养老机构收住失能半失能老年人。</w:t>
      </w:r>
    </w:p>
    <w:p>
      <w:pPr>
        <w:pStyle w:val="Normal"/>
        <w:spacing w:lineRule="exact" w:line="560" w:before="0" w:after="0"/>
        <w:ind w:firstLine="601" w:end="0"/>
        <w:contextualSpacing/>
        <w:rPr>
          <w:rFonts w:ascii="仿宋_GB2312" w:hAnsi="仿宋_GB2312" w:cs="Arial"/>
          <w:color w:val="000000"/>
          <w:szCs w:val="32"/>
        </w:rPr>
      </w:pPr>
      <w:r>
        <w:rPr>
          <w:rFonts w:ascii="黑体" w:hAnsi="黑体" w:cs="Arial" w:hint="eastAsia" w:eastAsia="黑体"/>
          <w:color w:val="000000"/>
          <w:szCs w:val="32"/>
        </w:rPr>
        <w:t>第三十一条</w:t>
      </w:r>
      <w:r>
        <w:rPr>
          <w:rFonts w:ascii="仿宋_GB2312" w:hAnsi="仿宋_GB2312" w:cs="Arial" w:hint="eastAsia"/>
          <w:color w:val="000000"/>
          <w:szCs w:val="32"/>
        </w:rPr>
        <w:t xml:space="preserve">  社会力量兴办非营利性养老机构收住失能半失能老年人申请政府补贴的，由民政部门组织对其收住的老年人生活自理能力进行评估。</w:t>
      </w:r>
    </w:p>
    <w:p>
      <w:pPr>
        <w:pStyle w:val="Normal"/>
        <w:spacing w:lineRule="exact" w:line="560" w:before="0" w:after="0"/>
        <w:ind w:firstLine="601" w:end="0"/>
        <w:contextualSpacing/>
        <w:rPr>
          <w:rFonts w:ascii="仿宋_GB2312" w:hAnsi="仿宋_GB2312" w:cs="Arial"/>
          <w:color w:val="000000"/>
          <w:szCs w:val="32"/>
        </w:rPr>
      </w:pPr>
      <w:r>
        <w:rPr>
          <w:rFonts w:ascii="黑体" w:hAnsi="黑体" w:cs="Arial" w:hint="eastAsia" w:eastAsia="黑体"/>
          <w:color w:val="000000"/>
          <w:szCs w:val="32"/>
        </w:rPr>
        <w:t>第三十二条</w:t>
      </w:r>
      <w:r>
        <w:rPr>
          <w:rFonts w:ascii="仿宋_GB2312" w:hAnsi="仿宋_GB2312" w:cs="Arial" w:hint="eastAsia"/>
          <w:color w:val="000000"/>
          <w:szCs w:val="32"/>
        </w:rPr>
        <w:t xml:space="preserve">  养老机构变更或者终止的，应当向实施许可的民政部门提交老年人安置方案，妥善安置收住的老年人，并办理变更或者注销登记手续。</w:t>
      </w:r>
    </w:p>
    <w:p>
      <w:pPr>
        <w:pStyle w:val="Normal"/>
        <w:spacing w:lineRule="exact" w:line="560" w:before="0" w:after="0"/>
        <w:ind w:firstLine="601" w:end="0"/>
        <w:contextualSpacing/>
        <w:rPr>
          <w:rFonts w:ascii="仿宋_GB2312" w:hAnsi="仿宋_GB2312" w:cs="Arial"/>
          <w:color w:val="000000"/>
          <w:szCs w:val="32"/>
        </w:rPr>
      </w:pPr>
      <w:r>
        <w:rPr>
          <w:rFonts w:ascii="黑体" w:hAnsi="黑体" w:cs="Arial" w:hint="eastAsia" w:eastAsia="黑体"/>
          <w:color w:val="000000"/>
          <w:szCs w:val="32"/>
        </w:rPr>
        <w:t>第三十三条</w:t>
      </w:r>
      <w:r>
        <w:rPr>
          <w:rFonts w:ascii="仿宋_GB2312" w:hAnsi="仿宋_GB2312" w:cs="Arial" w:hint="eastAsia"/>
          <w:color w:val="000000"/>
          <w:szCs w:val="32"/>
        </w:rPr>
        <w:t xml:space="preserve">  区县和乡镇人民政府应当调整、改造、提升现有农村五保供养机构及其设施，提高服务能力和水平，保证农村五保对象的集中供养。</w:t>
      </w:r>
    </w:p>
    <w:p>
      <w:pPr>
        <w:pStyle w:val="Normal"/>
        <w:spacing w:lineRule="exact" w:line="560" w:before="0" w:after="0"/>
        <w:ind w:firstLine="601" w:end="0"/>
        <w:contextualSpacing/>
        <w:rPr>
          <w:rFonts w:ascii="仿宋_GB2312" w:hAnsi="仿宋_GB2312" w:cs="Arial"/>
          <w:color w:val="000000"/>
          <w:szCs w:val="32"/>
        </w:rPr>
      </w:pPr>
      <w:r>
        <w:rPr>
          <w:rFonts w:ascii="仿宋_GB2312" w:hAnsi="仿宋_GB2312" w:cs="Arial" w:hint="eastAsia"/>
          <w:color w:val="000000"/>
          <w:szCs w:val="32"/>
        </w:rPr>
        <w:t>农村五保供养机构在保证农村五保对象集中供养的前提下，可以向社会开放。</w:t>
      </w:r>
    </w:p>
    <w:p>
      <w:pPr>
        <w:pStyle w:val="Normal"/>
        <w:spacing w:lineRule="exact" w:line="560" w:before="0" w:after="0"/>
        <w:ind w:firstLine="601" w:end="0"/>
        <w:contextualSpacing/>
        <w:rPr>
          <w:rFonts w:ascii="仿宋_GB2312" w:hAnsi="仿宋_GB2312" w:cs="Arial"/>
          <w:color w:val="000000"/>
          <w:szCs w:val="32"/>
        </w:rPr>
      </w:pPr>
      <w:r>
        <w:rPr>
          <w:rFonts w:ascii="黑体" w:hAnsi="黑体" w:cs="Arial" w:hint="eastAsia" w:eastAsia="黑体"/>
          <w:color w:val="000000"/>
          <w:szCs w:val="32"/>
        </w:rPr>
        <w:t>第三十四条</w:t>
      </w:r>
      <w:r>
        <w:rPr>
          <w:rFonts w:ascii="仿宋_GB2312" w:hAnsi="仿宋_GB2312" w:cs="Arial" w:hint="eastAsia"/>
          <w:color w:val="000000"/>
          <w:szCs w:val="32"/>
        </w:rPr>
        <w:t xml:space="preserve">  本市支持养老机构向社区延伸服务。支持医疗机构与养老机构通过延伸服务、协议合作等方式，实现医养结合，优势互补。</w:t>
      </w:r>
    </w:p>
    <w:p>
      <w:pPr>
        <w:pStyle w:val="Normal"/>
        <w:spacing w:lineRule="exact" w:line="560" w:before="0" w:after="0"/>
        <w:ind w:firstLine="601" w:end="0"/>
        <w:contextualSpacing/>
        <w:rPr>
          <w:rFonts w:ascii="仿宋_GB2312" w:hAnsi="仿宋_GB2312" w:cs="Arial"/>
          <w:color w:val="000000"/>
          <w:szCs w:val="32"/>
        </w:rPr>
      </w:pPr>
      <w:r>
        <w:rPr>
          <w:rFonts w:cs="Arial" w:ascii="仿宋_GB2312" w:hAnsi="仿宋_GB2312"/>
          <w:color w:val="000000"/>
          <w:szCs w:val="32"/>
        </w:rPr>
      </w:r>
    </w:p>
    <w:p>
      <w:pPr>
        <w:pStyle w:val="Normal"/>
        <w:spacing w:lineRule="exact" w:line="560" w:before="0" w:after="0"/>
        <w:contextualSpacing/>
        <w:jc w:val="center"/>
        <w:rPr>
          <w:rFonts w:ascii="黑体" w:hAnsi="黑体" w:eastAsia="黑体" w:cs="Arial"/>
          <w:color w:val="000000"/>
          <w:szCs w:val="32"/>
        </w:rPr>
      </w:pPr>
      <w:r>
        <w:rPr>
          <w:rFonts w:ascii="黑体" w:hAnsi="黑体" w:cs="Arial" w:hint="eastAsia" w:eastAsia="黑体"/>
          <w:color w:val="000000"/>
          <w:szCs w:val="32"/>
        </w:rPr>
        <w:t>第五章  养老服务人员</w:t>
      </w:r>
    </w:p>
    <w:p>
      <w:pPr>
        <w:pStyle w:val="Normal"/>
        <w:spacing w:lineRule="exact" w:line="560" w:before="0" w:after="0"/>
        <w:contextualSpacing/>
        <w:jc w:val="center"/>
        <w:rPr>
          <w:rFonts w:ascii="黑体" w:hAnsi="黑体" w:eastAsia="黑体" w:cs="Arial"/>
          <w:color w:val="000000"/>
          <w:szCs w:val="32"/>
        </w:rPr>
      </w:pPr>
      <w:r>
        <w:rPr>
          <w:rFonts w:eastAsia="黑体" w:cs="Arial" w:ascii="黑体" w:hAnsi="黑体"/>
          <w:color w:val="000000"/>
          <w:szCs w:val="32"/>
        </w:rPr>
      </w:r>
    </w:p>
    <w:p>
      <w:pPr>
        <w:pStyle w:val="Normal"/>
        <w:spacing w:lineRule="exact" w:line="560" w:before="0" w:after="0"/>
        <w:ind w:firstLine="601" w:end="0"/>
        <w:contextualSpacing/>
        <w:rPr>
          <w:rFonts w:ascii="仿宋_GB2312" w:hAnsi="仿宋_GB2312" w:cs="Arial"/>
          <w:color w:val="000000"/>
          <w:szCs w:val="32"/>
        </w:rPr>
      </w:pPr>
      <w:r>
        <w:rPr>
          <w:rFonts w:ascii="黑体" w:hAnsi="黑体" w:cs="Arial" w:hint="eastAsia" w:eastAsia="黑体"/>
          <w:color w:val="000000"/>
          <w:szCs w:val="32"/>
        </w:rPr>
        <w:t>第三十五条</w:t>
      </w:r>
      <w:r>
        <w:rPr>
          <w:rFonts w:ascii="仿宋_GB2312" w:hAnsi="仿宋_GB2312" w:cs="Arial" w:hint="eastAsia"/>
          <w:color w:val="000000"/>
          <w:szCs w:val="32"/>
        </w:rPr>
        <w:t xml:space="preserve">  市民政部门会同教育、人力社保部门组织本市高等院校、职业院校和职业培训机构，创造条件开设与养老服务相关的专业或者课程，培养养老服务专业人才。</w:t>
      </w:r>
    </w:p>
    <w:p>
      <w:pPr>
        <w:pStyle w:val="Normal"/>
        <w:spacing w:lineRule="exact" w:line="560" w:before="0" w:after="0"/>
        <w:ind w:firstLine="601" w:end="0"/>
        <w:contextualSpacing/>
        <w:rPr>
          <w:rFonts w:ascii="仿宋_GB2312" w:hAnsi="仿宋_GB2312" w:cs="Arial"/>
          <w:color w:val="000000"/>
          <w:szCs w:val="32"/>
        </w:rPr>
      </w:pPr>
      <w:r>
        <w:rPr>
          <w:rFonts w:ascii="仿宋_GB2312" w:hAnsi="仿宋_GB2312" w:cs="Arial" w:hint="eastAsia"/>
          <w:color w:val="000000"/>
          <w:szCs w:val="32"/>
        </w:rPr>
        <w:t>支持社会力量举办的各类培训机构开设养老服务培训课程。</w:t>
      </w:r>
    </w:p>
    <w:p>
      <w:pPr>
        <w:pStyle w:val="Normal"/>
        <w:spacing w:lineRule="exact" w:line="560" w:before="0" w:after="0"/>
        <w:ind w:firstLine="601" w:end="0"/>
        <w:contextualSpacing/>
        <w:rPr>
          <w:rFonts w:ascii="仿宋_GB2312" w:hAnsi="仿宋_GB2312" w:cs="Arial"/>
          <w:color w:val="000000"/>
          <w:szCs w:val="32"/>
        </w:rPr>
      </w:pPr>
      <w:r>
        <w:rPr>
          <w:rFonts w:ascii="黑体" w:hAnsi="黑体" w:cs="Arial" w:hint="eastAsia" w:eastAsia="黑体"/>
          <w:color w:val="000000"/>
          <w:szCs w:val="32"/>
        </w:rPr>
        <w:t>第三十六条</w:t>
      </w:r>
      <w:r>
        <w:rPr>
          <w:rFonts w:ascii="仿宋_GB2312" w:hAnsi="仿宋_GB2312" w:cs="Arial" w:hint="eastAsia"/>
          <w:color w:val="000000"/>
          <w:szCs w:val="32"/>
        </w:rPr>
        <w:t xml:space="preserve">  养老机构从业人员、社区养老服务人员应当接受养老职业培训，提高养老服务能力和水平。</w:t>
      </w:r>
    </w:p>
    <w:p>
      <w:pPr>
        <w:pStyle w:val="Normal"/>
        <w:spacing w:lineRule="exact" w:line="560" w:before="0" w:after="0"/>
        <w:ind w:firstLine="601" w:end="0"/>
        <w:contextualSpacing/>
        <w:rPr>
          <w:rFonts w:ascii="仿宋_GB2312" w:hAnsi="仿宋_GB2312" w:cs="Arial"/>
          <w:color w:val="000000"/>
          <w:szCs w:val="32"/>
        </w:rPr>
      </w:pPr>
      <w:r>
        <w:rPr>
          <w:rFonts w:ascii="仿宋_GB2312" w:hAnsi="仿宋_GB2312" w:cs="Arial" w:hint="eastAsia"/>
          <w:color w:val="000000"/>
          <w:szCs w:val="32"/>
        </w:rPr>
        <w:t>养老机构和社区养老服务单位，应当建立健全专业培训制度，对养老服务人员进行职业道德教育和专业技能培训，提高其职业道德素养和服务能力。</w:t>
      </w:r>
    </w:p>
    <w:p>
      <w:pPr>
        <w:pStyle w:val="Normal"/>
        <w:spacing w:lineRule="exact" w:line="560" w:before="0" w:after="0"/>
        <w:ind w:firstLine="601" w:end="0"/>
        <w:contextualSpacing/>
        <w:rPr>
          <w:rFonts w:ascii="仿宋_GB2312" w:hAnsi="仿宋_GB2312" w:cs="Arial"/>
          <w:color w:val="000000"/>
          <w:szCs w:val="32"/>
        </w:rPr>
      </w:pPr>
      <w:r>
        <w:rPr>
          <w:rFonts w:ascii="仿宋_GB2312" w:hAnsi="仿宋_GB2312" w:cs="Arial" w:hint="eastAsia"/>
          <w:color w:val="000000"/>
          <w:szCs w:val="32"/>
        </w:rPr>
        <w:t>养老服务从业人员参加职业培训，按照本市有关规定享受培训费补贴、职业技能鉴定费补贴。</w:t>
      </w:r>
    </w:p>
    <w:p>
      <w:pPr>
        <w:pStyle w:val="Normal"/>
        <w:spacing w:lineRule="exact" w:line="560" w:before="0" w:after="0"/>
        <w:ind w:firstLine="601" w:end="0"/>
        <w:contextualSpacing/>
        <w:rPr>
          <w:rFonts w:ascii="仿宋_GB2312" w:hAnsi="仿宋_GB2312" w:cs="Arial"/>
          <w:color w:val="000000"/>
          <w:szCs w:val="32"/>
        </w:rPr>
      </w:pPr>
      <w:r>
        <w:rPr>
          <w:rFonts w:ascii="黑体" w:hAnsi="黑体" w:cs="Arial" w:hint="eastAsia" w:eastAsia="黑体"/>
          <w:color w:val="000000"/>
          <w:szCs w:val="32"/>
        </w:rPr>
        <w:t>第三十七条</w:t>
      </w:r>
      <w:r>
        <w:rPr>
          <w:rFonts w:ascii="仿宋_GB2312" w:hAnsi="仿宋_GB2312" w:cs="Arial" w:hint="eastAsia"/>
          <w:color w:val="000000"/>
          <w:szCs w:val="32"/>
        </w:rPr>
        <w:t xml:space="preserve">  鼓励开展养老志愿服务活动，发展社会普通志愿者和专业志愿者相结合的志愿服务队伍。</w:t>
      </w:r>
    </w:p>
    <w:p>
      <w:pPr>
        <w:pStyle w:val="Normal"/>
        <w:spacing w:lineRule="exact" w:line="560" w:before="0" w:after="0"/>
        <w:ind w:firstLine="601" w:end="0"/>
        <w:contextualSpacing/>
        <w:rPr>
          <w:rFonts w:ascii="仿宋_GB2312" w:hAnsi="仿宋_GB2312" w:cs="Arial"/>
          <w:color w:val="000000"/>
          <w:szCs w:val="32"/>
        </w:rPr>
      </w:pPr>
      <w:r>
        <w:rPr>
          <w:rFonts w:ascii="仿宋_GB2312" w:hAnsi="仿宋_GB2312" w:cs="Arial" w:hint="eastAsia"/>
          <w:color w:val="000000"/>
          <w:szCs w:val="32"/>
        </w:rPr>
        <w:t>本市探索建立志愿服务激励机制。参加养老服务的志愿者需要养老服务时，可以优先享受。</w:t>
      </w:r>
    </w:p>
    <w:p>
      <w:pPr>
        <w:pStyle w:val="Normal"/>
        <w:spacing w:lineRule="exact" w:line="560" w:before="0" w:after="0"/>
        <w:ind w:firstLine="601" w:end="0"/>
        <w:contextualSpacing/>
        <w:rPr>
          <w:rFonts w:ascii="仿宋_GB2312" w:hAnsi="仿宋_GB2312" w:cs="Arial"/>
          <w:color w:val="000000"/>
          <w:szCs w:val="32"/>
        </w:rPr>
      </w:pPr>
      <w:r>
        <w:rPr>
          <w:rFonts w:ascii="黑体" w:hAnsi="黑体" w:cs="Arial" w:hint="eastAsia" w:eastAsia="黑体"/>
          <w:color w:val="000000"/>
          <w:szCs w:val="32"/>
        </w:rPr>
        <w:t>第三十八条</w:t>
      </w:r>
      <w:r>
        <w:rPr>
          <w:rFonts w:ascii="仿宋_GB2312" w:hAnsi="仿宋_GB2312" w:cs="Arial" w:hint="eastAsia"/>
          <w:color w:val="000000"/>
          <w:szCs w:val="32"/>
        </w:rPr>
        <w:t xml:space="preserve">  本市营造尊重养老服务人员劳动的社会氛围，逐步改善和提高养老服务人员待遇。用人单位应当按照国家和本市有关规定为养老服务人员缴纳社会保险。本市按照规定给予用人单位缴纳部分的社会保险补贴和用工的岗位补贴。</w:t>
      </w:r>
    </w:p>
    <w:p>
      <w:pPr>
        <w:pStyle w:val="Normal"/>
        <w:spacing w:lineRule="exact" w:line="560" w:before="0" w:after="0"/>
        <w:ind w:firstLine="601" w:end="0"/>
        <w:contextualSpacing/>
        <w:rPr>
          <w:rFonts w:ascii="仿宋_GB2312" w:hAnsi="仿宋_GB2312" w:cs="Arial"/>
          <w:color w:val="000000"/>
          <w:szCs w:val="32"/>
        </w:rPr>
      </w:pPr>
      <w:r>
        <w:rPr>
          <w:rFonts w:ascii="黑体" w:hAnsi="黑体" w:cs="Arial" w:hint="eastAsia" w:eastAsia="黑体"/>
          <w:color w:val="000000"/>
          <w:szCs w:val="32"/>
        </w:rPr>
        <w:t>第三十九条</w:t>
      </w:r>
      <w:r>
        <w:rPr>
          <w:rFonts w:ascii="仿宋_GB2312" w:hAnsi="仿宋_GB2312" w:cs="Arial" w:hint="eastAsia"/>
          <w:color w:val="000000"/>
          <w:szCs w:val="32"/>
        </w:rPr>
        <w:t xml:space="preserve">  从事养老服务的单位和组织应当改善养老服务人员工作条件，加强劳动保护和职业防护，对养老服务人员定期进行健康检查。</w:t>
      </w:r>
    </w:p>
    <w:p>
      <w:pPr>
        <w:pStyle w:val="Normal"/>
        <w:spacing w:lineRule="exact" w:line="560" w:before="0" w:after="0"/>
        <w:ind w:firstLine="601" w:end="0"/>
        <w:contextualSpacing/>
        <w:rPr>
          <w:rFonts w:ascii="仿宋_GB2312" w:hAnsi="仿宋_GB2312" w:cs="Arial"/>
          <w:color w:val="000000"/>
          <w:szCs w:val="32"/>
        </w:rPr>
      </w:pPr>
      <w:r>
        <w:rPr>
          <w:rFonts w:cs="Arial" w:ascii="仿宋_GB2312" w:hAnsi="仿宋_GB2312"/>
          <w:color w:val="000000"/>
          <w:szCs w:val="32"/>
        </w:rPr>
      </w:r>
    </w:p>
    <w:p>
      <w:pPr>
        <w:pStyle w:val="Normal"/>
        <w:spacing w:lineRule="exact" w:line="560" w:before="0" w:after="0"/>
        <w:contextualSpacing/>
        <w:jc w:val="center"/>
        <w:rPr>
          <w:rFonts w:ascii="黑体" w:hAnsi="黑体" w:eastAsia="黑体" w:cs="Arial"/>
          <w:color w:val="000000"/>
          <w:szCs w:val="32"/>
        </w:rPr>
      </w:pPr>
      <w:r>
        <w:rPr>
          <w:rFonts w:ascii="黑体" w:hAnsi="黑体" w:cs="Arial" w:hint="eastAsia" w:eastAsia="黑体"/>
          <w:color w:val="000000"/>
          <w:szCs w:val="32"/>
        </w:rPr>
        <w:t>第六章  鼓励与优惠</w:t>
      </w:r>
    </w:p>
    <w:p>
      <w:pPr>
        <w:pStyle w:val="Normal"/>
        <w:spacing w:lineRule="exact" w:line="560" w:before="0" w:after="0"/>
        <w:contextualSpacing/>
        <w:jc w:val="center"/>
        <w:rPr>
          <w:rFonts w:ascii="黑体" w:hAnsi="黑体" w:eastAsia="黑体" w:cs="Arial"/>
          <w:color w:val="000000"/>
          <w:szCs w:val="32"/>
        </w:rPr>
      </w:pPr>
      <w:r>
        <w:rPr>
          <w:rFonts w:eastAsia="黑体" w:cs="Arial" w:ascii="黑体" w:hAnsi="黑体"/>
          <w:color w:val="000000"/>
          <w:szCs w:val="32"/>
        </w:rPr>
      </w:r>
    </w:p>
    <w:p>
      <w:pPr>
        <w:pStyle w:val="Normal"/>
        <w:spacing w:lineRule="exact" w:line="560" w:before="0" w:after="0"/>
        <w:ind w:firstLine="601" w:end="0"/>
        <w:contextualSpacing/>
        <w:rPr>
          <w:rFonts w:ascii="仿宋_GB2312" w:hAnsi="仿宋_GB2312" w:cs="Arial"/>
          <w:color w:val="000000"/>
          <w:szCs w:val="32"/>
        </w:rPr>
      </w:pPr>
      <w:r>
        <w:rPr>
          <w:rFonts w:ascii="黑体" w:hAnsi="黑体" w:cs="Arial" w:hint="eastAsia" w:eastAsia="黑体"/>
          <w:color w:val="000000"/>
          <w:szCs w:val="32"/>
        </w:rPr>
        <w:t xml:space="preserve">第四十条 </w:t>
      </w:r>
      <w:r>
        <w:rPr>
          <w:rFonts w:ascii="仿宋_GB2312" w:hAnsi="仿宋_GB2312" w:cs="Arial" w:hint="eastAsia"/>
          <w:color w:val="000000"/>
          <w:szCs w:val="32"/>
        </w:rPr>
        <w:t xml:space="preserve"> 社会力量投资兴办养老机构或者其他养老服务设施，符合国家和本市有关规定的，由市和所在区县人民政府给予建设补贴，根据收住老年人的数量给予运营补贴，并根据收住失能半失能老年人的数量增加运营补贴。</w:t>
      </w:r>
    </w:p>
    <w:p>
      <w:pPr>
        <w:pStyle w:val="Normal"/>
        <w:spacing w:lineRule="exact" w:line="560" w:before="0" w:after="0"/>
        <w:ind w:firstLine="601" w:end="0"/>
        <w:contextualSpacing/>
        <w:rPr>
          <w:rFonts w:ascii="仿宋_GB2312" w:hAnsi="仿宋_GB2312" w:cs="Arial"/>
          <w:color w:val="000000"/>
          <w:szCs w:val="32"/>
        </w:rPr>
      </w:pPr>
      <w:r>
        <w:rPr>
          <w:rFonts w:ascii="黑体" w:hAnsi="黑体" w:cs="Arial" w:hint="eastAsia" w:eastAsia="黑体"/>
          <w:color w:val="000000"/>
          <w:szCs w:val="32"/>
        </w:rPr>
        <w:t>第四十一条</w:t>
      </w:r>
      <w:r>
        <w:rPr>
          <w:rFonts w:ascii="仿宋_GB2312" w:hAnsi="仿宋_GB2312" w:cs="Arial" w:hint="eastAsia"/>
          <w:color w:val="000000"/>
          <w:szCs w:val="32"/>
        </w:rPr>
        <w:t xml:space="preserve">  利用企业厂房、商业设施和学校兴办养老机构，由市和所在区县人民政府给予建设补贴，并给予公共服务方面的政策支持。</w:t>
      </w:r>
    </w:p>
    <w:p>
      <w:pPr>
        <w:pStyle w:val="Normal"/>
        <w:spacing w:lineRule="exact" w:line="560" w:before="0" w:after="0"/>
        <w:ind w:firstLine="601" w:end="0"/>
        <w:contextualSpacing/>
        <w:rPr>
          <w:rFonts w:ascii="仿宋_GB2312" w:hAnsi="仿宋_GB2312" w:cs="Arial"/>
          <w:color w:val="000000"/>
          <w:szCs w:val="32"/>
        </w:rPr>
      </w:pPr>
      <w:r>
        <w:rPr>
          <w:rFonts w:ascii="黑体" w:hAnsi="黑体" w:cs="Arial" w:hint="eastAsia" w:eastAsia="黑体"/>
          <w:color w:val="000000"/>
          <w:szCs w:val="32"/>
        </w:rPr>
        <w:t>第四十二条</w:t>
      </w:r>
      <w:r>
        <w:rPr>
          <w:rFonts w:ascii="仿宋_GB2312" w:hAnsi="仿宋_GB2312" w:cs="Arial" w:hint="eastAsia"/>
          <w:color w:val="000000"/>
          <w:szCs w:val="32"/>
        </w:rPr>
        <w:t xml:space="preserve">  养老机构、社区老年服务中心和老年日间照料中心等养老服务设施用电、用水、用气、用热，按照居民生活类价格执行。</w:t>
      </w:r>
    </w:p>
    <w:p>
      <w:pPr>
        <w:pStyle w:val="Normal"/>
        <w:spacing w:lineRule="exact" w:line="560" w:before="0" w:after="0"/>
        <w:ind w:firstLine="601" w:end="0"/>
        <w:contextualSpacing/>
        <w:rPr>
          <w:rFonts w:ascii="仿宋_GB2312" w:hAnsi="仿宋_GB2312" w:cs="Arial"/>
          <w:color w:val="000000"/>
          <w:szCs w:val="32"/>
        </w:rPr>
      </w:pPr>
      <w:r>
        <w:rPr>
          <w:rFonts w:ascii="黑体" w:hAnsi="黑体" w:cs="Arial" w:hint="eastAsia" w:eastAsia="黑体"/>
          <w:color w:val="000000"/>
          <w:szCs w:val="32"/>
        </w:rPr>
        <w:t>第四十三条</w:t>
      </w:r>
      <w:r>
        <w:rPr>
          <w:rFonts w:ascii="仿宋_GB2312" w:hAnsi="仿宋_GB2312" w:cs="Arial" w:hint="eastAsia"/>
          <w:color w:val="000000"/>
          <w:szCs w:val="32"/>
        </w:rPr>
        <w:t xml:space="preserve">  鼓励养老机构投保责任保险，对投保责任保险的，由市和区县人民政府给予保费补贴。</w:t>
      </w:r>
    </w:p>
    <w:p>
      <w:pPr>
        <w:pStyle w:val="Normal"/>
        <w:spacing w:lineRule="exact" w:line="560" w:before="0" w:after="0"/>
        <w:ind w:firstLine="601" w:end="0"/>
        <w:contextualSpacing/>
        <w:rPr>
          <w:rFonts w:ascii="仿宋_GB2312" w:hAnsi="仿宋_GB2312" w:cs="Arial"/>
          <w:color w:val="000000"/>
          <w:szCs w:val="32"/>
        </w:rPr>
      </w:pPr>
      <w:r>
        <w:rPr>
          <w:rFonts w:ascii="黑体" w:hAnsi="黑体" w:cs="Arial" w:hint="eastAsia" w:eastAsia="黑体"/>
          <w:color w:val="000000"/>
          <w:szCs w:val="32"/>
        </w:rPr>
        <w:t>第四十四条</w:t>
      </w:r>
      <w:r>
        <w:rPr>
          <w:rFonts w:ascii="仿宋_GB2312" w:hAnsi="仿宋_GB2312" w:cs="Arial" w:hint="eastAsia"/>
          <w:color w:val="000000"/>
          <w:szCs w:val="32"/>
        </w:rPr>
        <w:t xml:space="preserve">  经济困难需要生活照料的老年人，由本人或者其家属申请，经民政部门组织评估并审核后给予居家养老服务补贴、护理补贴。</w:t>
      </w:r>
    </w:p>
    <w:p>
      <w:pPr>
        <w:pStyle w:val="Normal"/>
        <w:spacing w:lineRule="exact" w:line="560" w:before="0" w:after="0"/>
        <w:ind w:firstLine="601" w:end="0"/>
        <w:contextualSpacing/>
        <w:rPr>
          <w:rFonts w:ascii="仿宋_GB2312" w:hAnsi="仿宋_GB2312" w:cs="Arial"/>
          <w:color w:val="000000"/>
          <w:szCs w:val="32"/>
        </w:rPr>
      </w:pPr>
      <w:r>
        <w:rPr>
          <w:rFonts w:cs="Arial" w:ascii="仿宋_GB2312" w:hAnsi="仿宋_GB2312"/>
          <w:color w:val="000000"/>
          <w:szCs w:val="32"/>
        </w:rPr>
      </w:r>
    </w:p>
    <w:p>
      <w:pPr>
        <w:pStyle w:val="Normal"/>
        <w:spacing w:lineRule="exact" w:line="560" w:before="0" w:after="0"/>
        <w:contextualSpacing/>
        <w:jc w:val="center"/>
        <w:rPr>
          <w:rFonts w:ascii="黑体" w:hAnsi="黑体" w:eastAsia="黑体" w:cs="Arial"/>
          <w:color w:val="000000"/>
          <w:szCs w:val="32"/>
        </w:rPr>
      </w:pPr>
      <w:r>
        <w:rPr>
          <w:rFonts w:ascii="黑体" w:hAnsi="黑体" w:cs="Arial" w:hint="eastAsia" w:eastAsia="黑体"/>
          <w:color w:val="000000"/>
          <w:szCs w:val="32"/>
        </w:rPr>
        <w:t>第七章  法律责任</w:t>
      </w:r>
    </w:p>
    <w:p>
      <w:pPr>
        <w:pStyle w:val="Normal"/>
        <w:spacing w:lineRule="exact" w:line="560" w:before="0" w:after="0"/>
        <w:contextualSpacing/>
        <w:jc w:val="center"/>
        <w:rPr>
          <w:rFonts w:ascii="黑体" w:hAnsi="黑体" w:eastAsia="黑体" w:cs="Arial"/>
          <w:color w:val="000000"/>
          <w:szCs w:val="32"/>
        </w:rPr>
      </w:pPr>
      <w:r>
        <w:rPr>
          <w:rFonts w:eastAsia="黑体" w:cs="Arial" w:ascii="黑体" w:hAnsi="黑体"/>
          <w:color w:val="000000"/>
          <w:szCs w:val="32"/>
        </w:rPr>
      </w:r>
    </w:p>
    <w:p>
      <w:pPr>
        <w:pStyle w:val="Normal"/>
        <w:spacing w:lineRule="exact" w:line="560" w:before="0" w:after="0"/>
        <w:ind w:firstLine="601" w:end="0"/>
        <w:contextualSpacing/>
        <w:rPr>
          <w:rFonts w:ascii="仿宋_GB2312" w:hAnsi="仿宋_GB2312" w:cs="Arial"/>
          <w:color w:val="000000"/>
          <w:szCs w:val="32"/>
        </w:rPr>
      </w:pPr>
      <w:r>
        <w:rPr>
          <w:rFonts w:ascii="黑体" w:hAnsi="黑体" w:cs="Arial" w:hint="eastAsia" w:eastAsia="黑体"/>
          <w:color w:val="000000"/>
          <w:szCs w:val="32"/>
        </w:rPr>
        <w:t>第四十五条</w:t>
      </w:r>
      <w:r>
        <w:rPr>
          <w:rFonts w:ascii="仿宋_GB2312" w:hAnsi="仿宋_GB2312" w:cs="Arial" w:hint="eastAsia"/>
          <w:color w:val="000000"/>
          <w:szCs w:val="32"/>
        </w:rPr>
        <w:t xml:space="preserve">  享受政府建设补贴的养老服务单位在规定期间内不再从事养老服务的，由民政部门责令改正；拒不改正的，责令退回政府补贴资金，并处政府补贴资金数额二倍的罚款。</w:t>
      </w:r>
    </w:p>
    <w:p>
      <w:pPr>
        <w:pStyle w:val="Normal"/>
        <w:spacing w:lineRule="exact" w:line="560" w:before="0" w:after="0"/>
        <w:ind w:firstLine="601" w:end="0"/>
        <w:contextualSpacing/>
        <w:rPr>
          <w:rFonts w:ascii="仿宋_GB2312" w:hAnsi="仿宋_GB2312" w:cs="Arial"/>
          <w:color w:val="000000"/>
          <w:szCs w:val="32"/>
        </w:rPr>
      </w:pPr>
      <w:r>
        <w:rPr>
          <w:rFonts w:ascii="黑体" w:hAnsi="黑体" w:cs="Arial" w:hint="eastAsia" w:eastAsia="黑体"/>
          <w:color w:val="000000"/>
          <w:szCs w:val="32"/>
        </w:rPr>
        <w:t>第四十六条</w:t>
      </w:r>
      <w:r>
        <w:rPr>
          <w:rFonts w:ascii="仿宋_GB2312" w:hAnsi="仿宋_GB2312" w:cs="Arial" w:hint="eastAsia"/>
          <w:color w:val="000000"/>
          <w:szCs w:val="32"/>
        </w:rPr>
        <w:t xml:space="preserve">  有关单位或者个人骗取养老服务等补贴的，由民政部门责令退回，并处骗取养老服务补贴数额二倍的罚款；构成犯罪的，依法追究刑事责任。</w:t>
      </w:r>
    </w:p>
    <w:p>
      <w:pPr>
        <w:pStyle w:val="Normal"/>
        <w:spacing w:lineRule="exact" w:line="560" w:before="0" w:after="0"/>
        <w:ind w:firstLine="601" w:end="0"/>
        <w:contextualSpacing/>
        <w:rPr>
          <w:rFonts w:ascii="仿宋_GB2312" w:hAnsi="仿宋_GB2312" w:cs="Arial"/>
          <w:color w:val="000000"/>
          <w:szCs w:val="32"/>
        </w:rPr>
      </w:pPr>
      <w:r>
        <w:rPr>
          <w:rFonts w:cs="Arial" w:ascii="仿宋_GB2312" w:hAnsi="仿宋_GB2312"/>
          <w:color w:val="000000"/>
          <w:szCs w:val="32"/>
        </w:rPr>
      </w:r>
    </w:p>
    <w:p>
      <w:pPr>
        <w:pStyle w:val="Normal"/>
        <w:spacing w:lineRule="exact" w:line="560" w:before="0" w:after="0"/>
        <w:contextualSpacing/>
        <w:jc w:val="center"/>
        <w:rPr>
          <w:rFonts w:ascii="黑体" w:hAnsi="黑体" w:eastAsia="黑体" w:cs="Arial"/>
          <w:color w:val="000000"/>
          <w:szCs w:val="32"/>
        </w:rPr>
      </w:pPr>
      <w:r>
        <w:rPr>
          <w:rFonts w:ascii="黑体" w:hAnsi="黑体" w:cs="Arial" w:hint="eastAsia" w:eastAsia="黑体"/>
          <w:color w:val="000000"/>
          <w:szCs w:val="32"/>
        </w:rPr>
        <w:t>第八章  附 则</w:t>
      </w:r>
    </w:p>
    <w:p>
      <w:pPr>
        <w:pStyle w:val="Normal"/>
        <w:spacing w:lineRule="exact" w:line="560" w:before="0" w:after="0"/>
        <w:contextualSpacing/>
        <w:jc w:val="center"/>
        <w:rPr>
          <w:rFonts w:ascii="黑体" w:hAnsi="黑体" w:eastAsia="黑体" w:cs="Arial"/>
          <w:color w:val="000000"/>
          <w:szCs w:val="32"/>
        </w:rPr>
      </w:pPr>
      <w:r>
        <w:rPr>
          <w:rFonts w:eastAsia="黑体" w:cs="Arial" w:ascii="黑体" w:hAnsi="黑体"/>
          <w:color w:val="000000"/>
          <w:szCs w:val="32"/>
        </w:rPr>
      </w:r>
    </w:p>
    <w:p>
      <w:pPr>
        <w:pStyle w:val="Normal"/>
        <w:spacing w:lineRule="exact" w:line="560" w:before="0" w:after="0"/>
        <w:ind w:firstLine="601" w:end="0"/>
        <w:contextualSpacing/>
        <w:rPr>
          <w:rFonts w:ascii="仿宋_GB2312" w:hAnsi="仿宋_GB2312" w:cs="Arial"/>
          <w:color w:val="000000"/>
          <w:szCs w:val="32"/>
        </w:rPr>
      </w:pPr>
      <w:r>
        <w:rPr>
          <w:rFonts w:ascii="黑体" w:hAnsi="黑体" w:cs="Arial" w:hint="eastAsia" w:eastAsia="黑体"/>
          <w:color w:val="000000"/>
          <w:szCs w:val="32"/>
        </w:rPr>
        <w:t>第四十七条</w:t>
      </w:r>
      <w:r>
        <w:rPr>
          <w:rFonts w:ascii="仿宋_GB2312" w:hAnsi="仿宋_GB2312" w:cs="Arial" w:hint="eastAsia"/>
          <w:color w:val="000000"/>
          <w:szCs w:val="32"/>
        </w:rPr>
        <w:t xml:space="preserve">  本条例所称失能半失能老年人，是指经评估确认的生活不能自理或者不能完全自理的老年人。</w:t>
      </w:r>
    </w:p>
    <w:p>
      <w:pPr>
        <w:pStyle w:val="Normal"/>
        <w:spacing w:lineRule="exact" w:line="560" w:before="0" w:after="0"/>
        <w:ind w:firstLine="601" w:end="0"/>
        <w:contextualSpacing/>
        <w:rPr>
          <w:rFonts w:ascii="仿宋_GB2312" w:hAnsi="仿宋_GB2312" w:cs="Arial"/>
          <w:color w:val="000000"/>
          <w:szCs w:val="32"/>
        </w:rPr>
      </w:pPr>
      <w:r>
        <w:rPr>
          <w:rFonts w:ascii="黑体" w:hAnsi="黑体" w:cs="Arial" w:hint="eastAsia" w:eastAsia="黑体"/>
          <w:color w:val="000000"/>
          <w:szCs w:val="32"/>
        </w:rPr>
        <w:t xml:space="preserve">第四十八条 </w:t>
      </w:r>
      <w:r>
        <w:rPr>
          <w:rFonts w:ascii="仿宋_GB2312" w:hAnsi="仿宋_GB2312" w:cs="Arial" w:hint="eastAsia"/>
          <w:color w:val="000000"/>
          <w:szCs w:val="32"/>
        </w:rPr>
        <w:t xml:space="preserve"> 本条例自</w:t>
      </w:r>
      <w:r>
        <w:rPr>
          <w:rFonts w:cs="Arial" w:hint="eastAsia" w:ascii="仿宋_GB2312" w:hAnsi="仿宋_GB2312"/>
          <w:color w:val="000000"/>
          <w:szCs w:val="32"/>
        </w:rPr>
        <w:t>2015</w:t>
      </w:r>
      <w:r>
        <w:rPr>
          <w:rFonts w:ascii="仿宋_GB2312" w:hAnsi="仿宋_GB2312" w:cs="Arial" w:hint="eastAsia"/>
          <w:color w:val="000000"/>
          <w:szCs w:val="32"/>
        </w:rPr>
        <w:t>年</w:t>
      </w:r>
      <w:r>
        <w:rPr>
          <w:rFonts w:cs="Arial" w:hint="eastAsia" w:ascii="仿宋_GB2312" w:hAnsi="仿宋_GB2312"/>
          <w:color w:val="000000"/>
          <w:szCs w:val="32"/>
        </w:rPr>
        <w:t>2</w:t>
      </w:r>
      <w:r>
        <w:rPr>
          <w:rFonts w:ascii="仿宋_GB2312" w:hAnsi="仿宋_GB2312" w:cs="Arial" w:hint="eastAsia"/>
          <w:color w:val="000000"/>
          <w:szCs w:val="32"/>
        </w:rPr>
        <w:t>月</w:t>
      </w:r>
      <w:r>
        <w:rPr>
          <w:rFonts w:cs="Arial" w:hint="eastAsia" w:ascii="仿宋_GB2312" w:hAnsi="仿宋_GB2312"/>
          <w:color w:val="000000"/>
          <w:szCs w:val="32"/>
        </w:rPr>
        <w:t>1</w:t>
      </w:r>
      <w:r>
        <w:rPr>
          <w:rFonts w:ascii="仿宋_GB2312" w:hAnsi="仿宋_GB2312" w:cs="Arial" w:hint="eastAsia"/>
          <w:color w:val="000000"/>
          <w:szCs w:val="32"/>
        </w:rPr>
        <w:t>日起施行。</w:t>
      </w:r>
    </w:p>
    <w:p>
      <w:pPr>
        <w:pStyle w:val="Normal"/>
        <w:spacing w:lineRule="exact" w:line="560" w:before="0" w:after="0"/>
        <w:ind w:firstLine="601" w:end="0"/>
        <w:contextualSpacing/>
        <w:rPr>
          <w:rFonts w:ascii="宋体" w:hAnsi="宋体" w:eastAsia="宋体" w:cs="Arial"/>
          <w:color w:val="000000"/>
          <w:szCs w:val="32"/>
        </w:rPr>
      </w:pPr>
      <w:r>
        <w:rPr>
          <w:rFonts w:eastAsia="宋体" w:cs="Arial" w:ascii="宋体" w:hAnsi="宋体"/>
          <w:color w:val="000000"/>
          <w:szCs w:val="32"/>
        </w:rPr>
      </w:r>
    </w:p>
    <w:p>
      <w:pPr>
        <w:pStyle w:val="Normal"/>
        <w:spacing w:lineRule="exact" w:line="560" w:before="0" w:after="0"/>
        <w:ind w:firstLine="601" w:end="0"/>
        <w:contextualSpacing/>
        <w:rPr>
          <w:rFonts w:ascii="宋体" w:hAnsi="宋体" w:eastAsia="宋体" w:cs="Arial"/>
          <w:color w:val="000000"/>
          <w:szCs w:val="32"/>
        </w:rPr>
      </w:pPr>
      <w:r>
        <w:rPr>
          <w:rFonts w:eastAsia="宋体" w:cs="Arial" w:ascii="宋体" w:hAnsi="宋体"/>
          <w:color w:val="000000"/>
          <w:szCs w:val="32"/>
        </w:rPr>
      </w:r>
    </w:p>
    <w:p>
      <w:pPr>
        <w:pStyle w:val="Normal"/>
        <w:spacing w:lineRule="exact" w:line="560" w:before="0" w:after="0"/>
        <w:ind w:firstLine="601" w:end="0"/>
        <w:contextualSpacing/>
        <w:rPr>
          <w:rFonts w:ascii="宋体" w:hAnsi="宋体" w:eastAsia="宋体" w:cs="Arial"/>
          <w:color w:val="000000"/>
          <w:szCs w:val="32"/>
        </w:rPr>
      </w:pPr>
      <w:r>
        <w:rPr>
          <w:rFonts w:eastAsia="宋体" w:cs="Arial" w:ascii="宋体" w:hAnsi="宋体"/>
          <w:color w:val="000000"/>
          <w:szCs w:val="32"/>
        </w:rPr>
      </w:r>
    </w:p>
    <w:p>
      <w:pPr>
        <w:pStyle w:val="Normal"/>
        <w:spacing w:lineRule="exact" w:line="560" w:before="0" w:after="0"/>
        <w:contextualSpacing/>
        <w:rPr>
          <w:rFonts w:ascii="仿宋_GB2312" w:hAnsi="仿宋_GB2312" w:eastAsia="宋体" w:cs="Arial"/>
          <w:color w:val="000000"/>
          <w:szCs w:val="32"/>
        </w:rPr>
      </w:pPr>
      <w:r>
        <w:rPr>
          <w:rFonts w:eastAsia="宋体" w:cs="Arial" w:ascii="仿宋_GB2312" w:hAnsi="仿宋_GB2312"/>
          <w:color w:val="000000"/>
          <w:szCs w:val="32"/>
        </w:rPr>
      </w:r>
    </w:p>
    <w:sectPr>
      <w:footerReference w:type="even" r:id="rId2"/>
      <w:footerReference w:type="default" r:id="rId3"/>
      <w:type w:val="nextPage"/>
      <w:pgSz w:w="11906" w:h="16838"/>
      <w:pgMar w:left="1531" w:right="1531" w:gutter="0" w:header="0" w:top="2098" w:footer="1644"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华文宋体">
    <w:charset w:val="86"/>
    <w:family w:val="auto"/>
    <w:pitch w:val="default"/>
  </w:font>
  <w:font w:name="宋体">
    <w:charset w:val="86"/>
    <w:family w:val="auto"/>
    <w:pitch w:val="default"/>
  </w:font>
  <w:font w:name="仿宋_GB2312">
    <w:charset w:val="86"/>
    <w:family w:val="modern"/>
    <w:pitch w:val="default"/>
  </w:font>
  <w:font w:name="楷体_GB2312">
    <w:charset w:val="86"/>
    <w:family w:val="modern"/>
    <w:pitch w:val="default"/>
  </w:font>
  <w:font w:name="文星仿宋">
    <w:altName w:val="宋体"/>
    <w:charset w:val="86"/>
    <w:family w:val="auto"/>
    <w:pitch w:val="default"/>
  </w:font>
  <w:font w:name="黑体">
    <w:charset w:val="86"/>
    <w:family w:val="auto"/>
    <w:pitch w:val="default"/>
  </w:font>
  <w:font w:name="方正小标宋简体">
    <w:charset w:val="86"/>
    <w:family w:val="script"/>
    <w:pitch w:val="default"/>
  </w:font>
  <w:font w:name="Liberation Sans">
    <w:altName w:val="Arial"/>
    <w:charset w:val="01" w:characterSet="utf-8"/>
    <w:family w:val="swiss"/>
    <w:pitch w:val="variable"/>
  </w:font>
  <w:font w:name="Tahoma">
    <w:charset w:val="00" w:characterSet="windows-1252"/>
    <w:family w:val="swiss"/>
    <w:pitch w:val="default"/>
  </w:font>
  <w:font w:name="Arial Unicode MS">
    <w:charset w:val="86"/>
    <w:family w:val="swiss"/>
    <w:pitch w:val="default"/>
  </w:font>
  <w:font w:name="Verdana">
    <w:charset w:val="00" w:characterSet="windows-1252"/>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2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10</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hint="eastAsia"/>
      </w:rPr>
      <w:t>　　　　　　　　　　　　　　　　　　　　　　　　　　　　　　　　　　　　　　　　　</w:t>
    </w:r>
    <w:r>
      <w:rPr>
        <w:sz w:val="28"/>
        <w:szCs w:val="28"/>
      </w:rPr>
      <w:fldChar w:fldCharType="begin"/>
    </w:r>
    <w:r>
      <w:rPr>
        <w:sz w:val="28"/>
        <w:szCs w:val="28"/>
      </w:rPr>
      <w:instrText xml:space="preserve"> PAGE </w:instrText>
    </w:r>
    <w:r>
      <w:rPr>
        <w:sz w:val="28"/>
        <w:szCs w:val="28"/>
      </w:rPr>
      <w:fldChar w:fldCharType="separate"/>
    </w:r>
    <w:r>
      <w:rPr>
        <w:sz w:val="28"/>
        <w:szCs w:val="28"/>
      </w:rPr>
      <w:t>9</w:t>
    </w:r>
    <w:r>
      <w:rPr>
        <w:sz w:val="28"/>
        <w:szCs w:val="28"/>
      </w:rPr>
      <w:fldChar w:fldCharType="end"/>
    </w:r>
  </w:p>
  <w:p>
    <w:pPr>
      <w:pStyle w:val="Footer"/>
      <w:rPr/>
    </w:pPr>
    <w:r>
      <w:rPr/>
    </w:r>
  </w:p>
</w:ftr>
</file>

<file path=word/settings.xml><?xml version="1.0" encoding="utf-8"?>
<w:settings xmlns:w="http://schemas.openxmlformats.org/wordprocessingml/2006/main">
  <w:zoom w:percent="68"/>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Hyperlink">
    <w:name w:val="Hyperlink"/>
    <w:basedOn w:val="Style14"/>
    <w:rPr>
      <w:color w:val="0000FF"/>
      <w:u w:val="single"/>
    </w:rPr>
  </w:style>
  <w:style w:type="character" w:styleId="PageNumber">
    <w:name w:val="page number"/>
    <w:basedOn w:val="Style14"/>
    <w:rPr/>
  </w:style>
  <w:style w:type="character" w:styleId="Strong">
    <w:name w:val="Strong"/>
    <w:basedOn w:val="Style14"/>
    <w:qFormat/>
    <w:rPr>
      <w:b/>
      <w:bCs/>
    </w:rPr>
  </w:style>
  <w:style w:type="character" w:styleId="Emphasis">
    <w:name w:val="Emphasis"/>
    <w:basedOn w:val="Style14"/>
    <w:qFormat/>
    <w:rPr>
      <w:i w:val="false"/>
      <w:iCs w:val="false"/>
      <w:color w:val="CC0000"/>
    </w:rPr>
  </w:style>
  <w:style w:type="character" w:styleId="Char">
    <w:name w:val="批注框文本 Char"/>
    <w:basedOn w:val="Style14"/>
    <w:qFormat/>
    <w:rPr>
      <w:rFonts w:ascii="Times New Roman" w:hAnsi="Times New Roman" w:eastAsia="仿宋_GB2312" w:cs="Times New Roman"/>
      <w:kern w:val="2"/>
      <w:sz w:val="18"/>
      <w:szCs w:val="18"/>
    </w:rPr>
  </w:style>
  <w:style w:type="character" w:styleId="Char1">
    <w:name w:val="纯文本 Char"/>
    <w:basedOn w:val="Style14"/>
    <w:qFormat/>
    <w:rPr>
      <w:rFonts w:ascii="华文宋体" w:hAnsi="华文宋体" w:eastAsia="仿宋_GB2312" w:cs="Courier New"/>
      <w:kern w:val="2"/>
      <w:sz w:val="32"/>
      <w:szCs w:val="21"/>
    </w:rPr>
  </w:style>
  <w:style w:type="character" w:styleId="Char11">
    <w:name w:val="纯文本 Char1"/>
    <w:basedOn w:val="Style14"/>
    <w:qFormat/>
    <w:rPr>
      <w:rFonts w:ascii="宋体" w:hAnsi="宋体" w:cs="Courier New"/>
      <w:kern w:val="2"/>
      <w:sz w:val="21"/>
      <w:szCs w:val="21"/>
    </w:rPr>
  </w:style>
  <w:style w:type="character" w:styleId="2Char">
    <w:name w:val="样式2 Char"/>
    <w:basedOn w:val="Style14"/>
    <w:qFormat/>
    <w:rPr>
      <w:rFonts w:ascii="仿宋_GB2312" w:hAnsi="仿宋_GB2312" w:eastAsia="仿宋_GB2312" w:cs="Times New Roman"/>
      <w:b/>
      <w:bCs/>
      <w:smallCaps/>
      <w:color w:val="000000"/>
      <w:kern w:val="2"/>
      <w:sz w:val="32"/>
      <w:szCs w:val="32"/>
    </w:rPr>
  </w:style>
  <w:style w:type="character" w:styleId="3Char">
    <w:name w:val="样式3 Char"/>
    <w:basedOn w:val="2Char"/>
    <w:qFormat/>
    <w:rPr/>
  </w:style>
  <w:style w:type="character" w:styleId="HTMLCharChar">
    <w:name w:val="HTML 预设格式 Char Char"/>
    <w:basedOn w:val="Style14"/>
    <w:qFormat/>
    <w:rPr>
      <w:rFonts w:ascii="宋体" w:hAnsi="宋体" w:eastAsia="宋体" w:cs="宋体"/>
      <w:sz w:val="24"/>
      <w:szCs w:val="24"/>
      <w:lang w:bidi="ar-SA"/>
    </w:rPr>
  </w:style>
  <w:style w:type="character" w:styleId="Char2">
    <w:name w:val="普通(网站) Char"/>
    <w:basedOn w:val="Style14"/>
    <w:qFormat/>
    <w:rPr>
      <w:rFonts w:ascii="宋体" w:hAnsi="宋体" w:cs="宋体"/>
      <w:sz w:val="24"/>
      <w:szCs w:val="24"/>
    </w:rPr>
  </w:style>
  <w:style w:type="character" w:styleId="2CharChar">
    <w:name w:val="标题2 Char Char"/>
    <w:basedOn w:val="Char2"/>
    <w:qFormat/>
    <w:rPr>
      <w:rFonts w:ascii="楷体_GB2312" w:hAnsi="楷体_GB2312" w:eastAsia="楷体_GB2312"/>
      <w:bCs/>
      <w:smallCaps/>
      <w:color w:val="000000"/>
      <w:sz w:val="32"/>
      <w:szCs w:val="32"/>
    </w:rPr>
  </w:style>
  <w:style w:type="character" w:styleId="1CharChar">
    <w:name w:val="样式1 Char Char"/>
    <w:basedOn w:val="Char1"/>
    <w:qFormat/>
    <w:rPr>
      <w:rFonts w:ascii="楷体_GB2312" w:hAnsi="楷体_GB2312" w:eastAsia="楷体_GB2312" w:cs="宋体"/>
      <w:sz w:val="32"/>
      <w:szCs w:val="32"/>
    </w:rPr>
  </w:style>
  <w:style w:type="character" w:styleId="CharChar">
    <w:name w:val="页脚 Char Char"/>
    <w:basedOn w:val="Style14"/>
    <w:qFormat/>
    <w:rPr>
      <w:rFonts w:eastAsia="仿宋_GB2312"/>
      <w:kern w:val="2"/>
      <w:sz w:val="18"/>
      <w:szCs w:val="18"/>
    </w:rPr>
  </w:style>
  <w:style w:type="character" w:styleId="CharChar4">
    <w:name w:val="Char Char4"/>
    <w:basedOn w:val="Style14"/>
    <w:qFormat/>
    <w:rPr>
      <w:rFonts w:ascii="文星仿宋;宋体" w:hAnsi="文星仿宋;宋体" w:eastAsia="文星仿宋;宋体" w:cs="文星仿宋;宋体" w:hint="eastAsia"/>
      <w:kern w:val="2"/>
      <w:sz w:val="32"/>
      <w:szCs w:val="24"/>
      <w:lang w:bidi="ar-SA"/>
    </w:rPr>
  </w:style>
  <w:style w:type="character" w:styleId="2CharChar1">
    <w:name w:val="样式2 Char Char"/>
    <w:basedOn w:val="Style14"/>
    <w:qFormat/>
    <w:rPr>
      <w:rFonts w:ascii="仿宋_GB2312" w:hAnsi="仿宋_GB2312" w:eastAsia="仿宋_GB2312" w:cs="Times New Roman"/>
      <w:b/>
      <w:bCs/>
      <w:smallCaps/>
      <w:color w:val="000000"/>
      <w:kern w:val="2"/>
      <w:sz w:val="32"/>
      <w:szCs w:val="32"/>
    </w:rPr>
  </w:style>
  <w:style w:type="character" w:styleId="CharChar1">
    <w:name w:val="纯文本 Char Char"/>
    <w:basedOn w:val="Style14"/>
    <w:qFormat/>
    <w:rPr>
      <w:rFonts w:ascii="宋体" w:hAnsi="宋体" w:eastAsia="仿宋_GB2312" w:cs="Courier New"/>
      <w:sz w:val="32"/>
      <w:szCs w:val="32"/>
      <w:lang w:bidi="ar-SA"/>
    </w:rPr>
  </w:style>
  <w:style w:type="character" w:styleId="Char12">
    <w:name w:val="正文文本 Char1"/>
    <w:basedOn w:val="Style14"/>
    <w:qFormat/>
    <w:rPr>
      <w:rFonts w:ascii="Times New Roman" w:hAnsi="Times New Roman" w:eastAsia="文星仿宋;宋体" w:cs="Times New Roman"/>
      <w:kern w:val="2"/>
      <w:sz w:val="32"/>
      <w:szCs w:val="24"/>
    </w:rPr>
  </w:style>
  <w:style w:type="character" w:styleId="3CharChar">
    <w:name w:val="样式3 Char Char"/>
    <w:basedOn w:val="2CharChar1"/>
    <w:qFormat/>
    <w:rPr/>
  </w:style>
  <w:style w:type="character" w:styleId="Char3">
    <w:name w:val="正文文本缩进 Char"/>
    <w:basedOn w:val="Style14"/>
    <w:qFormat/>
    <w:rPr>
      <w:rFonts w:ascii="Times New Roman" w:hAnsi="Times New Roman" w:eastAsia="仿宋_GB2312" w:cs="Times New Roman"/>
      <w:kern w:val="2"/>
      <w:sz w:val="32"/>
      <w:szCs w:val="22"/>
    </w:rPr>
  </w:style>
  <w:style w:type="character" w:styleId="3Char1">
    <w:name w:val="标题3 Char"/>
    <w:basedOn w:val="Char11"/>
    <w:qFormat/>
    <w:rPr>
      <w:rFonts w:ascii="黑体" w:hAnsi="黑体" w:eastAsia="黑体" w:cs="宋体"/>
      <w:sz w:val="32"/>
      <w:szCs w:val="32"/>
    </w:rPr>
  </w:style>
  <w:style w:type="character" w:styleId="2Char1">
    <w:name w:val="正文文本缩进 2 Char"/>
    <w:basedOn w:val="Style14"/>
    <w:qFormat/>
    <w:rPr>
      <w:rFonts w:ascii="Times New Roman" w:hAnsi="Times New Roman" w:eastAsia="华文仿宋" w:cs="Times New Roman"/>
      <w:kern w:val="2"/>
      <w:sz w:val="32"/>
      <w:szCs w:val="32"/>
    </w:rPr>
  </w:style>
  <w:style w:type="character" w:styleId="CharChar7">
    <w:name w:val="Char Char7"/>
    <w:basedOn w:val="Style14"/>
    <w:qFormat/>
    <w:rPr>
      <w:rFonts w:ascii="宋体" w:hAnsi="宋体" w:eastAsia="宋体" w:cs="Courier New" w:hint="eastAsia"/>
      <w:kern w:val="2"/>
      <w:sz w:val="21"/>
      <w:szCs w:val="21"/>
      <w:lang w:bidi="ar-SA"/>
    </w:rPr>
  </w:style>
  <w:style w:type="character" w:styleId="CharChar8">
    <w:name w:val="Char Char8"/>
    <w:basedOn w:val="Style14"/>
    <w:qFormat/>
    <w:rPr>
      <w:rFonts w:ascii="宋体" w:hAnsi="宋体" w:eastAsia="宋体" w:cs="宋体" w:hint="eastAsia"/>
      <w:sz w:val="24"/>
      <w:szCs w:val="24"/>
      <w:lang w:bidi="ar-SA"/>
    </w:rPr>
  </w:style>
  <w:style w:type="character" w:styleId="1Char">
    <w:name w:val="标题1 Char"/>
    <w:basedOn w:val="Char2"/>
    <w:qFormat/>
    <w:rPr>
      <w:rFonts w:ascii="方正小标宋简体" w:hAnsi="方正小标宋简体" w:eastAsia="方正小标宋简体"/>
      <w:bCs/>
      <w:smallCaps/>
      <w:color w:val="000000"/>
      <w:sz w:val="32"/>
      <w:szCs w:val="44"/>
      <w:lang w:bidi="ar-SA"/>
    </w:rPr>
  </w:style>
  <w:style w:type="character" w:styleId="Char4">
    <w:name w:val="正文文本 Char"/>
    <w:basedOn w:val="Style14"/>
    <w:qFormat/>
    <w:rPr>
      <w:rFonts w:ascii="Times New Roman" w:hAnsi="Times New Roman" w:eastAsia="文星仿宋;宋体" w:cs="Times New Roman"/>
      <w:kern w:val="2"/>
      <w:sz w:val="32"/>
      <w:szCs w:val="24"/>
    </w:rPr>
  </w:style>
  <w:style w:type="character" w:styleId="test1">
    <w:name w:val="test1"/>
    <w:basedOn w:val="Style14"/>
    <w:qFormat/>
    <w:rPr>
      <w:sz w:val="25"/>
      <w:szCs w:val="25"/>
    </w:rPr>
  </w:style>
  <w:style w:type="character" w:styleId="3Char2">
    <w:name w:val="正文文本缩进 3 Char"/>
    <w:basedOn w:val="Style14"/>
    <w:qFormat/>
    <w:rPr>
      <w:rFonts w:ascii="Times New Roman" w:hAnsi="Times New Roman" w:eastAsia="仿宋_GB2312" w:cs="Times New Roman"/>
      <w:kern w:val="2"/>
      <w:sz w:val="16"/>
      <w:szCs w:val="16"/>
    </w:rPr>
  </w:style>
  <w:style w:type="character" w:styleId="Char5">
    <w:name w:val="页眉 Char"/>
    <w:basedOn w:val="Style14"/>
    <w:qFormat/>
    <w:rPr>
      <w:rFonts w:ascii="Times New Roman" w:hAnsi="Times New Roman" w:eastAsia="仿宋_GB2312" w:cs="Times New Roman"/>
      <w:kern w:val="2"/>
      <w:sz w:val="18"/>
      <w:szCs w:val="18"/>
    </w:rPr>
  </w:style>
  <w:style w:type="character" w:styleId="CharChar2">
    <w:name w:val="日期 Char Char"/>
    <w:basedOn w:val="Style14"/>
    <w:qFormat/>
    <w:rPr>
      <w:rFonts w:ascii="仿宋_GB2312" w:hAnsi="仿宋_GB2312" w:eastAsia="仿宋_GB2312"/>
      <w:kern w:val="2"/>
      <w:sz w:val="32"/>
      <w:szCs w:val="32"/>
      <w:lang w:bidi="ar-SA"/>
    </w:rPr>
  </w:style>
  <w:style w:type="character" w:styleId="CharChar3">
    <w:name w:val="页眉 Char Char"/>
    <w:basedOn w:val="Style14"/>
    <w:qFormat/>
    <w:rPr>
      <w:kern w:val="2"/>
      <w:sz w:val="18"/>
      <w:szCs w:val="18"/>
    </w:rPr>
  </w:style>
  <w:style w:type="character" w:styleId="3CharChar1">
    <w:name w:val="标题3 Char Char"/>
    <w:basedOn w:val="Char1"/>
    <w:qFormat/>
    <w:rPr>
      <w:rFonts w:ascii="黑体" w:hAnsi="黑体" w:eastAsia="黑体" w:cs="宋体"/>
      <w:sz w:val="32"/>
      <w:szCs w:val="32"/>
    </w:rPr>
  </w:style>
  <w:style w:type="character" w:styleId="CharChar5">
    <w:name w:val="正文文本 Char Char"/>
    <w:basedOn w:val="Style14"/>
    <w:qFormat/>
    <w:rPr>
      <w:rFonts w:eastAsia="仿宋_GB2312"/>
      <w:kern w:val="2"/>
      <w:sz w:val="32"/>
      <w:szCs w:val="24"/>
    </w:rPr>
  </w:style>
  <w:style w:type="character" w:styleId="2Char2">
    <w:name w:val="正文文本 2 Char"/>
    <w:basedOn w:val="Style14"/>
    <w:qFormat/>
    <w:rPr>
      <w:rFonts w:eastAsia="仿宋_GB2312"/>
      <w:kern w:val="2"/>
      <w:sz w:val="32"/>
      <w:szCs w:val="24"/>
      <w:lang w:bidi="ar-SA"/>
    </w:rPr>
  </w:style>
  <w:style w:type="character" w:styleId="CharChar6">
    <w:name w:val="正文文本缩进 Char Char"/>
    <w:basedOn w:val="Style14"/>
    <w:qFormat/>
    <w:rPr>
      <w:rFonts w:ascii="仿宋_GB2312" w:hAnsi="仿宋_GB2312" w:eastAsia="仿宋_GB2312"/>
      <w:kern w:val="2"/>
      <w:sz w:val="32"/>
      <w:szCs w:val="32"/>
    </w:rPr>
  </w:style>
  <w:style w:type="character" w:styleId="3CharChar2">
    <w:name w:val="正文文本缩进 3 Char Char"/>
    <w:basedOn w:val="Style14"/>
    <w:qFormat/>
    <w:rPr>
      <w:rFonts w:eastAsia="仿宋_GB2312"/>
      <w:kern w:val="2"/>
      <w:sz w:val="32"/>
      <w:szCs w:val="24"/>
    </w:rPr>
  </w:style>
  <w:style w:type="character" w:styleId="Char6">
    <w:name w:val="页脚 Char"/>
    <w:basedOn w:val="Style14"/>
    <w:qFormat/>
    <w:rPr>
      <w:rFonts w:ascii="宋体" w:hAnsi="宋体" w:cs="宋体"/>
      <w:sz w:val="18"/>
      <w:szCs w:val="18"/>
    </w:rPr>
  </w:style>
  <w:style w:type="character" w:styleId="1CharChar1">
    <w:name w:val="标题1 Char Char"/>
    <w:basedOn w:val="Char2"/>
    <w:qFormat/>
    <w:rPr>
      <w:rFonts w:ascii="方正小标宋简体" w:hAnsi="方正小标宋简体" w:eastAsia="方正小标宋简体"/>
      <w:bCs/>
      <w:smallCaps/>
      <w:color w:val="000000"/>
      <w:sz w:val="32"/>
      <w:szCs w:val="44"/>
      <w:lang w:bidi="ar-SA"/>
    </w:rPr>
  </w:style>
  <w:style w:type="character" w:styleId="2CharChar2">
    <w:name w:val="正文文本缩进 2 Char Char"/>
    <w:basedOn w:val="Style14"/>
    <w:qFormat/>
    <w:rPr>
      <w:rFonts w:eastAsia="仿宋_GB2312"/>
      <w:b/>
      <w:bCs/>
      <w:kern w:val="2"/>
      <w:sz w:val="32"/>
      <w:szCs w:val="24"/>
    </w:rPr>
  </w:style>
  <w:style w:type="character" w:styleId="Char13">
    <w:name w:val="页脚 Char1"/>
    <w:basedOn w:val="Style14"/>
    <w:qFormat/>
    <w:rPr>
      <w:rFonts w:ascii="宋体" w:hAnsi="宋体" w:cs="宋体"/>
      <w:sz w:val="18"/>
      <w:szCs w:val="18"/>
    </w:rPr>
  </w:style>
  <w:style w:type="character" w:styleId="2Char3">
    <w:name w:val="标题2 Char"/>
    <w:basedOn w:val="Char2"/>
    <w:qFormat/>
    <w:rPr>
      <w:rFonts w:ascii="楷体_GB2312" w:hAnsi="楷体_GB2312" w:eastAsia="楷体_GB2312"/>
      <w:bCs/>
      <w:smallCaps/>
      <w:color w:val="000000"/>
      <w:sz w:val="32"/>
      <w:szCs w:val="32"/>
    </w:rPr>
  </w:style>
  <w:style w:type="character" w:styleId="1Char1">
    <w:name w:val="样式1 Char"/>
    <w:basedOn w:val="Char11"/>
    <w:qFormat/>
    <w:rPr>
      <w:rFonts w:ascii="楷体_GB2312" w:hAnsi="楷体_GB2312" w:eastAsia="楷体_GB2312" w:cs="宋体"/>
      <w:sz w:val="32"/>
      <w:szCs w:val="32"/>
    </w:rPr>
  </w:style>
  <w:style w:type="character" w:styleId="3Char11">
    <w:name w:val="正文文本缩进 3 Char1"/>
    <w:basedOn w:val="Style14"/>
    <w:qFormat/>
    <w:rPr>
      <w:rFonts w:ascii="Times New Roman" w:hAnsi="Times New Roman" w:eastAsia="仿宋_GB2312" w:cs="Times New Roman"/>
      <w:kern w:val="2"/>
      <w:sz w:val="16"/>
      <w:szCs w:val="16"/>
    </w:rPr>
  </w:style>
  <w:style w:type="character" w:styleId="2Char11">
    <w:name w:val="正文文本缩进 2 Char1"/>
    <w:basedOn w:val="Style14"/>
    <w:qFormat/>
    <w:rPr>
      <w:rFonts w:ascii="Times New Roman" w:hAnsi="Times New Roman" w:eastAsia="华文仿宋" w:cs="Times New Roman"/>
      <w:kern w:val="2"/>
      <w:sz w:val="32"/>
      <w:szCs w:val="32"/>
    </w:rPr>
  </w:style>
  <w:style w:type="character" w:styleId="Char14">
    <w:name w:val="正文文本缩进 Char1"/>
    <w:basedOn w:val="Style14"/>
    <w:qFormat/>
    <w:rPr>
      <w:rFonts w:ascii="Times New Roman" w:hAnsi="Times New Roman" w:eastAsia="仿宋_GB2312" w:cs="Times New Roman"/>
      <w:kern w:val="2"/>
      <w:sz w:val="32"/>
      <w:szCs w:val="22"/>
    </w:rPr>
  </w:style>
  <w:style w:type="character" w:styleId="Char7">
    <w:name w:val="日期 Char"/>
    <w:basedOn w:val="Style14"/>
    <w:qFormat/>
    <w:rPr>
      <w:rFonts w:ascii="仿宋_GB2312" w:hAnsi="仿宋_GB2312" w:eastAsia="仿宋_GB2312"/>
      <w:kern w:val="2"/>
      <w:sz w:val="32"/>
      <w:szCs w:val="32"/>
      <w:lang w:bidi="ar-SA"/>
    </w:rPr>
  </w:style>
  <w:style w:type="character" w:styleId="HTMLChar">
    <w:name w:val="HTML 预设格式 Char"/>
    <w:basedOn w:val="Style14"/>
    <w:qFormat/>
    <w:rPr>
      <w:rFonts w:ascii="宋体" w:hAnsi="宋体" w:eastAsia="宋体" w:cs="宋体"/>
      <w:sz w:val="24"/>
      <w:szCs w:val="24"/>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Style15">
    <w:name w:val="普通(网站)"/>
    <w:basedOn w:val="Normal"/>
    <w:qFormat/>
    <w:pPr>
      <w:widowControl/>
      <w:spacing w:before="280" w:after="280"/>
      <w:jc w:val="start"/>
    </w:pPr>
    <w:rPr>
      <w:rFonts w:ascii="宋体" w:hAnsi="宋体" w:cs="宋体"/>
      <w:sz w:val="24"/>
      <w:szCs w:val="24"/>
    </w:rPr>
  </w:style>
  <w:style w:type="paragraph" w:styleId="2">
    <w:name w:val="标题2"/>
    <w:basedOn w:val="Style15"/>
    <w:qFormat/>
    <w:pPr>
      <w:widowControl w:val="false"/>
      <w:snapToGrid w:val="false"/>
      <w:jc w:val="center"/>
    </w:pPr>
    <w:rPr>
      <w:rFonts w:ascii="楷体_GB2312" w:hAnsi="楷体_GB2312" w:eastAsia="楷体_GB2312"/>
      <w:bCs/>
      <w:smallCaps/>
      <w:color w:val="000000"/>
      <w:sz w:val="32"/>
      <w:szCs w:val="3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21">
    <w:name w:val="正文文本缩进 2"/>
    <w:basedOn w:val="Normal"/>
    <w:qFormat/>
    <w:pPr>
      <w:spacing w:lineRule="auto" w:line="480" w:before="0" w:after="120"/>
      <w:ind w:firstLineChars="0" w:firstLine="0" w:startChars="200" w:endChars="0" w:end="0"/>
    </w:pPr>
    <w:rPr>
      <w:rFonts w:eastAsia="华文仿宋"/>
      <w:szCs w:val="32"/>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6">
    <w:name w:val="日期"/>
    <w:basedOn w:val="Normal"/>
    <w:next w:val="Normal"/>
    <w:qFormat/>
    <w:pPr>
      <w:ind w:firstLineChars="0" w:firstLine="0" w:startChars="2500" w:endChars="0" w:end="0"/>
    </w:pPr>
    <w:rPr>
      <w:rFonts w:ascii="仿宋_GB2312" w:hAnsi="仿宋_GB2312"/>
      <w:szCs w:val="32"/>
    </w:rPr>
  </w:style>
  <w:style w:type="paragraph" w:styleId="Style17">
    <w:name w:val="批注框文本"/>
    <w:basedOn w:val="Normal"/>
    <w:qFormat/>
    <w:pPr/>
    <w:rPr>
      <w:sz w:val="18"/>
      <w:szCs w:val="18"/>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Style18">
    <w:name w:val="纯文本"/>
    <w:basedOn w:val="Normal"/>
    <w:qFormat/>
    <w:pPr/>
    <w:rPr>
      <w:rFonts w:ascii="华文宋体" w:hAnsi="华文宋体" w:cs="Courier New"/>
      <w:szCs w:val="21"/>
    </w:rPr>
  </w:style>
  <w:style w:type="paragraph" w:styleId="22">
    <w:name w:val="正文文本 2"/>
    <w:basedOn w:val="Normal"/>
    <w:qFormat/>
    <w:pPr>
      <w:spacing w:lineRule="auto" w:line="480" w:before="0" w:after="120"/>
    </w:pPr>
    <w:rPr>
      <w:szCs w:val="24"/>
    </w:rPr>
  </w:style>
  <w:style w:type="paragraph" w:styleId="BodyTextIndent">
    <w:name w:val="Body Text Indent"/>
    <w:basedOn w:val="Normal"/>
    <w:pPr>
      <w:spacing w:before="0" w:after="120"/>
      <w:ind w:firstLineChars="0" w:firstLine="0" w:startChars="200" w:endChars="0" w:end="0"/>
    </w:pPr>
    <w:rPr/>
  </w:style>
  <w:style w:type="paragraph" w:styleId="Style19">
    <w:name w:val="文档结构图"/>
    <w:basedOn w:val="Normal"/>
    <w:qFormat/>
    <w:pPr>
      <w:shd w:fill="000080" w:val="clear"/>
    </w:pPr>
    <w:rPr>
      <w:szCs w:val="24"/>
    </w:rPr>
  </w:style>
  <w:style w:type="paragraph" w:styleId="Char8">
    <w:name w:val="Char"/>
    <w:basedOn w:val="Normal"/>
    <w:qFormat/>
    <w:pPr/>
    <w:rPr>
      <w:rFonts w:ascii="Tahoma" w:hAnsi="Tahoma" w:eastAsia="宋体" w:cs="Tahoma"/>
      <w:sz w:val="24"/>
      <w:szCs w:val="32"/>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1">
    <w:name w:val="标题1"/>
    <w:basedOn w:val="Style15"/>
    <w:qFormat/>
    <w:pPr>
      <w:spacing w:lineRule="exact" w:line="600"/>
      <w:jc w:val="center"/>
    </w:pPr>
    <w:rPr>
      <w:rFonts w:ascii="方正小标宋简体" w:hAnsi="方正小标宋简体" w:eastAsia="方正小标宋简体"/>
      <w:bCs/>
      <w:smallCaps/>
      <w:color w:val="000000"/>
      <w:sz w:val="32"/>
      <w:szCs w:val="44"/>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23">
    <w:name w:val="样式2"/>
    <w:basedOn w:val="Normal"/>
    <w:qFormat/>
    <w:pPr/>
    <w:rPr>
      <w:rFonts w:ascii="仿宋_GB2312" w:hAnsi="仿宋_GB2312"/>
      <w:b/>
      <w:bCs/>
      <w:smallCaps/>
      <w:color w:val="000000"/>
      <w:szCs w:val="32"/>
    </w:rPr>
  </w:style>
  <w:style w:type="paragraph" w:styleId="31">
    <w:name w:val="样式3"/>
    <w:basedOn w:val="23"/>
    <w:qFormat/>
    <w:pPr/>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Char21">
    <w:name w:val="Char2"/>
    <w:basedOn w:val="Normal"/>
    <w:qFormat/>
    <w:pPr/>
    <w:rPr>
      <w:rFonts w:ascii="Tahoma" w:hAnsi="Tahoma" w:eastAsia="楷体_GB2312" w:cs="Tahoma"/>
      <w:sz w:val="24"/>
      <w:szCs w:val="20"/>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11">
    <w:name w:val="样式1"/>
    <w:basedOn w:val="Style18"/>
    <w:qFormat/>
    <w:pPr>
      <w:ind w:firstLineChars="200" w:startChars="0" w:start="0" w:endChars="0" w:end="0"/>
    </w:pPr>
    <w:rPr>
      <w:rFonts w:ascii="楷体_GB2312" w:hAnsi="楷体_GB2312" w:eastAsia="楷体_GB2312" w:cs="宋体"/>
      <w:szCs w:val="32"/>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32">
    <w:name w:val="标题3"/>
    <w:basedOn w:val="Style18"/>
    <w:qFormat/>
    <w:pPr>
      <w:ind w:firstLineChars="200" w:startChars="0" w:start="0" w:endChars="0" w:end="0"/>
      <w:jc w:val="center"/>
    </w:pPr>
    <w:rPr>
      <w:rFonts w:ascii="黑体" w:hAnsi="黑体" w:eastAsia="黑体" w:cs="宋体"/>
      <w:szCs w:val="32"/>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Style101">
    <w:name w:val="_Style 10"/>
    <w:basedOn w:val="Normal"/>
    <w:next w:val="Style15"/>
    <w:qFormat/>
    <w:pPr>
      <w:widowControl/>
      <w:spacing w:before="280" w:after="280"/>
      <w:jc w:val="start"/>
    </w:pPr>
    <w:rPr>
      <w:rFonts w:ascii="Arial Unicode MS" w:hAnsi="Arial Unicode MS" w:eastAsia="Arial Unicode MS" w:cs="Arial Unicode MS"/>
      <w:kern w:val="0"/>
      <w:sz w:val="24"/>
      <w:szCs w:val="24"/>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 w:type="paragraph" w:styleId="Style20">
    <w:name w:val="列出段落"/>
    <w:basedOn w:val="Normal"/>
    <w:qFormat/>
    <w:pPr>
      <w:ind w:firstLineChars="200" w:startChars="0" w:start="0" w:endChars="0" w:end="0"/>
    </w:pPr>
    <w:rPr>
      <w:rFonts w:eastAsia="宋体"/>
      <w:sz w:val="21"/>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2016-09-14T11:09:00Z</dcterms:created>
  <dc:creator>USER</dc:creator>
  <dc:description/>
  <dc:language>en-US</dc:language>
  <cp:lastModifiedBy>tjrd</cp:lastModifiedBy>
  <cp:lastPrinted>2016-09-14T14:39:00Z</cp:lastPrinted>
  <dcterms:modified xsi:type="dcterms:W3CDTF">2016-12-29T10:43:50Z</dcterms:modified>
  <cp:revision>243</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