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60" w:before="0" w:after="0"/>
        <w:ind w:firstLine="285" w:end="0"/>
        <w:contextualSpacing/>
        <w:jc w:val="center"/>
        <w:rPr>
          <w:rFonts w:ascii="方正小标宋简体" w:hAnsi="方正小标宋简体" w:eastAsia="方正小标宋简体" w:cs="Arial"/>
          <w:bCs/>
          <w:sz w:val="44"/>
          <w:szCs w:val="44"/>
        </w:rPr>
      </w:pPr>
      <w:r>
        <w:rPr>
          <w:rFonts w:eastAsia="方正小标宋简体" w:cs="Arial" w:ascii="方正小标宋简体" w:hAnsi="方正小标宋简体"/>
          <w:bCs/>
          <w:sz w:val="44"/>
          <w:szCs w:val="44"/>
        </w:rPr>
      </w:r>
    </w:p>
    <w:p>
      <w:pPr>
        <w:pStyle w:val="Style18"/>
        <w:snapToGrid w:val="false"/>
        <w:spacing w:lineRule="exact" w:line="560" w:before="0" w:after="0"/>
        <w:contextualSpacing/>
        <w:jc w:val="center"/>
        <w:rPr>
          <w:rFonts w:ascii="方正小标宋简体" w:hAnsi="方正小标宋简体" w:eastAsia="方正小标宋简体" w:cs="Adobe 仿宋 Std R;仿宋_GB2312"/>
          <w:bCs/>
          <w:smallCaps/>
          <w:sz w:val="44"/>
          <w:szCs w:val="44"/>
        </w:rPr>
      </w:pPr>
      <w:r>
        <w:rPr>
          <w:rFonts w:eastAsia="方正小标宋简体" w:cs="Adobe 仿宋 Std R;仿宋_GB2312" w:ascii="方正小标宋简体" w:hAnsi="方正小标宋简体"/>
          <w:bCs/>
          <w:smallCaps/>
          <w:sz w:val="44"/>
          <w:szCs w:val="44"/>
        </w:rPr>
      </w:r>
    </w:p>
    <w:p>
      <w:pPr>
        <w:pStyle w:val="Style18"/>
        <w:snapToGrid w:val="false"/>
        <w:spacing w:lineRule="exact" w:line="560" w:before="0" w:after="0"/>
        <w:contextualSpacing/>
        <w:jc w:val="center"/>
        <w:rPr>
          <w:rFonts w:eastAsia="宋体"/>
          <w:bCs/>
          <w:smallCaps/>
          <w:sz w:val="44"/>
          <w:szCs w:val="44"/>
        </w:rPr>
      </w:pPr>
      <w:r>
        <w:rPr>
          <w:rFonts w:hint="eastAsia" w:eastAsia="宋体"/>
          <w:bCs/>
          <w:smallCaps/>
          <w:sz w:val="44"/>
          <w:szCs w:val="44"/>
        </w:rPr>
        <w:t>天津市地名管理条例</w:t>
      </w:r>
    </w:p>
    <w:p>
      <w:pPr>
        <w:pStyle w:val="Style18"/>
        <w:snapToGrid w:val="false"/>
        <w:spacing w:lineRule="exact" w:line="560" w:before="0" w:after="0"/>
        <w:contextualSpacing/>
        <w:jc w:val="center"/>
        <w:rPr>
          <w:rFonts w:ascii="方正小标宋简体" w:hAnsi="方正小标宋简体" w:eastAsia="方正小标宋简体" w:cs="Adobe 仿宋 Std R;仿宋_GB2312"/>
          <w:bCs/>
          <w:smallCaps/>
          <w:sz w:val="44"/>
          <w:szCs w:val="44"/>
        </w:rPr>
      </w:pPr>
      <w:r>
        <w:rPr>
          <w:rFonts w:eastAsia="方正小标宋简体" w:cs="Adobe 仿宋 Std R;仿宋_GB2312" w:ascii="方正小标宋简体" w:hAnsi="方正小标宋简体"/>
          <w:bCs/>
          <w:smallCaps/>
          <w:sz w:val="44"/>
          <w:szCs w:val="44"/>
        </w:rPr>
      </w:r>
    </w:p>
    <w:p>
      <w:pPr>
        <w:pStyle w:val="Style18"/>
        <w:snapToGrid w:val="false"/>
        <w:spacing w:lineRule="exact" w:line="560" w:before="0" w:after="0"/>
        <w:ind w:firstLineChars="0" w:firstLine="0" w:startChars="200" w:endChars="200"/>
        <w:contextualSpacing/>
        <w:jc w:val="both"/>
        <w:rPr>
          <w:rFonts w:ascii="楷体_GB2312" w:hAnsi="楷体_GB2312" w:eastAsia="楷体_GB2312" w:cs="Adobe 仿宋 Std R;仿宋_GB2312"/>
          <w:sz w:val="32"/>
          <w:szCs w:val="32"/>
        </w:rPr>
      </w:pPr>
      <w:r>
        <w:rPr>
          <w:rFonts w:ascii="楷体_GB2312" w:hAnsi="楷体_GB2312" w:cs="Adobe 仿宋 Std R;仿宋_GB2312" w:hint="eastAsia" w:eastAsia="楷体_GB2312"/>
          <w:bCs/>
          <w:smallCaps/>
          <w:sz w:val="32"/>
          <w:szCs w:val="32"/>
        </w:rPr>
        <w:t>（</w:t>
      </w:r>
      <w:r>
        <w:rPr>
          <w:rFonts w:eastAsia="楷体_GB2312" w:cs="Adobe 仿宋 Std R;仿宋_GB2312" w:hint="eastAsia" w:ascii="楷体_GB2312" w:hAnsi="楷体_GB2312"/>
          <w:bCs/>
          <w:smallCaps/>
          <w:sz w:val="32"/>
          <w:szCs w:val="32"/>
        </w:rPr>
        <w:t>2000</w:t>
      </w:r>
      <w:r>
        <w:rPr>
          <w:rFonts w:ascii="楷体_GB2312" w:hAnsi="楷体_GB2312" w:cs="Adobe 仿宋 Std R;仿宋_GB2312" w:hint="eastAsia" w:eastAsia="楷体_GB2312"/>
          <w:bCs/>
          <w:smallCaps/>
          <w:sz w:val="32"/>
          <w:szCs w:val="32"/>
        </w:rPr>
        <w:t>年</w:t>
      </w:r>
      <w:r>
        <w:rPr>
          <w:rFonts w:eastAsia="楷体_GB2312" w:cs="Adobe 仿宋 Std R;仿宋_GB2312" w:hint="eastAsia" w:ascii="楷体_GB2312" w:hAnsi="楷体_GB2312"/>
          <w:bCs/>
          <w:smallCaps/>
          <w:sz w:val="32"/>
          <w:szCs w:val="32"/>
        </w:rPr>
        <w:t>4</w:t>
      </w:r>
      <w:r>
        <w:rPr>
          <w:rFonts w:ascii="楷体_GB2312" w:hAnsi="楷体_GB2312" w:cs="Adobe 仿宋 Std R;仿宋_GB2312" w:hint="eastAsia" w:eastAsia="楷体_GB2312"/>
          <w:bCs/>
          <w:smallCaps/>
          <w:sz w:val="32"/>
          <w:szCs w:val="32"/>
        </w:rPr>
        <w:t>月</w:t>
      </w:r>
      <w:r>
        <w:rPr>
          <w:rFonts w:eastAsia="楷体_GB2312" w:cs="Adobe 仿宋 Std R;仿宋_GB2312" w:hint="eastAsia" w:ascii="楷体_GB2312" w:hAnsi="楷体_GB2312"/>
          <w:bCs/>
          <w:smallCaps/>
          <w:sz w:val="32"/>
          <w:szCs w:val="32"/>
        </w:rPr>
        <w:t>25</w:t>
      </w:r>
      <w:r>
        <w:rPr>
          <w:rFonts w:ascii="楷体_GB2312" w:hAnsi="楷体_GB2312" w:cs="Adobe 仿宋 Std R;仿宋_GB2312" w:hint="eastAsia" w:eastAsia="楷体_GB2312"/>
          <w:bCs/>
          <w:smallCaps/>
          <w:sz w:val="32"/>
          <w:szCs w:val="32"/>
        </w:rPr>
        <w:t>日天津市第十三届人民代表大会常务委员会第十六次会议通过　根据</w:t>
      </w:r>
      <w:r>
        <w:rPr>
          <w:rFonts w:eastAsia="楷体_GB2312" w:cs="Adobe 仿宋 Std R;仿宋_GB2312" w:hint="eastAsia" w:ascii="楷体_GB2312" w:hAnsi="楷体_GB2312"/>
          <w:bCs/>
          <w:smallCaps/>
          <w:sz w:val="32"/>
          <w:szCs w:val="32"/>
        </w:rPr>
        <w:t>2004</w:t>
      </w:r>
      <w:r>
        <w:rPr>
          <w:rFonts w:ascii="楷体_GB2312" w:hAnsi="楷体_GB2312" w:cs="Adobe 仿宋 Std R;仿宋_GB2312" w:hint="eastAsia" w:eastAsia="楷体_GB2312"/>
          <w:bCs/>
          <w:smallCaps/>
          <w:sz w:val="32"/>
          <w:szCs w:val="32"/>
        </w:rPr>
        <w:t>年</w:t>
      </w:r>
      <w:r>
        <w:rPr>
          <w:rFonts w:eastAsia="楷体_GB2312" w:cs="Adobe 仿宋 Std R;仿宋_GB2312" w:hint="eastAsia" w:ascii="楷体_GB2312" w:hAnsi="楷体_GB2312"/>
          <w:bCs/>
          <w:smallCaps/>
          <w:sz w:val="32"/>
          <w:szCs w:val="32"/>
        </w:rPr>
        <w:t>11</w:t>
      </w:r>
      <w:r>
        <w:rPr>
          <w:rFonts w:ascii="楷体_GB2312" w:hAnsi="楷体_GB2312" w:cs="Adobe 仿宋 Std R;仿宋_GB2312" w:hint="eastAsia" w:eastAsia="楷体_GB2312"/>
          <w:bCs/>
          <w:smallCaps/>
          <w:sz w:val="32"/>
          <w:szCs w:val="32"/>
        </w:rPr>
        <w:t>月</w:t>
      </w:r>
      <w:r>
        <w:rPr>
          <w:rFonts w:eastAsia="楷体_GB2312" w:cs="Adobe 仿宋 Std R;仿宋_GB2312" w:hint="eastAsia" w:ascii="楷体_GB2312" w:hAnsi="楷体_GB2312"/>
          <w:bCs/>
          <w:smallCaps/>
          <w:sz w:val="32"/>
          <w:szCs w:val="32"/>
        </w:rPr>
        <w:t>12</w:t>
      </w:r>
      <w:r>
        <w:rPr>
          <w:rFonts w:ascii="楷体_GB2312" w:hAnsi="楷体_GB2312" w:cs="Adobe 仿宋 Std R;仿宋_GB2312" w:hint="eastAsia" w:eastAsia="楷体_GB2312"/>
          <w:bCs/>
          <w:smallCaps/>
          <w:sz w:val="32"/>
          <w:szCs w:val="32"/>
        </w:rPr>
        <w:t>日天津市第十四届人民代表大会常务委员会第十五次会议《关于修改〈天津市地名管理条例〉的决定》修正）</w:t>
      </w:r>
    </w:p>
    <w:p>
      <w:pPr>
        <w:pStyle w:val="Style19"/>
        <w:snapToGrid w:val="false"/>
        <w:spacing w:lineRule="exact" w:line="560" w:before="0" w:after="0"/>
        <w:contextualSpacing/>
        <w:jc w:val="center"/>
        <w:rPr>
          <w:rFonts w:ascii="Adobe 仿宋 Std R;仿宋_GB2312" w:hAnsi="Adobe 仿宋 Std R;仿宋_GB2312" w:eastAsia="Adobe 仿宋 Std R;仿宋_GB2312" w:cs="宋体"/>
          <w:sz w:val="32"/>
          <w:szCs w:val="32"/>
        </w:rPr>
      </w:pPr>
      <w:r>
        <w:rPr>
          <w:rFonts w:eastAsia="Adobe 仿宋 Std R;仿宋_GB2312" w:cs="宋体" w:ascii="Adobe 仿宋 Std R;仿宋_GB2312" w:hAnsi="Adobe 仿宋 Std R;仿宋_GB2312"/>
          <w:sz w:val="32"/>
          <w:szCs w:val="32"/>
        </w:rPr>
      </w:r>
    </w:p>
    <w:p>
      <w:pPr>
        <w:pStyle w:val="Style19"/>
        <w:snapToGrid w:val="false"/>
        <w:spacing w:lineRule="exact" w:line="560" w:before="0" w:after="0"/>
        <w:contextualSpacing/>
        <w:jc w:val="center"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目  录</w:t>
      </w:r>
    </w:p>
    <w:p>
      <w:pPr>
        <w:pStyle w:val="Style19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第一章  总则</w:t>
      </w:r>
    </w:p>
    <w:p>
      <w:pPr>
        <w:pStyle w:val="Style19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第二章  地名的命名与更名</w:t>
      </w:r>
    </w:p>
    <w:p>
      <w:pPr>
        <w:pStyle w:val="Style19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第三章  标准地名的公布与使用</w:t>
      </w:r>
    </w:p>
    <w:p>
      <w:pPr>
        <w:pStyle w:val="Style19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第四章  地名标志的设制与管理</w:t>
      </w:r>
    </w:p>
    <w:p>
      <w:pPr>
        <w:pStyle w:val="Style19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第五章  法律责任</w:t>
      </w:r>
    </w:p>
    <w:p>
      <w:pPr>
        <w:pStyle w:val="Style19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第六章  附则</w:t>
      </w:r>
    </w:p>
    <w:p>
      <w:pPr>
        <w:pStyle w:val="Style19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宋体"/>
          <w:szCs w:val="32"/>
        </w:rPr>
      </w:pPr>
      <w:r>
        <w:rPr>
          <w:rFonts w:eastAsia="Adobe 仿宋 Std R;仿宋_GB2312" w:cs="宋体" w:ascii="Adobe 仿宋 Std R;仿宋_GB2312" w:hAnsi="Adobe 仿宋 Std R;仿宋_GB2312"/>
          <w:szCs w:val="32"/>
        </w:rPr>
      </w:r>
    </w:p>
    <w:p>
      <w:pPr>
        <w:pStyle w:val="Normal"/>
        <w:snapToGrid w:val="false"/>
        <w:spacing w:lineRule="exact" w:line="560" w:before="0" w:after="0"/>
        <w:ind w:firstLineChars="0" w:firstLine="0" w:startChars="200" w:endChars="20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szCs w:val="32"/>
        </w:rPr>
      </w:r>
    </w:p>
    <w:p>
      <w:pPr>
        <w:pStyle w:val="zhang"/>
        <w:snapToGrid w:val="false"/>
        <w:spacing w:lineRule="exact" w:line="560" w:before="0" w:after="0"/>
        <w:contextualSpacing/>
        <w:jc w:val="center"/>
        <w:rPr>
          <w:rFonts w:ascii="黑体" w:hAnsi="黑体" w:eastAsia="黑体" w:cs="Adobe 仿宋 Std R;仿宋_GB2312"/>
          <w:b w:val="false"/>
          <w:color w:val="000000"/>
          <w:sz w:val="32"/>
          <w:szCs w:val="32"/>
        </w:rPr>
      </w:pPr>
      <w:r>
        <w:rPr>
          <w:rFonts w:ascii="黑体" w:hAnsi="黑体" w:cs="Adobe 仿宋 Std R;仿宋_GB2312" w:hint="eastAsia" w:eastAsia="黑体"/>
          <w:b w:val="false"/>
          <w:color w:val="000000"/>
          <w:sz w:val="32"/>
          <w:szCs w:val="32"/>
        </w:rPr>
        <w:t>第一章　总则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color w:val="000000"/>
          <w:sz w:val="3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b w:val="false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第一条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为了加强本市地名管理，实现地名标准化，适应经济和社会发展以及国内国际交往的需要，方便人民生活，根据国家有关法律、法规，结合本市实际情况，制定本条例。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本条例适用于本市所辖区域内标准地名的命名、更名、公布、使用、标志设置管理，以及相关的管理工作。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本条例所称地名包括：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（一）市、区、县、乡、镇的行政区域名称以及区人民政府街道办事处所辖区域的名称；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（二）山、河、湖、洼淀、海湾、滩涂、岛屿等自然地理实体名称；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（三）城镇住宅、街道里巷、村镇等居民地名称；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（四）公路、道路、桥梁等名称；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（五）名胜古迹、纪念地、游览地、文化体育场所等名称；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（六）楼、院门号；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（七）具有地名意义的机场、铁路、港口、码头和建筑物、构筑物等名称。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第四条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市地名主管部门在市人民政府领导下，负责全市地名管理工作。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区、县地名主管部门，天津经济技术开发区、天津港保税区、天津新技术产业园区地名主管部门（以下统称区、县地名主管部门），依照本条例规定负责本区域的地名管理工作。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区、县地名主管部门业务上受市地名主管部门领导。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第五条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区人民政府街道办事处、乡镇人民政府，协助区、县地名主管部门监督检查本辖区内的地名工作。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第六条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地名管理应当从本市地名的历史和现状出发，保持地名的稳定，逐步实现地名标准化。</w:t>
      </w:r>
    </w:p>
    <w:p>
      <w:pPr>
        <w:pStyle w:val="Normal"/>
        <w:snapToGrid w:val="false"/>
        <w:spacing w:lineRule="exact" w:line="560" w:before="0" w:after="0"/>
        <w:ind w:firstLine="540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黑体" w:hAnsi="黑体" w:cs="宋体" w:hint="eastAsia" w:eastAsia="黑体"/>
          <w:bCs/>
          <w:smallCaps/>
          <w:kern w:val="0"/>
          <w:szCs w:val="32"/>
        </w:rPr>
        <w:t>第七条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任何单位和个人都有遵守地名管理法规的义务，并有权对违反地名管理法规的行为进行检举。</w:t>
      </w:r>
    </w:p>
    <w:p>
      <w:pPr>
        <w:pStyle w:val="Normal"/>
        <w:snapToGrid w:val="false"/>
        <w:spacing w:lineRule="exact" w:line="560" w:before="0" w:after="0"/>
        <w:ind w:firstLine="540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cs="Adobe 仿宋 Std R;仿宋_GB2312" w:ascii="仿宋_GB2312" w:hAnsi="仿宋_GB2312"/>
          <w:szCs w:val="32"/>
        </w:rPr>
      </w:r>
    </w:p>
    <w:p>
      <w:pPr>
        <w:pStyle w:val="zhang"/>
        <w:snapToGrid w:val="false"/>
        <w:spacing w:lineRule="exact" w:line="560" w:before="0" w:after="0"/>
        <w:contextualSpacing/>
        <w:jc w:val="center"/>
        <w:rPr>
          <w:rFonts w:ascii="黑体" w:hAnsi="黑体" w:eastAsia="黑体" w:cs="Adobe 仿宋 Std R;仿宋_GB2312"/>
          <w:b w:val="false"/>
          <w:color w:val="000000"/>
          <w:sz w:val="32"/>
          <w:szCs w:val="32"/>
        </w:rPr>
      </w:pPr>
      <w:r>
        <w:rPr>
          <w:rFonts w:ascii="黑体" w:hAnsi="黑体" w:cs="Adobe 仿宋 Std R;仿宋_GB2312" w:hint="eastAsia" w:eastAsia="黑体"/>
          <w:b w:val="false"/>
          <w:color w:val="000000"/>
          <w:sz w:val="32"/>
          <w:szCs w:val="32"/>
        </w:rPr>
        <w:t>第二章　地名的命名与更名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color w:val="000000"/>
          <w:sz w:val="3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b w:val="false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第八条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地名命名应当与城市规划同步进行。地名规划由市或者区、县地名主管部门负责编制，并实行分级审批制度。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市地名总体规划由市地名主管部门编制，报市人民政府批准。外环线以内地区的地名分区规划，天津经济技术开发区、天津港保税区的地名规划由区地名主管部门编制，经市地名主管部门审核后，报市人民政府批准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本条第二款规定以外的区、县地名分区规划，由区、县地名主管部门按照市地名总体规划的要求编制，报区、县人民政府批准，并向市地名主管部门备案。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第九条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地名命名应当符合下列规定：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（一）不损害国家主权、领土完整、民族尊严和人民团结；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（二）符合地名规划要求，反映历史、文化和地理特征，含义健康、方便使用；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（三）由专名和通名组成；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（四）一般不以人名作地名，禁止用国家领导人的名字和外国地名以及同音字作地名；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（五）用字规范，简洁易读，不使用生僻字，同类地名不使用同音字、近音字以及与其他地名相近似、容易引起混淆的字；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（六）派生地名与主地名相统一；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（七）地名的定性词语应当与事实相符，以楼、厦、苑、广场、花园、公寓、别墅、中心、山庄等形象名称作通名的，应当符合市人民政府规定的规范标准。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下列地名不得重名：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（一）本市的区、县、乡、镇行政区域名称，区人民政府街道办事处区域名称；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</w:t>
      </w:r>
      <w:r>
        <w:rPr>
          <w:rFonts w:ascii="仿宋_GB2312" w:hAnsi="仿宋_GB2312" w:cs="Adobe 仿宋 Std R;仿宋_GB2312" w:hint="eastAsia"/>
          <w:color w:val="000000"/>
          <w:szCs w:val="32"/>
        </w:rPr>
        <w:t>（</w:t>
      </w:r>
      <w:r>
        <w:rPr>
          <w:rFonts w:ascii="仿宋_GB2312" w:hAnsi="仿宋_GB2312" w:cs="Adobe 仿宋 Std R;仿宋_GB2312" w:hint="eastAsia"/>
          <w:szCs w:val="32"/>
        </w:rPr>
        <w:t>二）外环</w:t>
      </w:r>
      <w:r>
        <w:rPr>
          <w:rFonts w:ascii="仿宋_GB2312" w:hAnsi="仿宋_GB2312" w:cs="Adobe 仿宋 Std R;仿宋_GB2312" w:hint="eastAsia"/>
          <w:color w:val="000000"/>
          <w:szCs w:val="32"/>
        </w:rPr>
        <w:t>线以内的</w:t>
      </w:r>
      <w:r>
        <w:rPr>
          <w:rFonts w:ascii="仿宋_GB2312" w:hAnsi="仿宋_GB2312" w:cs="Adobe 仿宋 Std R;仿宋_GB2312" w:hint="eastAsia"/>
          <w:szCs w:val="32"/>
        </w:rPr>
        <w:t>地名；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（三）外环线以外同一区、县内的村庄、道路地名；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（四）同一乡镇内的地名。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第十一条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没有标准地名的一地多名、一名多写或者地名用字形、音、义不准确的，应当确定标准地名。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第十二条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新建、扩建、改建居民住宅区、大型建筑物等建设项目，应当在申请办理《建设工程规划许可证》前，到所在区、县地名主管部门申请办理地名命名手续。未办理地名命名手续的，有关部门不得受理《建设工程规划许可证》申请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办理地名命名手续，应当提供下列文件：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（一）地名命名更名申请书；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（二）建设用地规划许可证；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（三）经批准的规划总平面图；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（四）建筑位置示意图；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（五）地名反映特殊功能词语的证明文件；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（六）大型建筑物的建筑景观图。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地名主管部门对符合本条例规定、材料齐全的地名命名申请，应当在三个工作日内受理。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第十三条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地名的命名分别由下列单位负责申报：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（一）名胜古迹、纪念地、游览地、文化体育场所等名称，由专业主管部门申报；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（二）居民住宅、大型建筑物名称，由投资单位申报；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（三）村镇名称，由乡、镇人民政府或者区人民政府街道办事处申报；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（四）道路、桥梁、地下铁路（站、线）名称，由市政主管部门申报；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（五）河流、湖泊、水库、洼淀等名称，由市水行政主管部门申报；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（六）河流上的码头名称，由市交通行政主管部门申报。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第十四条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外环线以内各区和天津经济技术开发区、天津港保税区的地名命名申请，由所在区地名主管部门受理，经区人民政府或者管理委员会同意，报市地名主管部门审核后，由市人民政府批准。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外环线以外区、县的地名命名申请，由所在区、县地名主管部门受理，报区、县人民政府批准，并报市地名主管部门备案。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跨区、县的地名命名申请，由市地名主管部门受理，报市人民政府批准。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第十五条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行政区域名称的命名，按照行政区划审批权限和程序办理后，向市地名主管部门备案。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第十六条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机场、公路、铁路、港口等名称的命名申请，由各专业部门提出方案，经市地名主管部门报市人民政府同意后，按照管理权限，分别报请上级专业主管部门审批。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第十七条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市和区、县地名主管部门对批准命名的地名，核发标准地名证书。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第十八条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有下列情形之一的，可以更名：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（一）因区划调整，需要变更行政区域名称的；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（二）因道路发生变化，需要变更路名的；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（三）因居民区或者建筑物、构筑物改建、扩建，需要变更地名的；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（四）因路名变更，需要变更楼、院门号的。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第十九条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不符合本条例第九条规定的地名，应当更名。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地名更名程序按照本章规定的地名命名程序办理。</w:t>
      </w:r>
    </w:p>
    <w:p>
      <w:pPr>
        <w:pStyle w:val="Normal"/>
        <w:snapToGrid w:val="false"/>
        <w:spacing w:lineRule="exact" w:line="560" w:before="0" w:after="0"/>
        <w:ind w:firstLine="525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第二十一条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因自然变化、行政区划调整、城市建设等原因，已不再使用的地名，由市或者区、县地名主管部门予以注销。</w:t>
      </w:r>
    </w:p>
    <w:p>
      <w:pPr>
        <w:pStyle w:val="Normal"/>
        <w:snapToGrid w:val="false"/>
        <w:spacing w:lineRule="exact" w:line="560" w:before="0" w:after="0"/>
        <w:ind w:firstLine="525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cs="Adobe 仿宋 Std R;仿宋_GB2312" w:ascii="仿宋_GB2312" w:hAnsi="仿宋_GB2312"/>
          <w:szCs w:val="32"/>
        </w:rPr>
      </w:r>
    </w:p>
    <w:p>
      <w:pPr>
        <w:pStyle w:val="zhang"/>
        <w:snapToGrid w:val="false"/>
        <w:spacing w:lineRule="exact" w:line="560" w:before="0" w:after="0"/>
        <w:contextualSpacing/>
        <w:jc w:val="center"/>
        <w:rPr>
          <w:rFonts w:ascii="黑体" w:hAnsi="黑体" w:eastAsia="黑体" w:cs="Adobe 仿宋 Std R;仿宋_GB2312"/>
          <w:b w:val="false"/>
          <w:color w:val="000000"/>
          <w:sz w:val="32"/>
          <w:szCs w:val="32"/>
        </w:rPr>
      </w:pPr>
      <w:r>
        <w:rPr>
          <w:rFonts w:ascii="黑体" w:hAnsi="黑体" w:cs="Adobe 仿宋 Std R;仿宋_GB2312" w:hint="eastAsia" w:eastAsia="黑体"/>
          <w:b w:val="false"/>
          <w:color w:val="000000"/>
          <w:sz w:val="32"/>
          <w:szCs w:val="32"/>
        </w:rPr>
        <w:t>第三章　标准地名的公布与使用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color w:val="000000"/>
          <w:sz w:val="3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b w:val="false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第二十二条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市和区、县人民政府批准的地名为标准地名。本条例实施前市地名主管部门汇入地名录的地名，视为标准地名。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市地名主管部门应当自标准地名批准之日起三十日内予以公布。公告费用由申报单位承担。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第二十三条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下列活动与事项使用现行地名的，应当使用标准地名：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（一）机关、部队、团体、企业、事业单位的公告、文件、文书、证件；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（二）报刊、广播电视的新闻报导，地图、地理教科书、地名典录等出版物；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（三）公共场所、公共设施的地名标识；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（四）制作和发布房地产销售广告。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第二十四条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地名应当按照国家规范汉字书写；地名的罗马字母拼写，以国家规定的汉语拼音方案和拼写规则为标准，不得使用外文拼写。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第二十五条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用少数民族文字拼写的地名和外国地名的汉字译写，以国家规定的译写规则为标准。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第二十六条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编纂标准地名出版物的，应当符合标准地名规范，并在出版后二十日内向市地名主管部门备案。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市和区、县地名主管部门应当建立健全地名档案管理制度，保证地名档案资料的准确完整，并且向社会提供查询服务。</w:t>
      </w:r>
    </w:p>
    <w:p>
      <w:pPr>
        <w:pStyle w:val="Normal"/>
        <w:snapToGrid w:val="false"/>
        <w:spacing w:lineRule="exact" w:line="560" w:before="0" w:after="0"/>
        <w:ind w:firstLine="540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第二十七条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对居民住宅区、桥梁等公共设施名称进行企业商业冠名的具体管理办法，由市人民政府规定。</w:t>
      </w:r>
    </w:p>
    <w:p>
      <w:pPr>
        <w:pStyle w:val="Normal"/>
        <w:snapToGrid w:val="false"/>
        <w:spacing w:lineRule="exact" w:line="560" w:before="0" w:after="0"/>
        <w:ind w:firstLine="540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cs="Adobe 仿宋 Std R;仿宋_GB2312" w:ascii="仿宋_GB2312" w:hAnsi="仿宋_GB2312"/>
          <w:szCs w:val="32"/>
        </w:rPr>
      </w:r>
    </w:p>
    <w:p>
      <w:pPr>
        <w:pStyle w:val="zhang"/>
        <w:snapToGrid w:val="false"/>
        <w:spacing w:lineRule="exact" w:line="560" w:before="0" w:after="0"/>
        <w:contextualSpacing/>
        <w:jc w:val="center"/>
        <w:rPr>
          <w:rFonts w:ascii="Adobe 仿宋 Std R;仿宋_GB2312" w:hAnsi="Adobe 仿宋 Std R;仿宋_GB2312" w:eastAsia="Adobe 仿宋 Std R;仿宋_GB2312" w:cs="Adobe 仿宋 Std R;仿宋_GB2312"/>
          <w:color w:val="000000"/>
          <w:sz w:val="32"/>
          <w:szCs w:val="32"/>
        </w:rPr>
      </w:pPr>
      <w:r>
        <w:rPr>
          <w:rFonts w:ascii="黑体" w:hAnsi="黑体" w:cs="Adobe 仿宋 Std R;仿宋_GB2312" w:hint="eastAsia" w:eastAsia="黑体"/>
          <w:b w:val="false"/>
          <w:color w:val="000000"/>
          <w:sz w:val="32"/>
          <w:szCs w:val="32"/>
        </w:rPr>
        <w:t>第四章　地名标志的设置与管理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color w:val="000000"/>
          <w:sz w:val="3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第二十八条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地名标志分别由下列部门设置：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（一）村镇内的地名标志，由区、县地名主管部门或者乡、镇人民政府设置；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（二）河流、湖泊、水库、机场、公路、道路、铁路、地下铁道、港口以及码头标志，由各自主管部门设置；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（三）里巷楼、院门牌标志，由市人民政府确定的部门设置；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（四）其他地名标志，由市或者区、县地名主管部门设置。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第二十九条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地名标志的制作、设置，应当符合国家标准。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生产制作地名标志的企业，应当接受市地名主管部门的监督检查。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地名标志应当按照规范在规定的位置设置。新命名的地名，应当在公布或者竣工验收后三十日内设置地名标志。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市或者区、县地名主管部门负责对地名标志设置进行监督检查。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第三十一条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设置地名标志的部门负责地名标志的维护和管理，保持地名标志的清晰、完整，并接受地名主管部门的监督检查。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第三十二条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任何单位和个人都有保护地名标志的义务。禁止涂改、玷污、遮挡、破坏和擅自拆除、移动地名标志。</w:t>
      </w:r>
    </w:p>
    <w:p>
      <w:pPr>
        <w:pStyle w:val="Normal"/>
        <w:snapToGrid w:val="false"/>
        <w:spacing w:lineRule="exact" w:line="560" w:before="0" w:after="0"/>
        <w:ind w:firstLine="630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需要移动或者拆除地名标志的，应当事先向地名标志设置部门申报，缴纳重新设置所需费用后，方可实施。</w:t>
      </w:r>
    </w:p>
    <w:p>
      <w:pPr>
        <w:pStyle w:val="Normal"/>
        <w:snapToGrid w:val="false"/>
        <w:spacing w:lineRule="exact" w:line="560" w:before="0" w:after="0"/>
        <w:ind w:firstLine="630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cs="Adobe 仿宋 Std R;仿宋_GB2312" w:ascii="仿宋_GB2312" w:hAnsi="仿宋_GB2312"/>
          <w:szCs w:val="32"/>
        </w:rPr>
      </w:r>
    </w:p>
    <w:p>
      <w:pPr>
        <w:pStyle w:val="zhang"/>
        <w:snapToGrid w:val="false"/>
        <w:spacing w:lineRule="exact" w:line="560" w:before="0" w:after="0"/>
        <w:contextualSpacing/>
        <w:jc w:val="center"/>
        <w:rPr>
          <w:rFonts w:ascii="黑体" w:hAnsi="黑体" w:eastAsia="黑体" w:cs="Adobe 仿宋 Std R;仿宋_GB2312"/>
          <w:b w:val="false"/>
          <w:color w:val="000000"/>
          <w:sz w:val="32"/>
          <w:szCs w:val="32"/>
        </w:rPr>
      </w:pPr>
      <w:r>
        <w:rPr>
          <w:rFonts w:ascii="黑体" w:hAnsi="黑体" w:cs="Adobe 仿宋 Std R;仿宋_GB2312" w:hint="eastAsia" w:eastAsia="黑体"/>
          <w:b w:val="false"/>
          <w:color w:val="000000"/>
          <w:sz w:val="32"/>
          <w:szCs w:val="32"/>
        </w:rPr>
        <w:t>第五章　法律责任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 w:val="false"/>
          <w:color w:val="000000"/>
          <w:sz w:val="3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b w:val="false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第三十三条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有下列行为之一的，由市或者区、县地名主管部门给予行政处罚：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违反本条例第九条第（六）项规定，以楼、厦、苑、广场、花园、公寓、别墅、中心、山庄等形象名称申报地名与事实不符的，责令限期改正；逾期不改正的，处以五万元以下罚款；对他人构成欺诈的，依法承担民事责任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（二）违反本条例第十二条第一款、第二十条规定，擅自命名、更名的，责令限期改正；逾期不改正的，处以二千元以上二万元以下罚款。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（三）违反本条例第二十三条第（二）项、第（三）项、第（四）项规定，不使用标准地名的，责令限期改正；逾期不改正的，处以五百元以上五千元以下罚款。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（四）违反本条例第二十四条、第二十九条、第三十条第一款规定，不使用规范汉字或者使用外文拼写地名，不按规定、规范制作或者设置地名标志的，责令限期改正。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（五）违反本条例第三十二条第一款规定，涂改、玷污、遮挡或者擅自拆除、移动地名标志的，责令限期改正；逾期不改正的，处以五百元以上五千元以下罚款。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第三十四条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违反本条例第二十六条第一款，未按照规范编纂出版标准地名出版物的，由市地名主管部门责令限期改正；逾期不改正的，处三千元以上三万元以下罚款，并没收违法地名出版物。逾期未向市地名主管部门备案的，由市地名主管部门责令限期改正；拒不改正的，处二千元罚款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第三十五条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盗窃、破坏地名标志的，由公安机关依法给予处罚；构成犯罪的，依法追究刑事责任。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第三十六条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拒绝、阻碍地名主管部门工作人员依法执行公务的，由公安机关依法给予处罚；构成犯罪的，依法追究刑事责任。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第三十七条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地名工作人员有下列行为之一的，由其所在单位或者上级主管部门给予行政处分；构成犯罪的，依法追究刑事责任：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（一）无正当理由不受理或者拖延受理当事人地名命名、更名申请的；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（二）逾期不公布已经批准命名、更名的地名的；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（三）不履行法定职责，造成地名命名违反本条例规定的；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（四）对违反本条例规定的行为不予制止或者查处，造成严重影响或者严重后果的；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　　（五）接受可能影响公正执行公务的礼物、宴请以及其它不正当利益的；</w:t>
      </w:r>
    </w:p>
    <w:p>
      <w:pPr>
        <w:pStyle w:val="Normal"/>
        <w:snapToGrid w:val="false"/>
        <w:spacing w:lineRule="exact" w:line="560" w:before="0" w:after="0"/>
        <w:ind w:firstLine="630" w:end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仿宋_GB2312" w:hAnsi="仿宋_GB2312" w:cs="Adobe 仿宋 Std R;仿宋_GB2312" w:hint="eastAsia"/>
          <w:szCs w:val="32"/>
        </w:rPr>
        <w:t>（六）利用职务之便索取或者收受他人贿赂的。</w:t>
      </w:r>
    </w:p>
    <w:p>
      <w:pPr>
        <w:pStyle w:val="Normal"/>
        <w:snapToGrid w:val="false"/>
        <w:spacing w:lineRule="exact" w:line="560" w:before="0" w:after="0"/>
        <w:ind w:firstLine="630" w:end="0"/>
        <w:contextualSpacing/>
        <w:rPr>
          <w:rFonts w:ascii="Adobe 仿宋 Std R;仿宋_GB2312" w:hAnsi="Adobe 仿宋 Std R;仿宋_GB2312" w:eastAsia="Adobe 仿宋 Std R;仿宋_GB2312" w:cs="Adobe 仿宋 Std R;仿宋_GB231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szCs w:val="32"/>
        </w:rPr>
      </w:r>
    </w:p>
    <w:p>
      <w:pPr>
        <w:pStyle w:val="zhang"/>
        <w:snapToGrid w:val="false"/>
        <w:spacing w:lineRule="exact" w:line="560" w:before="0" w:after="0"/>
        <w:contextualSpacing/>
        <w:jc w:val="center"/>
        <w:rPr>
          <w:rFonts w:ascii="Adobe 仿宋 Std R;仿宋_GB2312" w:hAnsi="Adobe 仿宋 Std R;仿宋_GB2312" w:eastAsia="Adobe 仿宋 Std R;仿宋_GB2312" w:cs="Adobe 仿宋 Std R;仿宋_GB2312"/>
          <w:color w:val="000000"/>
          <w:sz w:val="32"/>
          <w:szCs w:val="32"/>
        </w:rPr>
      </w:pPr>
      <w:r>
        <w:rPr>
          <w:rFonts w:ascii="黑体" w:hAnsi="黑体" w:cs="Adobe 仿宋 Std R;仿宋_GB2312" w:hint="eastAsia" w:eastAsia="黑体"/>
          <w:b w:val="false"/>
          <w:color w:val="000000"/>
          <w:sz w:val="32"/>
          <w:szCs w:val="32"/>
        </w:rPr>
        <w:t>第六章　附则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color w:val="000000"/>
          <w:sz w:val="32"/>
          <w:szCs w:val="32"/>
        </w:rPr>
      </w:pPr>
      <w:r>
        <w:rPr>
          <w:rFonts w:eastAsia="Adobe 仿宋 Std R;仿宋_GB2312" w:cs="Adobe 仿宋 Std R;仿宋_GB2312" w:ascii="Adobe 仿宋 Std R;仿宋_GB2312" w:hAnsi="Adobe 仿宋 Std R;仿宋_GB2312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第三十八条</w:t>
      </w:r>
      <w:r>
        <w:rPr>
          <w:rFonts w:ascii="仿宋_GB2312" w:hAnsi="仿宋_GB2312" w:cs="Adobe 仿宋 Std R;仿宋_GB2312" w:hint="eastAsia"/>
          <w:szCs w:val="32"/>
        </w:rPr>
        <w:t>　本市里巷楼、院门号设置管理办法，由市人民政府规定。</w:t>
      </w:r>
    </w:p>
    <w:p>
      <w:pPr>
        <w:pStyle w:val="Normal"/>
        <w:spacing w:lineRule="exact" w:line="560" w:before="0" w:after="0"/>
        <w:contextualSpacing/>
        <w:rPr/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</w:t>
      </w:r>
      <w:r>
        <w:rPr>
          <w:rFonts w:ascii="黑体" w:hAnsi="黑体" w:cs="宋体" w:hint="eastAsia" w:eastAsia="黑体"/>
          <w:bCs/>
          <w:smallCaps/>
          <w:kern w:val="0"/>
          <w:szCs w:val="32"/>
        </w:rPr>
        <w:t>第三十九条</w:t>
      </w:r>
      <w:r>
        <w:rPr>
          <w:rFonts w:ascii="Adobe 仿宋 Std R;仿宋_GB2312" w:hAnsi="Adobe 仿宋 Std R;仿宋_GB2312" w:cs="Adobe 仿宋 Std R;仿宋_GB2312" w:hint="eastAsia" w:eastAsia="Adobe 仿宋 Std R;仿宋_GB2312"/>
          <w:szCs w:val="32"/>
        </w:rPr>
        <w:t>　</w:t>
      </w:r>
      <w:r>
        <w:rPr>
          <w:rFonts w:ascii="仿宋_GB2312" w:hAnsi="仿宋_GB2312" w:cs="Adobe 仿宋 Std R;仿宋_GB2312" w:hint="eastAsia"/>
          <w:szCs w:val="32"/>
        </w:rPr>
        <w:t>本条例自</w:t>
      </w:r>
      <w:r>
        <w:rPr>
          <w:rFonts w:cs="Adobe 仿宋 Std R;仿宋_GB2312" w:hint="eastAsia" w:ascii="仿宋_GB2312" w:hAnsi="仿宋_GB2312"/>
          <w:szCs w:val="32"/>
        </w:rPr>
        <w:t>2000</w:t>
      </w:r>
      <w:r>
        <w:rPr>
          <w:rFonts w:ascii="仿宋_GB2312" w:hAnsi="仿宋_GB2312" w:cs="Adobe 仿宋 Std R;仿宋_GB2312" w:hint="eastAsia"/>
          <w:szCs w:val="32"/>
        </w:rPr>
        <w:t>年</w:t>
      </w:r>
      <w:r>
        <w:rPr>
          <w:rFonts w:cs="Adobe 仿宋 Std R;仿宋_GB2312" w:hint="eastAsia" w:ascii="仿宋_GB2312" w:hAnsi="仿宋_GB2312"/>
          <w:szCs w:val="32"/>
        </w:rPr>
        <w:t>7</w:t>
      </w:r>
      <w:r>
        <w:rPr>
          <w:rFonts w:ascii="仿宋_GB2312" w:hAnsi="仿宋_GB2312" w:cs="Adobe 仿宋 Std R;仿宋_GB2312" w:hint="eastAsia"/>
          <w:szCs w:val="32"/>
        </w:rPr>
        <w:t>月</w:t>
      </w:r>
      <w:r>
        <w:rPr>
          <w:rFonts w:cs="Adobe 仿宋 Std R;仿宋_GB2312" w:hint="eastAsia" w:ascii="仿宋_GB2312" w:hAnsi="仿宋_GB2312"/>
          <w:szCs w:val="32"/>
        </w:rPr>
        <w:t>1</w:t>
      </w:r>
      <w:r>
        <w:rPr>
          <w:rFonts w:ascii="仿宋_GB2312" w:hAnsi="仿宋_GB2312" w:cs="Adobe 仿宋 Std R;仿宋_GB2312" w:hint="eastAsia"/>
          <w:szCs w:val="32"/>
        </w:rPr>
        <w:t>日起施行。</w:t>
      </w:r>
      <w:r>
        <w:rPr>
          <w:rFonts w:cs="Adobe 仿宋 Std R;仿宋_GB2312" w:hint="eastAsia" w:ascii="仿宋_GB2312" w:hAnsi="仿宋_GB2312"/>
          <w:szCs w:val="32"/>
        </w:rPr>
        <w:t>1987</w:t>
      </w:r>
      <w:r>
        <w:rPr>
          <w:rFonts w:ascii="仿宋_GB2312" w:hAnsi="仿宋_GB2312" w:cs="Adobe 仿宋 Std R;仿宋_GB2312" w:hint="eastAsia"/>
          <w:szCs w:val="32"/>
        </w:rPr>
        <w:t>年</w:t>
      </w:r>
      <w:r>
        <w:rPr>
          <w:rFonts w:cs="Adobe 仿宋 Std R;仿宋_GB2312" w:hint="eastAsia" w:ascii="仿宋_GB2312" w:hAnsi="仿宋_GB2312"/>
          <w:szCs w:val="32"/>
        </w:rPr>
        <w:t>10</w:t>
      </w:r>
      <w:r>
        <w:rPr>
          <w:rFonts w:ascii="仿宋_GB2312" w:hAnsi="仿宋_GB2312" w:cs="Adobe 仿宋 Std R;仿宋_GB2312" w:hint="eastAsia"/>
          <w:szCs w:val="32"/>
        </w:rPr>
        <w:t>月</w:t>
      </w:r>
      <w:r>
        <w:rPr>
          <w:rFonts w:cs="Adobe 仿宋 Std R;仿宋_GB2312" w:hint="eastAsia" w:ascii="仿宋_GB2312" w:hAnsi="仿宋_GB2312"/>
          <w:szCs w:val="32"/>
        </w:rPr>
        <w:t>8</w:t>
      </w:r>
      <w:r>
        <w:rPr>
          <w:rFonts w:ascii="仿宋_GB2312" w:hAnsi="仿宋_GB2312" w:cs="Adobe 仿宋 Std R;仿宋_GB2312" w:hint="eastAsia"/>
          <w:szCs w:val="32"/>
        </w:rPr>
        <w:t>日市人民政府发布的《天津市地名管理细则》同时废止。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华文宋体">
    <w:charset w:val="86"/>
    <w:family w:val="auto"/>
    <w:pitch w:val="default"/>
  </w:font>
  <w:font w:name="仿宋_GB2312">
    <w:charset w:val="86"/>
    <w:family w:val="modern"/>
    <w:pitch w:val="default"/>
  </w:font>
  <w:font w:name="文星仿宋">
    <w:altName w:val="宋体"/>
    <w:charset w:val="86"/>
    <w:family w:val="auto"/>
    <w:pitch w:val="default"/>
  </w:font>
  <w:font w:name="黑体"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Arial Unicode MS">
    <w:charset w:val="86"/>
    <w:family w:val="swiss"/>
    <w:pitch w:val="default"/>
  </w:font>
  <w:font w:name="Verdana">
    <w:charset w:val="00" w:characterSet="windows-1252"/>
    <w:family w:val="swiss"/>
    <w:pitch w:val="default"/>
  </w:font>
  <w:font w:name="Adobe 仿宋 Std R">
    <w:altName w:val="仿宋_GB2312"/>
    <w:charset w:val="86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10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11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  <w:bCs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Char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2CharChar">
    <w:name w:val="标题2 Char Char"/>
    <w:basedOn w:val="Char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1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1CharChar">
    <w:name w:val="样式1 Char Char"/>
    <w:basedOn w:val="Char1"/>
    <w:qFormat/>
    <w:rPr>
      <w:rFonts w:ascii="楷体_GB2312" w:hAnsi="楷体_GB2312" w:eastAsia="楷体_GB2312" w:cs="宋体"/>
      <w:sz w:val="32"/>
      <w:szCs w:val="32"/>
    </w:rPr>
  </w:style>
  <w:style w:type="character" w:styleId="CharChar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Char11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2CharChar1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Char">
    <w:name w:val="样式3 Char Char"/>
    <w:basedOn w:val="2CharChar1"/>
    <w:qFormat/>
    <w:rPr/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Char2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3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12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3Char">
    <w:name w:val="标题3 Char"/>
    <w:basedOn w:val="Char12"/>
    <w:qFormat/>
    <w:rPr>
      <w:rFonts w:ascii="黑体" w:hAnsi="黑体" w:eastAsia="黑体" w:cs="宋体"/>
      <w:sz w:val="32"/>
      <w:szCs w:val="32"/>
    </w:rPr>
  </w:style>
  <w:style w:type="character" w:styleId="2Char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1Char">
    <w:name w:val="标题1 Char"/>
    <w:basedOn w:val="Char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4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3Char1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5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1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2">
    <w:name w:val="页眉 Char Char"/>
    <w:basedOn w:val="Style14"/>
    <w:qFormat/>
    <w:rPr>
      <w:kern w:val="2"/>
      <w:sz w:val="18"/>
      <w:szCs w:val="18"/>
    </w:rPr>
  </w:style>
  <w:style w:type="character" w:styleId="3CharChar1">
    <w:name w:val="标题3 Char Char"/>
    <w:basedOn w:val="Char1"/>
    <w:qFormat/>
    <w:rPr>
      <w:rFonts w:ascii="黑体" w:hAnsi="黑体" w:eastAsia="黑体" w:cs="宋体"/>
      <w:sz w:val="32"/>
      <w:szCs w:val="32"/>
    </w:rPr>
  </w:style>
  <w:style w:type="character" w:styleId="CharChar3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2Char1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2Char2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2">
    <w:name w:val="样式3 Char"/>
    <w:basedOn w:val="2Char2"/>
    <w:qFormat/>
    <w:rPr/>
  </w:style>
  <w:style w:type="character" w:styleId="CharChar5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CharChar6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6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2CharChar2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Char13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2Char3">
    <w:name w:val="标题2 Char"/>
    <w:basedOn w:val="Char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1Char1">
    <w:name w:val="样式1 Char"/>
    <w:basedOn w:val="Char12"/>
    <w:qFormat/>
    <w:rPr>
      <w:rFonts w:ascii="楷体_GB2312" w:hAnsi="楷体_GB2312" w:eastAsia="楷体_GB2312" w:cs="宋体"/>
      <w:sz w:val="32"/>
      <w:szCs w:val="32"/>
    </w:rPr>
  </w:style>
  <w:style w:type="character" w:styleId="3Char1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2Char1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14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7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Style16">
    <w:name w:val="文档结构图"/>
    <w:basedOn w:val="Normal"/>
    <w:qFormat/>
    <w:pPr>
      <w:shd w:fill="000080" w:val="clear"/>
    </w:pPr>
    <w:rPr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Style18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Style19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Char8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标题1"/>
    <w:basedOn w:val="Style18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1">
    <w:name w:val="样式3"/>
    <w:basedOn w:val="22"/>
    <w:qFormat/>
    <w:pPr/>
    <w:rPr/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标题2"/>
    <w:basedOn w:val="Style18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样式1"/>
    <w:basedOn w:val="Style19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2">
    <w:name w:val="标题3"/>
    <w:basedOn w:val="Style19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8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20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2016-12-28T21:43:41Z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