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仿宋_GB2312" w:hAnsi="仿宋_GB2312" w:cs="Arial"/>
          <w:szCs w:val="32"/>
        </w:rPr>
      </w:pPr>
      <w:r>
        <w:rPr>
          <w:rFonts w:cs="Arial" w:ascii="仿宋_GB2312" w:hAnsi="仿宋_GB2312"/>
          <w:szCs w:val="32"/>
        </w:rPr>
      </w:r>
    </w:p>
    <w:p>
      <w:pPr>
        <w:pStyle w:val="Style15"/>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5"/>
        <w:widowControl w:val="false"/>
        <w:spacing w:lineRule="exact" w:line="560" w:before="0" w:after="0"/>
        <w:contextualSpacing/>
        <w:jc w:val="center"/>
        <w:rPr>
          <w:rFonts w:eastAsia="宋体"/>
          <w:bCs/>
          <w:smallCaps/>
          <w:sz w:val="44"/>
          <w:szCs w:val="44"/>
        </w:rPr>
      </w:pPr>
      <w:r>
        <w:rPr>
          <w:rFonts w:hint="eastAsia" w:eastAsia="宋体"/>
          <w:bCs/>
          <w:smallCaps/>
          <w:sz w:val="44"/>
          <w:szCs w:val="44"/>
        </w:rPr>
        <w:t>天津市农业机械管理条例</w:t>
      </w:r>
    </w:p>
    <w:p>
      <w:pPr>
        <w:pStyle w:val="Style15"/>
        <w:widowControl w:val="false"/>
        <w:spacing w:lineRule="exact" w:line="560" w:before="0" w:after="0"/>
        <w:contextualSpacing/>
        <w:jc w:val="both"/>
        <w:rPr>
          <w:rFonts w:ascii="方正小标宋简体" w:hAnsi="方正小标宋简体" w:eastAsia="方正小标宋简体"/>
          <w:b/>
          <w:bCs/>
          <w:smallCaps/>
          <w:sz w:val="32"/>
          <w:szCs w:val="32"/>
        </w:rPr>
      </w:pPr>
      <w:r>
        <w:rPr>
          <w:rFonts w:eastAsia="方正小标宋简体" w:ascii="方正小标宋简体" w:hAnsi="方正小标宋简体"/>
          <w:b/>
          <w:bCs/>
          <w:smallCaps/>
          <w:sz w:val="32"/>
          <w:szCs w:val="32"/>
        </w:rPr>
      </w:r>
    </w:p>
    <w:p>
      <w:pPr>
        <w:pStyle w:val="Style15"/>
        <w:widowControl w:val="false"/>
        <w:spacing w:lineRule="exact" w:line="560" w:before="0" w:after="0"/>
        <w:ind w:firstLineChars="0" w:firstLine="0" w:startChars="200" w:endChars="200"/>
        <w:contextualSpacing/>
        <w:jc w:val="both"/>
        <w:rPr>
          <w:rFonts w:ascii="楷体_GB2312" w:hAnsi="楷体_GB2312" w:eastAsia="楷体_GB2312"/>
          <w:bCs/>
          <w:smallCaps/>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1996</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11</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26</w:t>
      </w:r>
      <w:r>
        <w:rPr>
          <w:rFonts w:ascii="楷体_GB2312" w:hAnsi="楷体_GB2312" w:hint="eastAsia" w:eastAsia="楷体_GB2312"/>
          <w:bCs/>
          <w:smallCaps/>
          <w:sz w:val="32"/>
          <w:szCs w:val="32"/>
        </w:rPr>
        <w:t>日天津市第十二届人民代表大会常务委员会第二十八次会议通过　根据</w:t>
      </w:r>
      <w:r>
        <w:rPr>
          <w:rFonts w:eastAsia="楷体_GB2312" w:hint="eastAsia" w:ascii="楷体_GB2312" w:hAnsi="楷体_GB2312"/>
          <w:bCs/>
          <w:smallCaps/>
          <w:sz w:val="32"/>
          <w:szCs w:val="32"/>
        </w:rPr>
        <w:t>2005</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12</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8</w:t>
      </w:r>
      <w:r>
        <w:rPr>
          <w:rFonts w:ascii="楷体_GB2312" w:hAnsi="楷体_GB2312" w:hint="eastAsia" w:eastAsia="楷体_GB2312"/>
          <w:bCs/>
          <w:smallCaps/>
          <w:sz w:val="32"/>
          <w:szCs w:val="32"/>
        </w:rPr>
        <w:t>日天津市第十四届人民代表大会常务委员会第二十四次会议《关于修改</w:t>
      </w:r>
      <w:r>
        <w:rPr>
          <w:rFonts w:ascii="Calibri" w:hAnsi="Calibri" w:cs="Calibri" w:eastAsia="楷体_GB2312"/>
          <w:bCs/>
          <w:smallCaps/>
          <w:sz w:val="32"/>
          <w:szCs w:val="32"/>
        </w:rPr>
        <w:t>〈</w:t>
      </w:r>
      <w:r>
        <w:rPr>
          <w:rFonts w:ascii="楷体_GB2312" w:hAnsi="楷体_GB2312" w:hint="eastAsia" w:eastAsia="楷体_GB2312"/>
          <w:bCs/>
          <w:smallCaps/>
          <w:sz w:val="32"/>
          <w:szCs w:val="32"/>
        </w:rPr>
        <w:t>天津市农业机械管理条例〉的决定》第一次修正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bCs/>
          <w:smallCaps/>
          <w:sz w:val="32"/>
          <w:szCs w:val="32"/>
        </w:rPr>
      </w:pPr>
      <w:r>
        <w:rPr>
          <w:rFonts w:eastAsia="Adobe 仿宋 Std R;仿宋_GB2312" w:cs="宋体" w:ascii="Adobe 仿宋 Std R;仿宋_GB2312" w:hAnsi="Adobe 仿宋 Std R;仿宋_GB2312"/>
          <w:bCs/>
          <w:smallCaps/>
          <w:sz w:val="3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科技与教育</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生产、销售和维修</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社会化服务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安全监督管理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5"/>
        <w:widowControl w:val="false"/>
        <w:spacing w:lineRule="exact" w:line="560" w:before="0" w:after="0"/>
        <w:contextualSpacing/>
        <w:jc w:val="both"/>
        <w:rPr>
          <w:rFonts w:ascii="仿宋_GB2312" w:hAnsi="仿宋_GB2312" w:eastAsia="楷体_GB2312" w:cs="宋体"/>
          <w:sz w:val="32"/>
          <w:szCs w:val="32"/>
        </w:rPr>
      </w:pPr>
      <w:r>
        <w:rPr>
          <w:rFonts w:eastAsia="楷体_GB2312" w:cs="宋体"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第一条</w:t>
      </w:r>
      <w:r>
        <w:rPr>
          <w:rFonts w:ascii="仿宋_GB2312" w:hAnsi="仿宋_GB2312" w:cs="Adobe 仿宋 Std R;仿宋_GB2312" w:hint="eastAsia" w:eastAsia="仿宋_GB2312"/>
          <w:sz w:val="32"/>
          <w:szCs w:val="32"/>
        </w:rPr>
        <w:t>　为加强本市农业机械管理，促进农业机械化事业的发展，保障农业机械生产者、经营者和使用者的合法权益，根据有关法律、法规，结合本市实际情况，制定本条例。</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本条例所称农业机械，是指用于农业生产及其产品初加工等相关农事活动的机械、设备。</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本条例适用于在本市行政区域内从事农业机械生产、销售、维修、推广、教育培训、使用、管理的单位和个人。</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各级人民政府应当加强对农业机械化工作的领导，将农业机械化事业纳入国民经济和社会发展计划并组织实施，引导和支持农业机械化事业的发展。</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市和区、县农业机械管理部门是同级人民政府的农业机械主管部门，负责本行政区域内的农业机械管理工作，行使下列职责：</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（一）贯彻执行有关农业机械化的法律、法规；</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（二）制定并组织实施农业机械化发展规划，筹集农业机械化发展资金，管理农业机械化事业专项资金，负责农业机械化信息的收集和发布；</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（三）建立健全农业机械服务体系，组织开展农业机械社会化服务，调集农业机械参加抗灾、救灾；</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（四）组织、指导农业机械化工程开发和农业机械的科学研究、技术推广、教育培训；</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（五）负责农业机械的生产、销售、维修的行业管理；</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（六）负责农业机械的试验鉴定管理和安全监督管理，会同技术监督部门进行农业机械的质量监督；</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（七）负责所属企业事业单位的行政管理，对本系统的国有资产实行监督管理。</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对发展农业机械化事业做出显著成绩的单位和个人，由各级人民政府或者农业机械管理部门给予表彰和奖励。</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科技与教育</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各级人民政府应当将农业机械科学研究、技术推广、教育培训所需经费列入财政预算，并随着经济的发展逐年增加。</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各级人民政府应当在农业技术推广专项资金中，安排一定比例用于农业机械科学研究和技术推广项目。</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各级人民政府应当采取措施，加强农业机械科学研究、技术推广和教育培训机构的建设，保持农业机械科学研究、技术推广、教育培训机构和专业技术人员的稳定。</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有关部门对于农业机械科学研究、技术推广和教育培训机构创办的为农业服务的企业，应当在税收、信贷和物资等方面给予支持。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农业机械科学研究、技术推广机构应当根据当地农业生产和农村经济发展的需要，开发、引进、推广先进、适用的农业机械和技术。</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农业机械教育培训机构应当做好农业机械管理、技术、驾驶、操作人员的培训和继续教育工作。</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农业机械管理、技术人员应当接受岗位培训，不断提高管理和技术水平。</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从事农业机械技术推广、教育培训的机构和人员应当具备与其所承担任务相适应的条件。</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拖拉机驾驶培训实行社会化，由市农业机械管理部门对拖拉机驾驶培训学校、驾驶培训班实行资格管理。</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生产、销售和维修</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农业机械生产企业必须依据产品标准进行生产，对产品质量进行严格检验，不合格的产品不准出厂。</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国家实行生产许可证管理的农业机械产品，生产企业必须取得生产许可证后方准生产；国家实行强制性产品认证的农业机械产品，未经认证并标注认证标志，禁止生产、销售和进口。</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禁止生产国家明令淘汰的农业机械产品。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农业机械生产企业应当根据农业生产需要研制和开发先进、适用的产品，其产品鉴定由农业机械鉴定机构按照国家有关规定执行。</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农业机械生产企业和销售者对自己生产、销售的产品质量负责。产品有质量缺陷的，应当按照国家和本市有关规定包修、包换、包退；给用户造成损失的，应当承担赔偿责任。</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销售者依照前款规定对有质量缺陷的产品包修、包换、包退或者赔偿损失后，有权依法向造成产品质量缺陷的责任者追偿。</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农业机械生产企业和销售者应当保证其产品易损配件的供应。农业机械生产企业在产品停产后的保供期内，应当负责提供维修使用的零配件。</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农业机械销售者必须具备所售产品的保管条件，配备具有所售产品知识的人员。</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农业机械销售者必须执行进货检查验收制度，验明产品合格证和其他质量标志。</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销售农业机械产品应当明码标价。国家对产品实行价格管理的，销售者应当执行国家规定。</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禁止销售国家明令淘汰的农业机械产品。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各级农业机械管理部门应当对农业机械产品的生产、销售、维修进行行业质量监督。</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技术监督部门委托的农业机械产品质量检验机构负责对生产、销售的农业机械和零配件进行质量检验。</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设立农业机械维修厂（点），必须具备与维修业务相适应的技术人员和仪器、设备，并依法取得所在区、县农业机械管理部门核发的农业机械维修技术合格证。</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农业机械维修厂（点）应当在审定的修理等级和修理范围内开展业务，并依照修理技术标准和工艺要求进行修理。在保修期内，对修理不合格的，应当无偿返修；因修理技术造成机件损坏的，应当承担赔偿责任。</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社会化服务</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乡、镇农业机械管理服务中心站和乡、镇农业机械管理服务站是负责当地农业机械管理工作的事业机构，其机构、编制和人员应当保持稳定。</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有关部门应当在税收、信贷等方面采取优惠措施，扶持乡、镇农业机械管理服务机构增强为农业和农村经济服务的功能，开展社会化服务。</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各级人民政府应当采取有效措施，鼓励农民和农业生产经营组织购买和使用国家支持推广的、先进适用的农业机械。市级财政应当安排专项资金给予补贴。</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乡、镇农业机械管理服务机构所得收入，应当主要用于为农业生产服务，任何单位不得提取、抽调和挪用。</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乡、镇农业机械管理服务机构及其所属企业的资产，任何单位不得侵占或者无偿调拨。</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各级人民政府应当引导、支持和鼓励农业集体经济组织和农业劳动者兴办多种经济成分和多种经营形式的农业机械服务组织。</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乡、镇、村集体经济组织和村民委员会应当积极组织开展以农业生产为主要内容的农业机械服务。</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本市对农业机械的农业生产作业用燃油安排财政补贴，具体办法由市农业机械管理部门会同市财政部门根据国务院规定制定。</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农业机械服务组织和农业机械所有者的合法权益受法律保护。</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禁止任何单位在国家和本市规定的收费项目以外向农业机械服务经营者收费。</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农业机械服务经营者在服务中应当信守合同、保证质量、合理收费。</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农业机械作业质量应当符合农业机械管理部门制定的作业标准或者服务方与用户约定的作业标准。</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农业机械服务价格由服务方与用户参照指导价格约定。必要时，市农业机械管理部门和市物价管理部门可以制定最高限价。</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第三十条</w:t>
      </w:r>
      <w:r>
        <w:rPr>
          <w:rFonts w:ascii="仿宋_GB2312" w:hAnsi="仿宋_GB2312" w:cs="Adobe 仿宋 Std R;仿宋_GB2312" w:hint="eastAsia" w:eastAsia="仿宋_GB2312"/>
          <w:sz w:val="32"/>
          <w:szCs w:val="32"/>
        </w:rPr>
        <w:t>　发生严重自然灾害时，各级人民政府可以统一调集农业机械投入抢险救灾活动；抢险救灾结束后，应当依据农业机械的使用和损失状况给予适当补偿。</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安全监督管理</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拖拉机、联合收割机等国家规定实行牌证管理的自走式农业机械在投入使用前，必须按照规定向市农业机械管理部门申请登记，领取号牌和有关证件。</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实行牌证管理的农业机械，应当接受定期的安全技术检验。检验合格的，方可继续使用。</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实行牌证管理的农业机械所有权转移、变更、抵押或者注销的，农业机械所有人应当在三十日内向原登记机关办理相应手续。</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第三十二条</w:t>
      </w:r>
      <w:r>
        <w:rPr>
          <w:rFonts w:ascii="仿宋_GB2312" w:hAnsi="仿宋_GB2312" w:cs="Adobe 仿宋 Std R;仿宋_GB2312" w:hint="eastAsia" w:eastAsia="仿宋_GB2312"/>
          <w:sz w:val="32"/>
          <w:szCs w:val="32"/>
        </w:rPr>
        <w:t>　实行牌证管理的农业机械申请登记，应当提交以下证明、凭证：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（一）所有人的身份证明；</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（二）来历证明；</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（三）整机出厂合格证明或者进口凭证；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（四）法律、行政法规规定应当提交的其他证明、凭证。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第三十三条</w:t>
      </w:r>
      <w:r>
        <w:rPr>
          <w:rFonts w:ascii="仿宋_GB2312" w:hAnsi="仿宋_GB2312" w:cs="Adobe 仿宋 Std R;仿宋_GB2312" w:hint="eastAsia" w:eastAsia="仿宋_GB2312"/>
          <w:sz w:val="32"/>
          <w:szCs w:val="32"/>
        </w:rPr>
        <w:t>　禁止使用不符合国家技术标准规定和安全性能要求的农业机械。</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第三十四条</w:t>
      </w:r>
      <w:r>
        <w:rPr>
          <w:rFonts w:ascii="仿宋_GB2312" w:hAnsi="仿宋_GB2312" w:cs="Adobe 仿宋 Std R;仿宋_GB2312" w:hint="eastAsia" w:eastAsia="仿宋_GB2312"/>
          <w:sz w:val="32"/>
          <w:szCs w:val="32"/>
        </w:rPr>
        <w:t>　拖拉机、联合收割机等国家规定实行牌证管理的自走式农业机械驾驶人员，应当符合规定的条件，经专业技术培训、考试合格后，领取驾驶证。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前款规定的农业机械驾驶人员应当按照规定接受定期审验，未参加审验或者审验不合格的，不得继续驾驶。</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农业机械驾驶、操作人员应当遵守农业机械安全操作规程，不得违章作业。</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第三十五条</w:t>
      </w:r>
      <w:r>
        <w:rPr>
          <w:rFonts w:ascii="仿宋_GB2312" w:hAnsi="仿宋_GB2312" w:cs="Adobe 仿宋 Std R;仿宋_GB2312" w:hint="eastAsia" w:eastAsia="仿宋_GB2312"/>
          <w:sz w:val="32"/>
          <w:szCs w:val="32"/>
        </w:rPr>
        <w:t>　农业机械管理部门应当经常对农业机械的驾驶、操作人员进行安全教育，开展安全检查，纠正违章行为。</w:t>
      </w:r>
    </w:p>
    <w:p>
      <w:pPr>
        <w:pStyle w:val="msonormal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第三十六条</w:t>
      </w:r>
      <w:r>
        <w:rPr>
          <w:rFonts w:ascii="仿宋_GB2312" w:hAnsi="仿宋_GB2312" w:cs="Adobe 仿宋 Std R;仿宋_GB2312" w:hint="eastAsia" w:eastAsia="仿宋_GB2312"/>
          <w:sz w:val="32"/>
          <w:szCs w:val="32"/>
        </w:rPr>
        <w:t>　农业机械在乡村、场院、田间和公路以外的乡、村道路作业和行驶，由农业机械管理部门依照国家和本市有关规定进行管理。</w:t>
      </w:r>
    </w:p>
    <w:p>
      <w:pPr>
        <w:pStyle w:val="msonormalcxsplast"/>
        <w:widowControl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农业机械在公路上行驶，由公安交通管理机关依照道路交通管理规定进行管理。</w:t>
      </w:r>
    </w:p>
    <w:p>
      <w:pPr>
        <w:pStyle w:val="msonormalcxsplast"/>
        <w:widowControl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法律责任</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第三十七条</w:t>
      </w:r>
      <w:r>
        <w:rPr>
          <w:rFonts w:ascii="仿宋_GB2312" w:hAnsi="仿宋_GB2312" w:cs="Adobe 仿宋 Std R;仿宋_GB2312" w:hint="eastAsia" w:eastAsia="仿宋_GB2312"/>
          <w:sz w:val="32"/>
          <w:szCs w:val="32"/>
        </w:rPr>
        <w:t>　当事人因农业机械的销售、维修、服务发生争议的，可以协商解决。不愿协商或者协商不成的，可以向人民法院提起诉讼；有仲裁协议的，应当向仲裁机构申请仲裁。</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第三十八条</w:t>
      </w:r>
      <w:r>
        <w:rPr>
          <w:rFonts w:ascii="仿宋_GB2312" w:hAnsi="仿宋_GB2312" w:cs="Adobe 仿宋 Std R;仿宋_GB2312" w:hint="eastAsia" w:eastAsia="仿宋_GB2312"/>
          <w:sz w:val="32"/>
          <w:szCs w:val="32"/>
        </w:rPr>
        <w:t>　违反本条例第十三条规定，未取得拖拉机驾驶培训许可从事拖拉机驾驶培训业务的，由农业机械管理部门责令停办，没收违法所得，并可处五千元以上一万元以下罚款。</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第三十九条</w:t>
      </w:r>
      <w:r>
        <w:rPr>
          <w:rFonts w:ascii="仿宋_GB2312" w:hAnsi="仿宋_GB2312" w:cs="Adobe 仿宋 Std R;仿宋_GB2312" w:hint="eastAsia" w:eastAsia="仿宋_GB2312"/>
          <w:sz w:val="32"/>
          <w:szCs w:val="32"/>
        </w:rPr>
        <w:t>　违反本条例第十四条第二款规定的，依照有关法律、法规的规定予以处罚；构成犯罪的，依法追究刑事责任。</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第四十条</w:t>
      </w:r>
      <w:r>
        <w:rPr>
          <w:rFonts w:ascii="仿宋_GB2312" w:hAnsi="仿宋_GB2312" w:cs="Adobe 仿宋 Std R;仿宋_GB2312" w:hint="eastAsia" w:eastAsia="仿宋_GB2312"/>
          <w:sz w:val="32"/>
          <w:szCs w:val="32"/>
        </w:rPr>
        <w:t>　违反本条例第十四条第一款、第三款或者第十九条、第二十条第二款规定的，由工商行政管理部门或者技术监督部门依照有关法律、法规的规定处理。</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第四十一条</w:t>
      </w:r>
      <w:r>
        <w:rPr>
          <w:rFonts w:ascii="仿宋_GB2312" w:hAnsi="仿宋_GB2312" w:cs="Adobe 仿宋 Std R;仿宋_GB2312" w:hint="eastAsia" w:eastAsia="仿宋_GB2312"/>
          <w:sz w:val="32"/>
          <w:szCs w:val="32"/>
        </w:rPr>
        <w:t>　违反本条例第二十条第一款规定的，由物价管理部门依照有关规定处理。</w:t>
      </w:r>
    </w:p>
    <w:p>
      <w:pPr>
        <w:pStyle w:val="msonormalcxspmiddle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第四十二条</w:t>
      </w:r>
      <w:r>
        <w:rPr>
          <w:rFonts w:ascii="仿宋_GB2312" w:hAnsi="仿宋_GB2312" w:cs="Adobe 仿宋 Std R;仿宋_GB2312" w:hint="eastAsia" w:eastAsia="仿宋_GB2312"/>
          <w:sz w:val="32"/>
          <w:szCs w:val="32"/>
        </w:rPr>
        <w:t>　违反本条例第二十二条规定，未领取农业机械维修技术合格证的，由区、县农业机械管理部门责令限期改正；逾期不改正的，处一千元以下罚款。</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第四十三条</w:t>
      </w:r>
      <w:r>
        <w:rPr>
          <w:rFonts w:ascii="仿宋_GB2312" w:hAnsi="仿宋_GB2312" w:cs="Adobe 仿宋 Std R;仿宋_GB2312" w:hint="eastAsia" w:eastAsia="仿宋_GB2312"/>
          <w:sz w:val="32"/>
          <w:szCs w:val="32"/>
        </w:rPr>
        <w:t>　违反本条例第二十六条规定的，由上级人民政府责令限期恢复或者归还；情节严重的，由违反规定单位的上一级主管机关或者监察部门给予直接责任人员行政处分。</w:t>
      </w:r>
    </w:p>
    <w:p>
      <w:pPr>
        <w:pStyle w:val="Normal"/>
        <w:spacing w:lineRule="exact" w:line="560" w:before="0" w:after="0"/>
        <w:ind w:firstLineChars="148" w:startChars="0" w:start="0" w:endChars="0" w:end="0"/>
        <w:contextualSpacing/>
        <w:rPr>
          <w:rFonts w:ascii="仿宋_GB2312" w:hAnsi="仿宋_GB2312"/>
          <w:szCs w:val="32"/>
        </w:rPr>
      </w:pPr>
      <w:r>
        <w:rPr>
          <w:rFonts w:ascii="黑体" w:hAnsi="黑体" w:cs="宋体" w:hint="eastAsia" w:eastAsia="黑体"/>
          <w:bCs/>
          <w:smallCaps/>
          <w:kern w:val="0"/>
          <w:szCs w:val="32"/>
        </w:rPr>
        <w:t>第四十四条</w:t>
      </w:r>
      <w:r>
        <w:rPr>
          <w:rFonts w:ascii="仿宋_GB2312" w:hAnsi="仿宋_GB2312" w:hint="eastAsia"/>
          <w:szCs w:val="32"/>
        </w:rPr>
        <w:t>　违反本条例第三十一条第一款规定的，由市农业行政管理部门责令限期办理申报登记手续，逾期不办理的，责令停止使用，拒不停止使用的，可扣押拖拉机、联合收割机，并处两百元以上两千元以下罚款。</w:t>
      </w:r>
    </w:p>
    <w:p>
      <w:pPr>
        <w:pStyle w:val="msonormalcxspmiddle"/>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第四十五条</w:t>
      </w:r>
      <w:r>
        <w:rPr>
          <w:rFonts w:ascii="仿宋_GB2312" w:hAnsi="仿宋_GB2312" w:cs="Adobe 仿宋 Std R;仿宋_GB2312" w:hint="eastAsia" w:eastAsia="仿宋_GB2312"/>
          <w:sz w:val="32"/>
          <w:szCs w:val="32"/>
        </w:rPr>
        <w:t>　违反本条例第三十一条第二款、第三款或者第三十四条规定的，依照国家和本市有关规定进行处罚。</w:t>
      </w:r>
    </w:p>
    <w:p>
      <w:pPr>
        <w:pStyle w:val="msonormalcxspmiddlecxsplast"/>
        <w:widowControl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第四十六条</w:t>
      </w:r>
      <w:r>
        <w:rPr>
          <w:rFonts w:ascii="仿宋_GB2312" w:hAnsi="仿宋_GB2312" w:cs="Adobe 仿宋 Std R;仿宋_GB2312" w:hint="eastAsia" w:eastAsia="仿宋_GB2312"/>
          <w:sz w:val="32"/>
          <w:szCs w:val="32"/>
        </w:rPr>
        <w:t>　妨碍农业机械管理部门或者有关行政管理部门工作人员依法执行公务的，由公安机关依法予以治安管理处罚；构成犯罪的，依法追究刑事责任。</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第四十七条</w:t>
      </w:r>
      <w:r>
        <w:rPr>
          <w:rFonts w:ascii="仿宋_GB2312" w:hAnsi="仿宋_GB2312" w:cs="Adobe 仿宋 Std R;仿宋_GB2312" w:hint="eastAsia" w:eastAsia="仿宋_GB2312"/>
          <w:sz w:val="32"/>
          <w:szCs w:val="32"/>
        </w:rPr>
        <w:t>　农业机械管理部门的工作人员玩忽职守、徇私舞弊的，由其所在单位或者上一级主管机关给予行政处分；构成犯罪，依法追究刑事责任。</w:t>
      </w:r>
    </w:p>
    <w:p>
      <w:pPr>
        <w:pStyle w:val="msonormalcxsplast"/>
        <w:widowControl w:val="false"/>
        <w:spacing w:lineRule="exact" w:line="560" w:before="0" w:after="0"/>
        <w:ind w:firstLine="54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附则</w:t>
      </w:r>
    </w:p>
    <w:p>
      <w:pPr>
        <w:pStyle w:val="zhang"/>
        <w:widowControl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widowControl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第四十八条</w:t>
      </w:r>
      <w:r>
        <w:rPr>
          <w:rFonts w:ascii="仿宋_GB2312" w:hAnsi="仿宋_GB2312" w:cs="Adobe 仿宋 Std R;仿宋_GB2312" w:hint="eastAsia" w:eastAsia="仿宋_GB2312"/>
          <w:sz w:val="32"/>
          <w:szCs w:val="32"/>
        </w:rPr>
        <w:t>　本条例自公布之日起施行。</w:t>
      </w:r>
    </w:p>
    <w:p>
      <w:pPr>
        <w:pStyle w:val="Style18"/>
        <w:snapToGrid w:val="false"/>
        <w:spacing w:lineRule="exact" w:line="560" w:before="0" w:after="0"/>
        <w:contextualSpacing/>
        <w:jc w:val="center"/>
        <w:rPr>
          <w:rFonts w:ascii="方正小标宋简体" w:hAnsi="方正小标宋简体" w:eastAsia="方正小标宋简体" w:cs="宋体"/>
          <w:sz w:val="32"/>
          <w:szCs w:val="32"/>
        </w:rPr>
      </w:pPr>
      <w:r>
        <w:rPr>
          <w:rFonts w:eastAsia="方正小标宋简体" w:cs="宋体" w:ascii="方正小标宋简体" w:hAnsi="方正小标宋简体"/>
          <w:sz w:val="32"/>
          <w:szCs w:val="32"/>
        </w:rPr>
      </w:r>
    </w:p>
    <w:p>
      <w:pPr>
        <w:pStyle w:val="Normal"/>
        <w:spacing w:lineRule="exact" w:line="560" w:before="0" w:after="0"/>
        <w:contextualSpacing/>
        <w:rPr>
          <w:rFonts w:ascii="仿宋_GB2312" w:hAnsi="仿宋_GB2312" w:eastAsia="方正小标宋简体" w:cs="Arial"/>
          <w:szCs w:val="32"/>
        </w:rPr>
      </w:pPr>
      <w:r>
        <w:rPr>
          <w:rFonts w:eastAsia="方正小标宋简体"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黑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Calibri">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Char">
    <w:name w:val="日期 Char Char"/>
    <w:basedOn w:val="Style14"/>
    <w:qFormat/>
    <w:rPr>
      <w:rFonts w:ascii="仿宋_GB2312" w:hAnsi="仿宋_GB2312" w:eastAsia="仿宋_GB2312"/>
      <w:kern w:val="2"/>
      <w:sz w:val="32"/>
      <w:szCs w:val="32"/>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3CharChar">
    <w:name w:val="正文文本缩进 3 Char Char"/>
    <w:basedOn w:val="Style14"/>
    <w:qFormat/>
    <w:rPr>
      <w:rFonts w:eastAsia="仿宋_GB2312"/>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CharChar1">
    <w:name w:val="纯文本 Char Char"/>
    <w:basedOn w:val="Style14"/>
    <w:qFormat/>
    <w:rPr>
      <w:rFonts w:ascii="宋体" w:hAnsi="宋体" w:eastAsia="仿宋_GB2312" w:cs="Courier New"/>
      <w:sz w:val="32"/>
      <w:szCs w:val="32"/>
      <w:lang w:bidi="ar-SA"/>
    </w:rPr>
  </w:style>
  <w:style w:type="character" w:styleId="Hyperlink">
    <w:name w:val="Hyperlink"/>
    <w:basedOn w:val="Style14"/>
    <w:rPr>
      <w:color w:val="0000FF"/>
      <w:u w:val="single"/>
    </w:rPr>
  </w:style>
  <w:style w:type="character" w:styleId="CharChar2">
    <w:name w:val="正文文本 Char Char"/>
    <w:basedOn w:val="Style14"/>
    <w:qFormat/>
    <w:rPr>
      <w:rFonts w:eastAsia="仿宋_GB2312"/>
      <w:kern w:val="2"/>
      <w:sz w:val="32"/>
      <w:szCs w:val="24"/>
    </w:rPr>
  </w:style>
  <w:style w:type="character" w:styleId="Char1">
    <w:name w:val="普通(网站) Char"/>
    <w:basedOn w:val="Style14"/>
    <w:qFormat/>
    <w:rPr>
      <w:rFonts w:ascii="宋体" w:hAnsi="宋体" w:cs="宋体"/>
      <w:sz w:val="24"/>
      <w:szCs w:val="24"/>
    </w:rPr>
  </w:style>
  <w:style w:type="character" w:styleId="2CharChar">
    <w:name w:val="标题2 Char Char"/>
    <w:basedOn w:val="Char1"/>
    <w:qFormat/>
    <w:rPr>
      <w:rFonts w:ascii="楷体_GB2312" w:hAnsi="楷体_GB2312" w:eastAsia="楷体_GB2312"/>
      <w:bCs/>
      <w:smallCaps/>
      <w:color w:val="000000"/>
      <w:sz w:val="32"/>
      <w:szCs w:val="32"/>
    </w:rPr>
  </w:style>
  <w:style w:type="character" w:styleId="Char2">
    <w:name w:val="页脚 Char"/>
    <w:basedOn w:val="Style14"/>
    <w:qFormat/>
    <w:rPr>
      <w:rFonts w:ascii="宋体" w:hAnsi="宋体" w:cs="宋体"/>
      <w:sz w:val="18"/>
      <w:szCs w:val="18"/>
    </w:rPr>
  </w:style>
  <w:style w:type="character" w:styleId="Char3">
    <w:name w:val="页眉 Char"/>
    <w:basedOn w:val="Style14"/>
    <w:qFormat/>
    <w:rPr>
      <w:rFonts w:ascii="Times New Roman" w:hAnsi="Times New Roman" w:eastAsia="仿宋_GB2312" w:cs="Times New Roman"/>
      <w:kern w:val="2"/>
      <w:sz w:val="18"/>
      <w:szCs w:val="18"/>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PageNumber">
    <w:name w:val="page number"/>
    <w:basedOn w:val="Style14"/>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CharChar3">
    <w:name w:val="页脚 Char Char"/>
    <w:basedOn w:val="Style14"/>
    <w:qFormat/>
    <w:rPr>
      <w:rFonts w:eastAsia="仿宋_GB2312"/>
      <w:kern w:val="2"/>
      <w:sz w:val="18"/>
      <w:szCs w:val="18"/>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样式3 Char"/>
    <w:basedOn w:val="2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1"/>
    <w:qFormat/>
    <w:rPr/>
  </w:style>
  <w:style w:type="character" w:styleId="Char12">
    <w:name w:val="纯文本 Char1"/>
    <w:basedOn w:val="Style14"/>
    <w:qFormat/>
    <w:rPr>
      <w:rFonts w:ascii="宋体" w:hAnsi="宋体" w:cs="Courier New"/>
      <w:kern w:val="2"/>
      <w:sz w:val="21"/>
      <w:szCs w:val="21"/>
    </w:rPr>
  </w:style>
  <w:style w:type="character" w:styleId="1CharChar1">
    <w:name w:val="标题1 Char Char"/>
    <w:basedOn w:val="Char1"/>
    <w:qFormat/>
    <w:rPr>
      <w:rFonts w:ascii="方正小标宋简体" w:hAnsi="方正小标宋简体" w:eastAsia="方正小标宋简体"/>
      <w:bCs/>
      <w:smallCaps/>
      <w:color w:val="000000"/>
      <w:sz w:val="32"/>
      <w:szCs w:val="44"/>
      <w:lang w:bidi="ar-SA"/>
    </w:rPr>
  </w:style>
  <w:style w:type="character" w:styleId="CharChar5">
    <w:name w:val="页眉 Char Char"/>
    <w:basedOn w:val="Style14"/>
    <w:qFormat/>
    <w:rPr>
      <w:kern w:val="2"/>
      <w:sz w:val="18"/>
      <w:szCs w:val="18"/>
    </w:rPr>
  </w:style>
  <w:style w:type="character" w:styleId="Char6">
    <w:name w:val="正文文本缩进 Char"/>
    <w:basedOn w:val="Style14"/>
    <w:qFormat/>
    <w:rPr>
      <w:rFonts w:ascii="Times New Roman" w:hAnsi="Times New Roman" w:eastAsia="仿宋_GB2312" w:cs="Times New Roman"/>
      <w:kern w:val="2"/>
      <w:sz w:val="32"/>
      <w:szCs w:val="22"/>
    </w:rPr>
  </w:style>
  <w:style w:type="character" w:styleId="3Char2">
    <w:name w:val="标题3 Char"/>
    <w:basedOn w:val="Char12"/>
    <w:qFormat/>
    <w:rPr>
      <w:rFonts w:ascii="黑体" w:hAnsi="黑体" w:eastAsia="黑体" w:cs="宋体"/>
      <w:sz w:val="32"/>
      <w:szCs w:val="32"/>
    </w:rPr>
  </w:style>
  <w:style w:type="character" w:styleId="2Char2">
    <w:name w:val="正文文本 2 Char"/>
    <w:basedOn w:val="Style14"/>
    <w:qFormat/>
    <w:rPr>
      <w:rFonts w:eastAsia="仿宋_GB2312"/>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3CharChar2">
    <w:name w:val="标题3 Char Char"/>
    <w:basedOn w:val="Char4"/>
    <w:qFormat/>
    <w:rPr>
      <w:rFonts w:ascii="黑体" w:hAnsi="黑体" w:eastAsia="黑体" w:cs="宋体"/>
      <w:sz w:val="32"/>
      <w:szCs w:val="32"/>
    </w:rPr>
  </w:style>
  <w:style w:type="character" w:styleId="CharChar8">
    <w:name w:val="Char Char8"/>
    <w:basedOn w:val="Style14"/>
    <w:qFormat/>
    <w:rPr>
      <w:rFonts w:ascii="宋体" w:hAnsi="宋体" w:eastAsia="宋体" w:cs="宋体" w:hint="eastAsia"/>
      <w:sz w:val="24"/>
      <w:szCs w:val="24"/>
      <w:lang w:bidi="ar-SA"/>
    </w:rPr>
  </w:style>
  <w:style w:type="character" w:styleId="CharChar6">
    <w:name w:val="正文文本缩进 Char Char"/>
    <w:basedOn w:val="Style14"/>
    <w:qFormat/>
    <w:rPr>
      <w:rFonts w:ascii="仿宋_GB2312" w:hAnsi="仿宋_GB2312" w:eastAsia="仿宋_GB2312"/>
      <w:kern w:val="2"/>
      <w:sz w:val="32"/>
      <w:szCs w:val="32"/>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纯文本"/>
    <w:basedOn w:val="Normal"/>
    <w:qFormat/>
    <w:pPr/>
    <w:rPr>
      <w:rFonts w:ascii="华文宋体" w:hAnsi="华文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9">
    <w:name w:val="文档结构图"/>
    <w:basedOn w:val="Normal"/>
    <w:qFormat/>
    <w:pPr>
      <w:shd w:fill="000080" w:val="clear"/>
    </w:pPr>
    <w:rPr>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2016-12-28T21:11:22Z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