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jc w:val="start"/>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BodyText"/>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20"/>
        <w:jc w:val="center"/>
        <w:textAlignment w:val="auto"/>
        <w:rPr>
          <w:rFonts w:ascii="宋体" w:hAnsi="宋体" w:eastAsia="宋体" w:cs="宋体" w:hint="eastAsia"/>
          <w:b w:val="false"/>
          <w:bCs w:val="false"/>
          <w:sz w:val="44"/>
          <w:szCs w:val="44"/>
        </w:rPr>
      </w:pPr>
      <w:r>
        <w:rPr>
          <w:rFonts w:ascii="宋体" w:hAnsi="宋体" w:cs="宋体" w:hint="eastAsia" w:eastAsia="宋体"/>
          <w:b w:val="false"/>
          <w:bCs w:val="false"/>
          <w:sz w:val="44"/>
          <w:szCs w:val="44"/>
        </w:rPr>
        <w:t>天津市人民代表大会常务委员会关于加强</w:t>
      </w:r>
    </w:p>
    <w:p>
      <w:pPr>
        <w:pStyle w:val="Normal"/>
        <w:keepNext w:val="false"/>
        <w:keepLines w:val="false"/>
        <w:pageBreakBefore w:val="false"/>
        <w:widowControl w:val="false"/>
        <w:kinsoku w:val="true"/>
        <w:overflowPunct w:val="true"/>
        <w:autoSpaceDE w:val="true"/>
        <w:bidi w:val="0"/>
        <w:snapToGrid w:val="true"/>
        <w:spacing w:lineRule="exact" w:line="720"/>
        <w:jc w:val="center"/>
        <w:textAlignment w:val="auto"/>
        <w:rPr>
          <w:rFonts w:ascii="宋体" w:hAnsi="宋体" w:eastAsia="宋体" w:cs="宋体" w:hint="eastAsia"/>
          <w:b w:val="false"/>
          <w:bCs w:val="false"/>
          <w:sz w:val="44"/>
          <w:szCs w:val="44"/>
        </w:rPr>
      </w:pPr>
      <w:r>
        <w:rPr>
          <w:rFonts w:ascii="宋体" w:hAnsi="宋体" w:cs="宋体" w:hint="eastAsia" w:eastAsia="宋体"/>
          <w:b w:val="false"/>
          <w:bCs w:val="false"/>
          <w:sz w:val="44"/>
          <w:szCs w:val="44"/>
        </w:rPr>
        <w:t>城市重点区域天际线管控的决定</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uto" w:line="240"/>
        <w:ind w:firstLineChars="0" w:firstLine="0" w:endChars="0" w:end="0"/>
        <w:jc w:val="center"/>
        <w:textAlignment w:val="auto"/>
        <w:rPr>
          <w:rFonts w:ascii="楷体_GB2312" w:hAnsi="楷体_GB2312" w:eastAsia="楷体_GB2312" w:cs="楷体_GB2312" w:hint="eastAsia"/>
          <w:b w:val="false"/>
          <w:bCs w:val="false"/>
          <w:sz w:val="32"/>
          <w:szCs w:val="32"/>
          <w:highlight w:val="none"/>
        </w:rPr>
      </w:pPr>
      <w:r>
        <w:rPr>
          <w:rFonts w:eastAsia="楷体_GB2312" w:cs="楷体_GB2312" w:hint="eastAsia" w:ascii="楷体_GB2312" w:hAnsi="楷体_GB2312"/>
          <w:b w:val="false"/>
          <w:bCs w:val="false"/>
          <w:sz w:val="32"/>
          <w:szCs w:val="32"/>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uto" w:line="240"/>
        <w:ind w:endChars="0" w:end="0"/>
        <w:jc w:val="start"/>
        <w:textAlignment w:val="auto"/>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日天津市第十七届人民代表大会常务委员会第三十六次会议通过）</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_GB2312" w:hAnsi="仿宋_GB2312" w:eastAsia="仿宋_GB2312" w:cs="仿宋_GB2312" w:hint="eastAsia"/>
          <w:bCs/>
          <w:sz w:val="32"/>
          <w:szCs w:val="32"/>
          <w:highlight w:val="none"/>
        </w:rPr>
      </w:pPr>
      <w:r>
        <w:rPr>
          <w:rFonts w:eastAsia="仿宋_GB2312" w:cs="仿宋_GB2312" w:hint="eastAsia" w:ascii="仿宋_GB2312" w:hAnsi="仿宋_GB2312"/>
          <w:bCs/>
          <w:sz w:val="32"/>
          <w:szCs w:val="32"/>
        </w:rPr>
      </w:r>
    </w:p>
    <w:p>
      <w:pPr>
        <w:pStyle w:val="BodyText"/>
        <w:keepNext w:val="false"/>
        <w:keepLines w:val="false"/>
        <w:pageBreakBefore w:val="false"/>
        <w:widowControl w:val="false"/>
        <w:kinsoku w:val="true"/>
        <w:overflowPunct w:val="true"/>
        <w:autoSpaceDE w:val="true"/>
        <w:bidi w:val="0"/>
        <w:snapToGrid w:val="true"/>
        <w:spacing w:before="0" w:after="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为了进一步展现城市风貌，提升城市品质，促进城市高质量发展，建设社会主义现代化大都市，根据有关法律、行政法规，结合本市实际</w:t>
      </w:r>
      <w:r>
        <w:rPr>
          <w:rFonts w:ascii="仿宋_GB2312" w:hAnsi="仿宋_GB2312" w:cs="仿宋_GB2312" w:hint="eastAsia"/>
          <w:bCs/>
          <w:szCs w:val="32"/>
        </w:rPr>
        <w:t>，</w:t>
      </w:r>
      <w:r>
        <w:rPr>
          <w:rFonts w:ascii="仿宋_GB2312" w:hAnsi="仿宋_GB2312" w:cs="仿宋_GB2312" w:hint="eastAsia"/>
          <w:bCs/>
          <w:szCs w:val="32"/>
        </w:rPr>
        <w:t>现就加强城市重点区域天际线管控作出如下决定。</w:t>
      </w:r>
    </w:p>
    <w:p>
      <w:pPr>
        <w:pStyle w:val="BodyText"/>
        <w:keepNext w:val="false"/>
        <w:keepLines w:val="false"/>
        <w:pageBreakBefore w:val="false"/>
        <w:widowControl w:val="false"/>
        <w:kinsoku w:val="true"/>
        <w:overflowPunct w:val="true"/>
        <w:autoSpaceDE w:val="true"/>
        <w:bidi w:val="0"/>
        <w:snapToGrid w:val="true"/>
        <w:spacing w:before="0" w:after="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一、加强重点区域天际线管控，应当坚持人民城市人民建、人民城市为人民，坚持新发展理念，坚持人与自然和谐共生，坚持适用、经济、绿色、美观原则，尊重城市发展规律，优化城市格局和空间形态，留住城市的自然美、天然韵、生态味，增强城市的空间立体性、平面协调性、风貌整体性、文脉延续性，彰显城市的地域特征、时代特色、人文精神和艺术品位。</w:t>
      </w:r>
    </w:p>
    <w:p>
      <w:pPr>
        <w:pStyle w:val="BodyText"/>
        <w:keepNext w:val="false"/>
        <w:keepLines w:val="false"/>
        <w:pageBreakBefore w:val="false"/>
        <w:widowControl w:val="false"/>
        <w:kinsoku w:val="true"/>
        <w:overflowPunct w:val="true"/>
        <w:autoSpaceDE w:val="true"/>
        <w:bidi w:val="0"/>
        <w:snapToGrid w:val="true"/>
        <w:spacing w:before="0" w:after="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二、下列重点区域应当纳入天际线管控范围</w:t>
      </w:r>
      <w:r>
        <w:rPr>
          <w:rFonts w:eastAsia="仿宋_GB2312" w:cs="仿宋_GB2312" w:hint="eastAsia" w:ascii="仿宋_GB2312" w:hAnsi="仿宋_GB2312"/>
          <w:bCs/>
          <w:szCs w:val="32"/>
        </w:rPr>
        <w:t>:</w:t>
      </w:r>
    </w:p>
    <w:p>
      <w:pPr>
        <w:pStyle w:val="BodyText"/>
        <w:keepNext w:val="false"/>
        <w:keepLines w:val="false"/>
        <w:pageBreakBefore w:val="false"/>
        <w:widowControl w:val="false"/>
        <w:kinsoku w:val="true"/>
        <w:overflowPunct w:val="true"/>
        <w:autoSpaceDE w:val="true"/>
        <w:bidi w:val="0"/>
        <w:snapToGrid w:val="true"/>
        <w:spacing w:before="0" w:after="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（一）城市核心区、中心地区、新城新区；</w:t>
      </w:r>
    </w:p>
    <w:p>
      <w:pPr>
        <w:pStyle w:val="BodyText"/>
        <w:keepNext w:val="false"/>
        <w:keepLines w:val="false"/>
        <w:pageBreakBefore w:val="false"/>
        <w:widowControl w:val="false"/>
        <w:kinsoku w:val="true"/>
        <w:overflowPunct w:val="true"/>
        <w:autoSpaceDE w:val="true"/>
        <w:bidi w:val="0"/>
        <w:snapToGrid w:val="true"/>
        <w:spacing w:before="0" w:after="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（二）历史文化街区；</w:t>
      </w:r>
    </w:p>
    <w:p>
      <w:pPr>
        <w:pStyle w:val="BodyText"/>
        <w:keepNext w:val="false"/>
        <w:keepLines w:val="false"/>
        <w:pageBreakBefore w:val="false"/>
        <w:widowControl w:val="false"/>
        <w:kinsoku w:val="true"/>
        <w:overflowPunct w:val="true"/>
        <w:autoSpaceDE w:val="true"/>
        <w:bidi w:val="0"/>
        <w:snapToGrid w:val="true"/>
        <w:spacing w:before="0" w:after="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（三）重点城市公园等公共开敞空间周边；</w:t>
      </w:r>
    </w:p>
    <w:p>
      <w:pPr>
        <w:pStyle w:val="BodyText"/>
        <w:keepNext w:val="false"/>
        <w:keepLines w:val="false"/>
        <w:pageBreakBefore w:val="false"/>
        <w:widowControl w:val="false"/>
        <w:kinsoku w:val="true"/>
        <w:overflowPunct w:val="true"/>
        <w:autoSpaceDE w:val="true"/>
        <w:bidi w:val="0"/>
        <w:snapToGrid w:val="true"/>
        <w:spacing w:before="0" w:after="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（四）重要河道两岸及近海开敞空间；</w:t>
      </w:r>
    </w:p>
    <w:p>
      <w:pPr>
        <w:pStyle w:val="BodyText"/>
        <w:keepNext w:val="false"/>
        <w:keepLines w:val="false"/>
        <w:pageBreakBefore w:val="false"/>
        <w:widowControl w:val="false"/>
        <w:kinsoku w:val="true"/>
        <w:overflowPunct w:val="true"/>
        <w:autoSpaceDE w:val="true"/>
        <w:bidi w:val="0"/>
        <w:snapToGrid w:val="true"/>
        <w:spacing w:before="0" w:after="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（五）对城市风貌和景观有重要影响的其他区域。</w:t>
      </w:r>
    </w:p>
    <w:p>
      <w:pPr>
        <w:pStyle w:val="BodyText"/>
        <w:keepNext w:val="false"/>
        <w:keepLines w:val="false"/>
        <w:pageBreakBefore w:val="false"/>
        <w:widowControl w:val="false"/>
        <w:kinsoku w:val="true"/>
        <w:overflowPunct w:val="true"/>
        <w:autoSpaceDE w:val="true"/>
        <w:bidi w:val="0"/>
        <w:snapToGrid w:val="true"/>
        <w:spacing w:before="0" w:after="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三、市人民政府应当加强对城市规划建设管理工作的领导，强化全周期管理和统筹协调，积极推进重点区域天际线管控工作。</w:t>
      </w:r>
    </w:p>
    <w:p>
      <w:pPr>
        <w:pStyle w:val="BodyText"/>
        <w:keepNext w:val="false"/>
        <w:keepLines w:val="false"/>
        <w:pageBreakBefore w:val="false"/>
        <w:widowControl w:val="false"/>
        <w:kinsoku w:val="true"/>
        <w:overflowPunct w:val="true"/>
        <w:autoSpaceDE w:val="true"/>
        <w:bidi w:val="0"/>
        <w:snapToGrid w:val="true"/>
        <w:spacing w:before="0" w:after="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区人民政府应当履行属地责任，组织落实重点区域天际线管控各项任务。</w:t>
      </w:r>
    </w:p>
    <w:p>
      <w:pPr>
        <w:pStyle w:val="BodyText"/>
        <w:keepNext w:val="false"/>
        <w:keepLines w:val="false"/>
        <w:pageBreakBefore w:val="false"/>
        <w:widowControl w:val="false"/>
        <w:kinsoku w:val="true"/>
        <w:overflowPunct w:val="true"/>
        <w:autoSpaceDE w:val="true"/>
        <w:bidi w:val="0"/>
        <w:snapToGrid w:val="true"/>
        <w:spacing w:before="0" w:after="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规划资源部门负责重点区域天际线管控工作，纳入建设项目审批规划条件，编制相关规划设计导则，并加强组织实施和监督指导。</w:t>
      </w:r>
    </w:p>
    <w:p>
      <w:pPr>
        <w:pStyle w:val="BodyText"/>
        <w:keepNext w:val="false"/>
        <w:keepLines w:val="false"/>
        <w:pageBreakBefore w:val="false"/>
        <w:widowControl w:val="false"/>
        <w:kinsoku w:val="true"/>
        <w:overflowPunct w:val="true"/>
        <w:autoSpaceDE w:val="true"/>
        <w:bidi w:val="0"/>
        <w:snapToGrid w:val="true"/>
        <w:spacing w:before="0" w:after="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城市管理、住房城乡建设、文化和旅游等部门按照各自职责，做好重点区域天际线管控相关工作。</w:t>
      </w:r>
    </w:p>
    <w:p>
      <w:pPr>
        <w:pStyle w:val="BodyText"/>
        <w:keepNext w:val="false"/>
        <w:keepLines w:val="false"/>
        <w:pageBreakBefore w:val="false"/>
        <w:widowControl w:val="false"/>
        <w:kinsoku w:val="true"/>
        <w:overflowPunct w:val="true"/>
        <w:autoSpaceDE w:val="true"/>
        <w:bidi w:val="0"/>
        <w:snapToGrid w:val="true"/>
        <w:spacing w:before="0" w:after="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四、重点区域天际线管控要求，应当纳入国土空间总体规划、控制性详细规划编制内容。</w:t>
      </w:r>
    </w:p>
    <w:p>
      <w:pPr>
        <w:pStyle w:val="BodyText"/>
        <w:keepNext w:val="false"/>
        <w:keepLines w:val="false"/>
        <w:pageBreakBefore w:val="false"/>
        <w:widowControl w:val="false"/>
        <w:kinsoku w:val="true"/>
        <w:overflowPunct w:val="true"/>
        <w:autoSpaceDE w:val="true"/>
        <w:bidi w:val="0"/>
        <w:snapToGrid w:val="true"/>
        <w:spacing w:before="0" w:after="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编制和实施国土空间总体规划，应当科学确定城市整体空间格局和风貌定位，构建多节点、组团式的空间形态，合理布局通风廊道、开敞空间等，加强对重点区域天际线的规划设计和控制引导。</w:t>
      </w:r>
    </w:p>
    <w:p>
      <w:pPr>
        <w:pStyle w:val="BodyText"/>
        <w:keepNext w:val="false"/>
        <w:keepLines w:val="false"/>
        <w:pageBreakBefore w:val="false"/>
        <w:widowControl w:val="false"/>
        <w:kinsoku w:val="true"/>
        <w:overflowPunct w:val="true"/>
        <w:autoSpaceDE w:val="true"/>
        <w:bidi w:val="0"/>
        <w:snapToGrid w:val="true"/>
        <w:spacing w:before="0" w:after="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制定和实施控制性详细规划，应当分类细化天际线管控要求，优化建设用地布局，把握建筑空间尺度，合理控制容积率、建筑密度、绿地率等指标。</w:t>
      </w:r>
    </w:p>
    <w:p>
      <w:pPr>
        <w:pStyle w:val="BodyText"/>
        <w:keepNext w:val="false"/>
        <w:keepLines w:val="false"/>
        <w:pageBreakBefore w:val="false"/>
        <w:widowControl w:val="false"/>
        <w:kinsoku w:val="true"/>
        <w:overflowPunct w:val="true"/>
        <w:autoSpaceDE w:val="true"/>
        <w:bidi w:val="0"/>
        <w:snapToGrid w:val="true"/>
        <w:spacing w:before="0" w:after="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五、城市设计应当统筹重点区域建筑布局，对建筑空间形态进行整体管控，注重结合地形高差和周边环境，水平方向形成错落有致、统一协调、有节奏、有韵律的天际线变化，进深方向形成重点突出、层次丰富、视线通透、色彩适度变化的效果。</w:t>
      </w:r>
    </w:p>
    <w:p>
      <w:pPr>
        <w:pStyle w:val="BodyText"/>
        <w:keepNext w:val="false"/>
        <w:keepLines w:val="false"/>
        <w:pageBreakBefore w:val="false"/>
        <w:widowControl w:val="false"/>
        <w:kinsoku w:val="true"/>
        <w:overflowPunct w:val="true"/>
        <w:autoSpaceDE w:val="true"/>
        <w:bidi w:val="0"/>
        <w:snapToGrid w:val="true"/>
        <w:spacing w:before="0" w:after="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六、建筑设计应当强化对建筑高度、面宽、体量和形体的控制，加强对建筑立面、建筑屋顶等的一体化设计，促进新老建筑体量、风格、色彩协调，形成有层次、有变化的色彩搭配，增强景观资源的可达性、可视性。</w:t>
      </w:r>
    </w:p>
    <w:p>
      <w:pPr>
        <w:pStyle w:val="BodyText"/>
        <w:keepNext w:val="false"/>
        <w:keepLines w:val="false"/>
        <w:pageBreakBefore w:val="false"/>
        <w:widowControl w:val="false"/>
        <w:kinsoku w:val="true"/>
        <w:overflowPunct w:val="true"/>
        <w:autoSpaceDE w:val="true"/>
        <w:bidi w:val="0"/>
        <w:snapToGrid w:val="true"/>
        <w:spacing w:before="0" w:after="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七、加强海岸线规划管控，建设通达海岸、系统互联、人可亲近的近海开敞空间，鼓励通过错层、退台等方式丰富沿海区域建筑层次和造型，形成碧海、蓝天、城市相互映衬的天际线景观。</w:t>
      </w:r>
    </w:p>
    <w:p>
      <w:pPr>
        <w:pStyle w:val="BodyText"/>
        <w:keepNext w:val="false"/>
        <w:keepLines w:val="false"/>
        <w:pageBreakBefore w:val="false"/>
        <w:widowControl w:val="false"/>
        <w:kinsoku w:val="true"/>
        <w:overflowPunct w:val="true"/>
        <w:autoSpaceDE w:val="true"/>
        <w:bidi w:val="0"/>
        <w:snapToGrid w:val="true"/>
        <w:spacing w:before="0" w:after="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八、户外广告、商业牌匾、景观照明等设置应当与建筑风格、立面形式以及城市风貌相协调。</w:t>
      </w:r>
    </w:p>
    <w:p>
      <w:pPr>
        <w:pStyle w:val="BodyText"/>
        <w:keepNext w:val="false"/>
        <w:keepLines w:val="false"/>
        <w:pageBreakBefore w:val="false"/>
        <w:widowControl w:val="false"/>
        <w:kinsoku w:val="true"/>
        <w:overflowPunct w:val="true"/>
        <w:autoSpaceDE w:val="true"/>
        <w:bidi w:val="0"/>
        <w:snapToGrid w:val="true"/>
        <w:spacing w:before="0" w:after="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九、建设工程围网、围挡、架空管线等临时设施应当规范设置，强化施工现场管理，提高文明施工水平，维护城市良好形象。</w:t>
      </w:r>
    </w:p>
    <w:p>
      <w:pPr>
        <w:pStyle w:val="BodyText"/>
        <w:keepNext w:val="false"/>
        <w:keepLines w:val="false"/>
        <w:pageBreakBefore w:val="false"/>
        <w:widowControl w:val="false"/>
        <w:kinsoku w:val="true"/>
        <w:overflowPunct w:val="true"/>
        <w:autoSpaceDE w:val="true"/>
        <w:bidi w:val="0"/>
        <w:snapToGrid w:val="true"/>
        <w:spacing w:before="0" w:after="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十、加强重点区域天际线管控，应当保护历史文脉，鼓励传承创新，融入现代文化元素，延续城市特色风貌。</w:t>
      </w:r>
    </w:p>
    <w:p>
      <w:pPr>
        <w:pStyle w:val="BodyText"/>
        <w:keepNext w:val="false"/>
        <w:keepLines w:val="false"/>
        <w:pageBreakBefore w:val="false"/>
        <w:widowControl w:val="false"/>
        <w:kinsoku w:val="true"/>
        <w:overflowPunct w:val="true"/>
        <w:autoSpaceDE w:val="true"/>
        <w:bidi w:val="0"/>
        <w:snapToGrid w:val="true"/>
        <w:spacing w:before="0" w:after="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十一、不得违反法律、法规规定，擅自拆改、增建建筑物、构筑物，擅自改变原有的立面、色彩和形状，破坏天际线景观。</w:t>
      </w:r>
    </w:p>
    <w:p>
      <w:pPr>
        <w:pStyle w:val="BodyText"/>
        <w:keepNext w:val="false"/>
        <w:keepLines w:val="false"/>
        <w:pageBreakBefore w:val="false"/>
        <w:widowControl w:val="false"/>
        <w:kinsoku w:val="true"/>
        <w:overflowPunct w:val="true"/>
        <w:autoSpaceDE w:val="true"/>
        <w:bidi w:val="0"/>
        <w:snapToGrid w:val="true"/>
        <w:spacing w:before="0" w:after="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十二、有关部门应当建立健全公众参与机制，在重点区域天际线规划设计工作中广泛征求专家学者和公众意见，提升规划设计水平。</w:t>
      </w:r>
    </w:p>
    <w:p>
      <w:pPr>
        <w:pStyle w:val="BodyText"/>
        <w:keepNext w:val="false"/>
        <w:keepLines w:val="false"/>
        <w:pageBreakBefore w:val="false"/>
        <w:widowControl w:val="false"/>
        <w:kinsoku w:val="true"/>
        <w:overflowPunct w:val="true"/>
        <w:autoSpaceDE w:val="true"/>
        <w:bidi w:val="0"/>
        <w:snapToGrid w:val="true"/>
        <w:spacing w:before="0" w:after="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十三、市和区人民政府及其有关部门应当加强对天际线管控工作的监督检查。对违反管控要求的行为，按照国家和本市有关规定予以处理或者处罚。</w:t>
      </w:r>
    </w:p>
    <w:p>
      <w:pPr>
        <w:pStyle w:val="BodyText"/>
        <w:keepNext w:val="false"/>
        <w:keepLines w:val="false"/>
        <w:pageBreakBefore w:val="false"/>
        <w:widowControl w:val="false"/>
        <w:kinsoku w:val="true"/>
        <w:overflowPunct w:val="true"/>
        <w:autoSpaceDE w:val="true"/>
        <w:bidi w:val="0"/>
        <w:snapToGrid w:val="true"/>
        <w:spacing w:before="0" w:after="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十四、市和区人民代表大会常务委员会应当加强对本决定实施情况的监督，维护本决定执行的严肃性。</w:t>
      </w:r>
    </w:p>
    <w:p>
      <w:pPr>
        <w:pStyle w:val="BodyText"/>
        <w:keepNext w:val="false"/>
        <w:keepLines w:val="false"/>
        <w:pageBreakBefore w:val="false"/>
        <w:widowControl w:val="false"/>
        <w:kinsoku w:val="true"/>
        <w:overflowPunct w:val="true"/>
        <w:autoSpaceDE w:val="true"/>
        <w:bidi w:val="0"/>
        <w:snapToGrid w:val="true"/>
        <w:spacing w:before="0" w:after="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十五、本决定自公布之日起施行。</w:t>
      </w:r>
    </w:p>
    <w:p>
      <w:pPr>
        <w:pStyle w:val="BodyText"/>
        <w:keepNext w:val="false"/>
        <w:keepLines w:val="false"/>
        <w:pageBreakBefore w:val="false"/>
        <w:widowControl w:val="false"/>
        <w:kinsoku w:val="true"/>
        <w:overflowPunct w:val="true"/>
        <w:autoSpaceDE w:val="true"/>
        <w:bidi w:val="0"/>
        <w:snapToGrid w:val="true"/>
        <w:spacing w:before="0" w:after="0"/>
        <w:ind w:firstLineChars="200" w:startChars="0" w:start="0" w:endChars="0" w:end="0"/>
        <w:textAlignment w:val="auto"/>
        <w:rPr>
          <w:rFonts w:ascii="仿宋_GB2312" w:hAnsi="仿宋_GB2312" w:eastAsia="仿宋_GB2312" w:cs="仿宋_GB2312" w:hint="eastAsia"/>
          <w:bCs/>
          <w:szCs w:val="32"/>
        </w:rPr>
      </w:pPr>
      <w:r>
        <w:rPr>
          <w:rFonts w:eastAsia="仿宋_GB2312" w:cs="仿宋_GB2312" w:hint="eastAsia" w:ascii="仿宋_GB2312" w:hAnsi="仿宋_GB2312"/>
          <w:bCs/>
          <w:szCs w:val="32"/>
        </w:rPr>
      </w:r>
    </w:p>
    <w:sectPr>
      <w:footerReference w:type="default" r:id="rId2"/>
      <w:type w:val="nextPage"/>
      <w:pgSz w:w="11906" w:h="16838"/>
      <w:pgMar w:left="1531" w:right="1531" w:gutter="0" w:header="0" w:top="2098" w:footer="992"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altName w:val="FreeSerif"/>
    <w:charset w:val="00" w:characterSet="windows-1252"/>
    <w:family w:val="auto"/>
    <w:pitch w:val="default"/>
  </w:font>
  <w:font w:name="宋体">
    <w:charset w:val="86"/>
    <w:family w:val="auto"/>
    <w:pitch w:val="default"/>
  </w:font>
  <w:font w:name="仿宋_GB2312">
    <w:charset w:val="86"/>
    <w:family w:val="modern"/>
    <w:pitch w:val="default"/>
  </w:font>
  <w:font w:name="Verdana">
    <w:altName w:val="Ubuntu"/>
    <w:charset w:val="00" w:characterSet="windows-1252"/>
    <w:family w:val="swiss"/>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Strong">
    <w:name w:val="Strong"/>
    <w:basedOn w:val="Style14"/>
    <w:qFormat/>
    <w:rPr>
      <w:b/>
      <w:bCs/>
    </w:rPr>
  </w:style>
  <w:style w:type="character" w:styleId="PageNumber">
    <w:name w:val="page number"/>
    <w:basedOn w:val="Style14"/>
    <w:rPr/>
  </w:style>
  <w:style w:type="character" w:styleId="apple-converted-space">
    <w:name w:val="apple-converted-space"/>
    <w:basedOn w:val="Style14"/>
    <w:qFormat/>
    <w:rPr/>
  </w:style>
  <w:style w:type="paragraph" w:styleId="Heading">
    <w:name w:val="Heading"/>
    <w:basedOn w:val="Normal"/>
    <w:next w:val="Normal"/>
    <w:qFormat/>
    <w:pPr>
      <w:spacing w:before="240" w:after="60"/>
      <w:jc w:val="center"/>
      <w:outlineLvl w:val="0"/>
    </w:pPr>
    <w:rPr>
      <w:rFonts w:ascii="Cambria;FreeSerif" w:hAnsi="Cambria;FreeSerif" w:eastAsia="宋体" w:cs="Times New Roman"/>
      <w:b/>
      <w:bCs/>
      <w:szCs w:val="32"/>
    </w:rPr>
  </w:style>
  <w:style w:type="paragraph" w:styleId="BodyText">
    <w:name w:val="Body Text"/>
    <w:basedOn w:val="Normal"/>
    <w:next w:val="Normal"/>
    <w:pPr>
      <w:spacing w:before="0" w:after="120"/>
    </w:pPr>
    <w:rPr>
      <w:szCs w:val="3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 w:hAnsi="宋体" w:eastAsia="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ind w:firstLineChars="200" w:startChars="0" w:start="0" w:endChars="0" w:end="0"/>
    </w:pPr>
    <w:rPr>
      <w:rFonts w:ascii="仿宋_GB2312" w:hAnsi="仿宋_GB2312" w:hint="eastAsia"/>
    </w:rPr>
  </w:style>
  <w:style w:type="paragraph" w:styleId="Style41">
    <w:name w:val="_Style 4"/>
    <w:basedOn w:val="Normal"/>
    <w:qFormat/>
    <w:pPr/>
    <w:rPr>
      <w:rFonts w:eastAsia="宋体"/>
      <w:sz w:val="21"/>
    </w:rPr>
  </w:style>
  <w:style w:type="paragraph" w:styleId="Char2">
    <w:name w:val=" Char2"/>
    <w:basedOn w:val="Normal"/>
    <w:qFormat/>
    <w:pPr>
      <w:widowControl/>
      <w:spacing w:lineRule="exact" w:line="240" w:before="0" w:after="160"/>
      <w:jc w:val="start"/>
    </w:pPr>
    <w:rPr>
      <w:rFonts w:ascii="Verdana;Ubuntu" w:hAnsi="Verdana;Ubuntu" w:eastAsia="宋体" w:cs="Verdana;Ubuntu"/>
      <w:kern w:val="0"/>
      <w:sz w:val="20"/>
      <w:szCs w:val="20"/>
      <w:lang w:eastAsia="en-U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2015-01-01T15:20:00Z</dcterms:created>
  <dc:creator>DELL</dc:creator>
  <dc:description/>
  <dc:language>en-US</dc:language>
  <cp:lastModifiedBy>杨雨妹</cp:lastModifiedBy>
  <cp:lastPrinted>2022-03-31T09:38:00Z</cp:lastPrinted>
  <dcterms:modified xsi:type="dcterms:W3CDTF">2022-08-12T19:14:26Z</dcterms:modified>
  <cp:revision>391</cp:revision>
  <dc:subject/>
  <dc:title>（第  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2052-10.8.0.7149</vt:lpwstr>
  </property>
</Properties>
</file>