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cs="Arial" w:hint="eastAsia"/>
          <w:kern w:val="0"/>
          <w:szCs w:val="32"/>
        </w:rPr>
      </w:pPr>
      <w:r>
        <w:rPr>
          <w:rFonts w:cs="Arial" w:hint="eastAsia" w:ascii="宋体" w:hAnsi="宋体"/>
          <w:kern w:val="0"/>
          <w:szCs w:val="32"/>
        </w:rPr>
      </w:r>
    </w:p>
    <w:p>
      <w:pPr>
        <w:pStyle w:val="Normal"/>
        <w:rPr>
          <w:rFonts w:ascii="宋体" w:hAnsi="宋体" w:cs="Arial" w:hint="eastAsia"/>
          <w:kern w:val="0"/>
          <w:szCs w:val="32"/>
        </w:rPr>
      </w:pPr>
      <w:r>
        <w:rPr>
          <w:rFonts w:cs="Arial" w:hint="eastAsia" w:ascii="宋体" w:hAnsi="宋体"/>
          <w:kern w:val="0"/>
          <w:szCs w:val="32"/>
        </w:rPr>
      </w:r>
    </w:p>
    <w:p>
      <w:pPr>
        <w:pStyle w:val="Normal"/>
        <w:jc w:val="center"/>
        <w:rPr>
          <w:rFonts w:ascii="宋体" w:hAnsi="宋体" w:eastAsia="宋体" w:cs="Arial" w:hint="eastAsia"/>
          <w:bCs/>
          <w:sz w:val="44"/>
          <w:szCs w:val="44"/>
        </w:rPr>
      </w:pPr>
      <w:r>
        <w:rPr>
          <w:rFonts w:ascii="宋体" w:hAnsi="宋体" w:cs="Arial" w:hint="eastAsia" w:eastAsia="宋体"/>
          <w:bCs/>
          <w:sz w:val="44"/>
          <w:szCs w:val="44"/>
        </w:rPr>
        <w:t>天津市住房公积金管理条例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Arial" w:hint="eastAsia"/>
          <w:bCs/>
          <w:sz w:val="44"/>
          <w:szCs w:val="44"/>
        </w:rPr>
      </w:pPr>
      <w:r>
        <w:rPr>
          <w:rFonts w:eastAsia="楷体_GB2312" w:cs="Arial" w:hint="eastAsia" w:ascii="楷体_GB2312" w:hAnsi="楷体_GB2312"/>
          <w:bCs/>
          <w:sz w:val="44"/>
          <w:szCs w:val="44"/>
        </w:rPr>
      </w:r>
    </w:p>
    <w:p>
      <w:pPr>
        <w:pStyle w:val="Normal"/>
        <w:tabs>
          <w:tab w:val="clear" w:pos="420"/>
          <w:tab w:val="left" w:pos="993" w:leader="none"/>
        </w:tabs>
        <w:jc w:val="center"/>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2002</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5</w:t>
      </w:r>
      <w:r>
        <w:rPr>
          <w:rFonts w:ascii="楷体_GB2312" w:hAnsi="楷体_GB2312" w:hint="eastAsia" w:eastAsia="楷体_GB2312"/>
        </w:rPr>
        <w:t>日天津市第十三届人民代表大会常</w:t>
      </w:r>
    </w:p>
    <w:p>
      <w:pPr>
        <w:pStyle w:val="Normal"/>
        <w:tabs>
          <w:tab w:val="clear" w:pos="420"/>
          <w:tab w:val="left" w:pos="993" w:leader="none"/>
        </w:tabs>
        <w:jc w:val="both"/>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务委员会第三十五次会议通过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rPr>
      </w:pPr>
      <w:r>
        <w:rPr>
          <w:rFonts w:eastAsia="楷体_GB2312" w:hint="eastAsia" w:ascii="楷体_GB2312" w:hAnsi="楷体_GB2312"/>
        </w:rPr>
        <w:t xml:space="preserve"> </w:t>
      </w:r>
    </w:p>
    <w:p>
      <w:pPr>
        <w:pStyle w:val="Normal"/>
        <w:tabs>
          <w:tab w:val="clear" w:pos="420"/>
          <w:tab w:val="left" w:pos="1276" w:leader="none"/>
        </w:tabs>
        <w:ind w:firstLine="640" w:end="0"/>
        <w:jc w:val="both"/>
        <w:rPr>
          <w:rFonts w:ascii="楷体_GB2312" w:hAnsi="楷体_GB2312" w:eastAsia="楷体_GB2312" w:hint="eastAsia"/>
        </w:rPr>
      </w:pPr>
      <w:r>
        <w:rPr>
          <w:rFonts w:ascii="楷体_GB2312" w:hAnsi="楷体_GB2312" w:hint="eastAsia" w:eastAsia="楷体_GB2312"/>
        </w:rPr>
        <w:t>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日天津市第十五届人民代表大会</w:t>
      </w:r>
    </w:p>
    <w:p>
      <w:pPr>
        <w:pStyle w:val="Normal"/>
        <w:tabs>
          <w:tab w:val="clear" w:pos="420"/>
          <w:tab w:val="left" w:pos="1276" w:leader="none"/>
        </w:tabs>
        <w:ind w:firstLine="640" w:end="0"/>
        <w:jc w:val="both"/>
        <w:rPr>
          <w:rFonts w:ascii="楷体_GB2312" w:hAnsi="楷体_GB2312" w:eastAsia="楷体_GB2312" w:hint="eastAsia"/>
        </w:rPr>
      </w:pPr>
      <w:r>
        <w:rPr>
          <w:rFonts w:ascii="楷体_GB2312" w:hAnsi="楷体_GB2312" w:hint="eastAsia" w:eastAsia="楷体_GB2312"/>
        </w:rPr>
        <w:t>常务委员会第十九次会议通过的《天津市人民代表大</w:t>
      </w:r>
    </w:p>
    <w:p>
      <w:pPr>
        <w:pStyle w:val="Normal"/>
        <w:tabs>
          <w:tab w:val="clear" w:pos="420"/>
          <w:tab w:val="left" w:pos="1276" w:leader="none"/>
        </w:tabs>
        <w:ind w:firstLine="640" w:end="0"/>
        <w:jc w:val="both"/>
        <w:rPr>
          <w:rFonts w:ascii="楷体_GB2312" w:hAnsi="楷体_GB2312" w:eastAsia="楷体_GB2312" w:hint="eastAsia"/>
        </w:rPr>
      </w:pPr>
      <w:r>
        <w:rPr>
          <w:rFonts w:ascii="楷体_GB2312" w:hAnsi="楷体_GB2312" w:hint="eastAsia" w:eastAsia="楷体_GB2312"/>
        </w:rPr>
        <w:t>会常务委员会关于修改部分地方性法规的决定》修正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hint="eastAsia"/>
        </w:rPr>
      </w:pPr>
      <w:r>
        <w:rPr>
          <w:rFonts w:eastAsia="楷体_GB2312" w:hint="eastAsia" w:ascii="楷体_GB2312" w:hAnsi="楷体_GB2312"/>
        </w:rPr>
      </w:r>
    </w:p>
    <w:p>
      <w:pPr>
        <w:pStyle w:val="Normal"/>
        <w:tabs>
          <w:tab w:val="clear" w:pos="420"/>
          <w:tab w:val="left" w:pos="1276" w:leader="none"/>
        </w:tabs>
        <w:ind w:firstLine="640" w:end="0"/>
        <w:rPr>
          <w:rFonts w:ascii="楷体_GB2312" w:hAnsi="楷体_GB2312" w:eastAsia="楷体_GB2312" w:hint="eastAsia"/>
        </w:rPr>
      </w:pPr>
      <w:r>
        <w:rPr>
          <w:rFonts w:eastAsia="楷体_GB2312" w:hint="eastAsia" w:ascii="楷体_GB2312" w:hAnsi="楷体_GB2312"/>
        </w:rPr>
        <w:t>2017</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2</w:t>
      </w:r>
      <w:r>
        <w:rPr>
          <w:rFonts w:ascii="楷体_GB2312" w:hAnsi="楷体_GB2312" w:hint="eastAsia" w:eastAsia="楷体_GB2312"/>
        </w:rPr>
        <w:t>日天津市第十六届人民代表大会常务委</w:t>
      </w:r>
    </w:p>
    <w:p>
      <w:pPr>
        <w:pStyle w:val="Normal"/>
        <w:tabs>
          <w:tab w:val="clear" w:pos="420"/>
          <w:tab w:val="left" w:pos="1276" w:leader="none"/>
        </w:tabs>
        <w:ind w:firstLine="640" w:end="0"/>
        <w:rPr>
          <w:rFonts w:ascii="楷体_GB2312" w:hAnsi="楷体_GB2312" w:eastAsia="楷体_GB2312" w:hint="eastAsia"/>
        </w:rPr>
      </w:pPr>
      <w:r>
        <w:rPr>
          <w:rFonts w:ascii="楷体_GB2312" w:hAnsi="楷体_GB2312" w:hint="eastAsia" w:eastAsia="楷体_GB2312"/>
        </w:rPr>
        <w:t>员会第三十六次会议修订）</w:t>
      </w:r>
    </w:p>
    <w:p>
      <w:pPr>
        <w:pStyle w:val="Normal"/>
        <w:tabs>
          <w:tab w:val="clear" w:pos="420"/>
          <w:tab w:val="left" w:pos="1276" w:leader="none"/>
        </w:tabs>
        <w:ind w:firstLine="640" w:end="0"/>
        <w:rPr>
          <w:rFonts w:ascii="楷体_GB2312" w:hAnsi="楷体_GB2312" w:eastAsia="楷体_GB2312" w:hint="eastAsia"/>
        </w:rPr>
      </w:pPr>
      <w:r>
        <w:rPr>
          <w:rFonts w:eastAsia="楷体_GB2312" w:hint="eastAsia" w:ascii="楷体_GB2312" w:hAnsi="楷体_GB2312"/>
        </w:rPr>
      </w:r>
    </w:p>
    <w:p>
      <w:pPr>
        <w:pStyle w:val="Normal"/>
        <w:jc w:val="center"/>
        <w:rPr>
          <w:rFonts w:ascii="楷体_GB2312" w:hAnsi="楷体_GB2312" w:eastAsia="楷体_GB2312" w:cs="Arial" w:hint="eastAsia"/>
          <w:szCs w:val="32"/>
        </w:rPr>
      </w:pPr>
      <w:r>
        <w:rPr>
          <w:rFonts w:ascii="楷体_GB2312" w:hAnsi="楷体_GB2312" w:cs="Arial" w:hint="eastAsia" w:eastAsia="楷体_GB2312"/>
          <w:szCs w:val="32"/>
        </w:rPr>
        <w:t>目  录</w:t>
      </w:r>
    </w:p>
    <w:p>
      <w:pPr>
        <w:pStyle w:val="Normal"/>
        <w:ind w:firstLineChars="0" w:firstLine="0" w:startChars="309" w:endChars="0" w:end="0"/>
        <w:rPr/>
      </w:pP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第一章　总则</w:t>
      </w:r>
      <w:r>
        <w:rPr>
          <w:rStyle w:val="Hyperlink"/>
          <w:rFonts w:ascii="楷体_GB2312" w:hAnsi="楷体_GB2312" w:cs="Arial" w:hint="eastAsia" w:eastAsia="楷体_GB2312"/>
          <w:color w:val="000000"/>
          <w:sz w:val="32"/>
          <w:szCs w:val="32"/>
        </w:rPr>
        <w:fldChar w:fldCharType="end"/>
      </w:r>
      <w:r>
        <w:rPr>
          <w:rFonts w:eastAsia="楷体_GB2312" w:cs="Arial" w:hint="eastAsia" w:ascii="楷体_GB2312" w:hAnsi="楷体_GB2312"/>
          <w:szCs w:val="32"/>
        </w:rPr>
        <w:br/>
      </w: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第二章　机构及其职责</w:t>
      </w:r>
      <w:r>
        <w:rPr>
          <w:rStyle w:val="Hyperlink"/>
          <w:rFonts w:ascii="楷体_GB2312" w:hAnsi="楷体_GB2312" w:cs="Arial" w:hint="eastAsia" w:eastAsia="楷体_GB2312"/>
          <w:color w:val="000000"/>
          <w:sz w:val="32"/>
          <w:szCs w:val="32"/>
        </w:rPr>
        <w:fldChar w:fldCharType="end"/>
      </w:r>
      <w:r>
        <w:rPr>
          <w:rFonts w:eastAsia="楷体_GB2312" w:cs="Arial" w:hint="eastAsia" w:ascii="楷体_GB2312" w:hAnsi="楷体_GB2312"/>
          <w:szCs w:val="32"/>
        </w:rPr>
        <w:br/>
      </w: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"3%233"</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第三章　住房公积金缴存</w:t>
      </w:r>
      <w:r>
        <w:rPr>
          <w:rStyle w:val="Hyperlink"/>
          <w:rFonts w:ascii="楷体_GB2312" w:hAnsi="楷体_GB2312" w:cs="Arial" w:hint="eastAsia" w:eastAsia="楷体_GB2312"/>
          <w:color w:val="000000"/>
          <w:sz w:val="32"/>
          <w:szCs w:val="32"/>
        </w:rPr>
        <w:fldChar w:fldCharType="end"/>
      </w:r>
      <w:r>
        <w:rPr>
          <w:rFonts w:eastAsia="楷体_GB2312" w:cs="Arial" w:hint="eastAsia" w:ascii="楷体_GB2312" w:hAnsi="楷体_GB2312"/>
          <w:szCs w:val="32"/>
        </w:rPr>
        <w:br/>
      </w: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"4%234"</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第四章　住房公积金提取</w:t>
      </w:r>
      <w:r>
        <w:rPr>
          <w:rStyle w:val="Hyperlink"/>
          <w:rFonts w:ascii="楷体_GB2312" w:hAnsi="楷体_GB2312" w:cs="Arial" w:hint="eastAsia" w:eastAsia="楷体_GB2312"/>
          <w:color w:val="000000"/>
          <w:sz w:val="32"/>
          <w:szCs w:val="32"/>
        </w:rPr>
        <w:fldChar w:fldCharType="end"/>
      </w:r>
      <w:r>
        <w:rPr>
          <w:rFonts w:eastAsia="楷体_GB2312" w:cs="Arial" w:hint="eastAsia" w:ascii="楷体_GB2312" w:hAnsi="楷体_GB2312"/>
          <w:szCs w:val="32"/>
        </w:rPr>
        <w:br/>
      </w: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"5%235"</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第五章　住房公积金使用</w:t>
      </w:r>
      <w:r>
        <w:rPr>
          <w:rStyle w:val="Hyperlink"/>
          <w:rFonts w:ascii="楷体_GB2312" w:hAnsi="楷体_GB2312" w:cs="Arial" w:hint="eastAsia" w:eastAsia="楷体_GB2312"/>
          <w:color w:val="000000"/>
          <w:sz w:val="32"/>
          <w:szCs w:val="32"/>
        </w:rPr>
        <w:fldChar w:fldCharType="end"/>
      </w:r>
      <w:r>
        <w:rPr>
          <w:rFonts w:eastAsia="楷体_GB2312" w:cs="Arial" w:hint="eastAsia" w:ascii="楷体_GB2312" w:hAnsi="楷体_GB2312"/>
          <w:szCs w:val="32"/>
        </w:rPr>
        <w:br/>
      </w: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"6%236"</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第六章　监督</w:t>
      </w:r>
      <w:r>
        <w:rPr>
          <w:rStyle w:val="Hyperlink"/>
          <w:rFonts w:ascii="楷体_GB2312" w:hAnsi="楷体_GB2312" w:cs="Arial" w:hint="eastAsia" w:eastAsia="楷体_GB2312"/>
          <w:color w:val="000000"/>
          <w:sz w:val="32"/>
          <w:szCs w:val="32"/>
        </w:rPr>
        <w:fldChar w:fldCharType="end"/>
      </w:r>
    </w:p>
    <w:p>
      <w:pPr>
        <w:pStyle w:val="Normal"/>
        <w:ind w:firstLineChars="300" w:startChars="0" w:start="0" w:endChars="0" w:end="0"/>
        <w:rPr>
          <w:rFonts w:ascii="楷体_GB2312" w:hAnsi="楷体_GB2312" w:eastAsia="楷体_GB2312" w:cs="Arial" w:hint="eastAsia"/>
          <w:szCs w:val="32"/>
        </w:rPr>
      </w:pP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"7%237"</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第七章　</w:t>
      </w:r>
      <w:r>
        <w:rPr>
          <w:rStyle w:val="Hyperlink"/>
          <w:rFonts w:ascii="楷体_GB2312" w:hAnsi="楷体_GB2312" w:cs="Arial" w:hint="eastAsia" w:eastAsia="楷体_GB2312"/>
          <w:color w:val="000000"/>
          <w:sz w:val="32"/>
          <w:szCs w:val="32"/>
        </w:rPr>
        <w:fldChar w:fldCharType="end"/>
      </w:r>
      <w:r>
        <w:rPr>
          <w:rFonts w:ascii="楷体_GB2312" w:hAnsi="楷体_GB2312" w:cs="Arial" w:hint="eastAsia" w:eastAsia="楷体_GB2312"/>
          <w:szCs w:val="32"/>
        </w:rPr>
        <w:t>法律责任</w:t>
      </w:r>
    </w:p>
    <w:p>
      <w:pPr>
        <w:pStyle w:val="Normal"/>
        <w:ind w:firstLineChars="300" w:startChars="0" w:start="0" w:endChars="0" w:end="0"/>
        <w:rPr>
          <w:rFonts w:ascii="楷体_GB2312" w:hAnsi="楷体_GB2312" w:eastAsia="楷体_GB2312" w:cs="Arial" w:hint="eastAsia"/>
          <w:szCs w:val="32"/>
        </w:rPr>
      </w:pP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"7%237"</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第八章　附则</w:t>
      </w:r>
      <w:r>
        <w:rPr>
          <w:rStyle w:val="Hyperlink"/>
          <w:rFonts w:ascii="楷体_GB2312" w:hAnsi="楷体_GB2312" w:cs="Arial" w:hint="eastAsia" w:eastAsia="楷体_GB2312"/>
          <w:color w:val="000000"/>
          <w:sz w:val="32"/>
          <w:szCs w:val="32"/>
        </w:rPr>
        <w:fldChar w:fldCharType="end"/>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0" w:end="0"/>
        <w:jc w:val="both"/>
        <w:textAlignment w:val="auto"/>
        <w:rPr>
          <w:rFonts w:ascii="楷体_GB2312" w:hAnsi="楷体_GB2312" w:eastAsia="楷体_GB2312" w:cs="Arial" w:hint="eastAsia"/>
          <w:szCs w:val="32"/>
        </w:rPr>
      </w:pPr>
      <w:r>
        <w:rPr>
          <w:rFonts w:eastAsia="楷体_GB2312" w:cs="Arial" w:hint="eastAsia" w:ascii="楷体_GB2312" w:hAnsi="楷体_GB2312"/>
          <w:szCs w:val="32"/>
        </w:rPr>
      </w:r>
    </w:p>
    <w:p>
      <w:pPr>
        <w:pStyle w:val="Normal"/>
        <w:keepNext w:val="false"/>
        <w:keepLines w:val="false"/>
        <w:pageBreakBefore w:val="false"/>
        <w:widowControl w:val="false"/>
        <w:numPr>
          <w:ilvl w:val="0"/>
          <w:numId w:val="8"/>
        </w:numPr>
        <w:kinsoku w:val="true"/>
        <w:overflowPunct w:val="true"/>
        <w:autoSpaceDE w:val="true"/>
        <w:bidi w:val="0"/>
        <w:snapToGrid w:val="false"/>
        <w:spacing w:lineRule="atLeast" w:line="300"/>
        <w:ind w:firstLineChars="0" w:firstLine="0" w:startChars="0" w:start="0" w:endChars="0" w:end="0"/>
        <w:jc w:val="center"/>
        <w:textAlignment w:val="auto"/>
        <w:rPr>
          <w:rFonts w:ascii="黑体" w:hAnsi="黑体" w:eastAsia="黑体" w:cs="黑体"/>
          <w:kern w:val="0"/>
          <w:szCs w:val="32"/>
        </w:rPr>
      </w:pPr>
      <w:r>
        <w:rPr>
          <w:rFonts w:eastAsia="黑体" w:cs="黑体" w:ascii="黑体" w:hAnsi="黑体"/>
          <w:kern w:val="0"/>
          <w:szCs w:val="32"/>
        </w:rPr>
        <w:t xml:space="preserve"> </w:t>
      </w:r>
      <w:r>
        <w:rPr>
          <w:rFonts w:ascii="黑体" w:hAnsi="黑体" w:cs="黑体" w:eastAsia="黑体"/>
          <w:kern w:val="0"/>
          <w:szCs w:val="32"/>
        </w:rPr>
        <w:t>总</w:t>
      </w:r>
      <w:r>
        <w:rPr>
          <w:rFonts w:ascii="黑体" w:hAnsi="黑体" w:cs="黑体" w:hint="eastAsia" w:eastAsia="黑体"/>
          <w:kern w:val="0"/>
          <w:szCs w:val="32"/>
        </w:rPr>
        <w:t xml:space="preserve">  </w:t>
      </w:r>
      <w:r>
        <w:rPr>
          <w:rFonts w:ascii="黑体" w:hAnsi="黑体" w:cs="黑体" w:eastAsia="黑体"/>
          <w:kern w:val="0"/>
          <w:szCs w:val="32"/>
        </w:rPr>
        <w:t>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300"/>
        <w:ind w:firstLineChars="0" w:firstLine="0" w:startChars="0" w:start="0" w:endChars="0" w:end="0"/>
        <w:jc w:val="both"/>
        <w:textAlignment w:val="auto"/>
        <w:rPr>
          <w:rFonts w:ascii="黑体" w:hAnsi="黑体" w:eastAsia="黑体" w:cs="黑体"/>
          <w:kern w:val="0"/>
          <w:szCs w:val="32"/>
        </w:rPr>
      </w:pPr>
      <w:r>
        <w:rPr>
          <w:rFonts w:eastAsia="黑体" w:cs="黑体" w:ascii="黑体" w:hAnsi="黑体"/>
          <w:kern w:val="0"/>
          <w:szCs w:val="32"/>
        </w:rPr>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kern w:val="0"/>
          <w:szCs w:val="32"/>
        </w:rPr>
      </w:pPr>
      <w:r>
        <w:rPr>
          <w:rFonts w:ascii="黑体" w:hAnsi="黑体" w:cs="黑体" w:hint="eastAsia" w:eastAsia="黑体"/>
          <w:kern w:val="0"/>
          <w:szCs w:val="32"/>
        </w:rPr>
        <w:t>第一条</w:t>
      </w:r>
      <w:r>
        <w:rPr>
          <w:rFonts w:ascii="黑体" w:hAnsi="黑体" w:hint="eastAsia" w:eastAsia="黑体"/>
          <w:kern w:val="0"/>
          <w:szCs w:val="32"/>
        </w:rPr>
        <w:t xml:space="preserve">  </w:t>
      </w:r>
      <w:r>
        <w:rPr>
          <w:rFonts w:cs="仿宋" w:hint="eastAsia"/>
          <w:kern w:val="0"/>
          <w:szCs w:val="32"/>
        </w:rPr>
        <w:t>为了加强本市住房公积金管理，维护住房公积金所有者的合法权益，根据国家有关法律、行政法规，结合本市实际情况，制定本条例。</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Times New Roman" w:hAnsi="Times New Roman" w:eastAsia="仿宋" w:cs="仿宋" w:hint="eastAsia"/>
          <w:kern w:val="0"/>
          <w:szCs w:val="32"/>
        </w:rPr>
      </w:pPr>
      <w:r>
        <w:rPr>
          <w:rFonts w:ascii="黑体" w:hAnsi="黑体" w:cs="黑体" w:eastAsia="黑体"/>
          <w:kern w:val="0"/>
          <w:szCs w:val="32"/>
        </w:rPr>
        <w:t>第二条</w:t>
      </w:r>
      <w:r>
        <w:rPr>
          <w:rFonts w:ascii="黑体" w:hAnsi="黑体" w:hint="eastAsia" w:eastAsia="黑体"/>
          <w:kern w:val="0"/>
          <w:szCs w:val="32"/>
        </w:rPr>
        <w:t xml:space="preserve">  </w:t>
      </w:r>
      <w:r>
        <w:rPr>
          <w:rFonts w:cs="仿宋" w:hint="eastAsia"/>
          <w:kern w:val="0"/>
          <w:szCs w:val="32"/>
        </w:rPr>
        <w:t>本条例适用于本市行政区域内住房公积金的缴存、提取、使用、管理和监督。</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jc w:val="start"/>
        <w:textAlignment w:val="auto"/>
        <w:rPr>
          <w:rFonts w:cs="仿宋" w:hint="eastAsia"/>
          <w:kern w:val="0"/>
          <w:szCs w:val="32"/>
        </w:rPr>
      </w:pPr>
      <w:r>
        <w:rPr>
          <w:rFonts w:ascii="黑体" w:hAnsi="黑体" w:cs="黑体" w:eastAsia="黑体"/>
          <w:kern w:val="0"/>
          <w:szCs w:val="32"/>
        </w:rPr>
        <w:t>第三条</w:t>
      </w:r>
      <w:r>
        <w:rPr>
          <w:rFonts w:ascii="黑体" w:hAnsi="黑体" w:hint="eastAsia" w:eastAsia="黑体"/>
          <w:b/>
          <w:kern w:val="0"/>
          <w:szCs w:val="32"/>
        </w:rPr>
        <w:t xml:space="preserve">  </w:t>
      </w:r>
      <w:r>
        <w:rPr>
          <w:rFonts w:cs="仿宋" w:hint="eastAsia"/>
          <w:kern w:val="0"/>
          <w:szCs w:val="32"/>
        </w:rPr>
        <w:t>本条例所称住房公积金，是指在职职工</w:t>
      </w:r>
      <w:r>
        <w:rPr>
          <w:rFonts w:cs="仿宋" w:hint="eastAsia"/>
          <w:color w:val="000000"/>
          <w:kern w:val="0"/>
          <w:szCs w:val="32"/>
        </w:rPr>
        <w:t>（以下简称职工）</w:t>
      </w:r>
      <w:r>
        <w:rPr>
          <w:rFonts w:cs="仿宋" w:hint="eastAsia"/>
          <w:kern w:val="0"/>
          <w:szCs w:val="32"/>
        </w:rPr>
        <w:t>个人及其所在单位按照职工工资收入一定比例逐月缴存的、具有保障性和互助性的职工个人长期住房储金。</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hint="eastAsia"/>
          <w:kern w:val="0"/>
          <w:szCs w:val="32"/>
        </w:rPr>
      </w:pPr>
      <w:r>
        <w:rPr>
          <w:rFonts w:cs="仿宋" w:hint="eastAsia"/>
          <w:kern w:val="0"/>
          <w:szCs w:val="32"/>
        </w:rPr>
        <w:t>职工个人缴存的住房公积金和职工所在单位为职工缴存的住房公积金及其利息，属于职工个人所有。</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b/>
          <w:kern w:val="0"/>
          <w:szCs w:val="32"/>
        </w:rPr>
      </w:pPr>
      <w:r>
        <w:rPr>
          <w:rFonts w:ascii="黑体" w:hAnsi="黑体" w:cs="黑体" w:eastAsia="黑体"/>
          <w:kern w:val="0"/>
          <w:szCs w:val="32"/>
        </w:rPr>
        <w:t>第四条</w:t>
      </w:r>
      <w:r>
        <w:rPr>
          <w:rFonts w:ascii="黑体" w:hAnsi="黑体" w:hint="eastAsia" w:eastAsia="黑体"/>
          <w:b/>
          <w:kern w:val="0"/>
          <w:szCs w:val="32"/>
        </w:rPr>
        <w:t xml:space="preserve">  </w:t>
      </w:r>
      <w:r>
        <w:rPr>
          <w:rFonts w:cs="黑体" w:hint="eastAsia"/>
          <w:kern w:val="0"/>
          <w:szCs w:val="32"/>
        </w:rPr>
        <w:t>单位及其职工应当按照国家和本市有关规定缴存住房公积金。</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cs="仿宋" w:hint="eastAsia"/>
          <w:kern w:val="0"/>
          <w:szCs w:val="32"/>
        </w:rPr>
        <w:t>本条例所称单位包括下列范围：</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cs="仿宋" w:hint="eastAsia"/>
          <w:kern w:val="0"/>
          <w:szCs w:val="32"/>
        </w:rPr>
        <w:t>（一）国家机关、事业单位；</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cs="仿宋" w:hint="eastAsia"/>
          <w:kern w:val="0"/>
          <w:szCs w:val="32"/>
        </w:rPr>
        <w:t>（二）国有企业，集体企业，外商投资企业，港、澳、台商投资企业，私营企业及其他企业、经济组织；</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hint="eastAsia"/>
          <w:kern w:val="0"/>
          <w:szCs w:val="32"/>
        </w:rPr>
      </w:pPr>
      <w:r>
        <w:rPr>
          <w:rFonts w:cs="仿宋" w:hint="eastAsia"/>
          <w:kern w:val="0"/>
          <w:szCs w:val="32"/>
        </w:rPr>
        <w:t>（三）民办非企业单位、基金会、社会团体、律师事务所等；</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hint="eastAsia"/>
          <w:kern w:val="0"/>
          <w:szCs w:val="32"/>
        </w:rPr>
      </w:pPr>
      <w:r>
        <w:rPr>
          <w:rFonts w:cs="仿宋" w:hint="eastAsia"/>
          <w:kern w:val="0"/>
          <w:szCs w:val="32"/>
        </w:rPr>
        <w:t>（四）外国及港、澳、台的企业和其他经济组织常驻本市代表机构。</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cs="黑体" w:hint="eastAsia"/>
          <w:kern w:val="0"/>
          <w:szCs w:val="32"/>
        </w:rPr>
        <w:t>本条例</w:t>
      </w:r>
      <w:r>
        <w:rPr>
          <w:rFonts w:cs="黑体" w:hint="eastAsia"/>
          <w:color w:val="000000"/>
          <w:kern w:val="0"/>
          <w:szCs w:val="32"/>
        </w:rPr>
        <w:t>所称职工</w:t>
      </w:r>
      <w:r>
        <w:rPr>
          <w:rFonts w:cs="黑体" w:hint="eastAsia"/>
          <w:kern w:val="0"/>
          <w:szCs w:val="32"/>
        </w:rPr>
        <w:t>包括下列人员：</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cs="黑体" w:hint="eastAsia"/>
          <w:kern w:val="0"/>
          <w:szCs w:val="32"/>
        </w:rPr>
        <w:t>（一）纳入国家行政编制、事业编制并领取工资或者伤残津贴的人员；</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黑体"/>
          <w:kern w:val="0"/>
          <w:szCs w:val="32"/>
        </w:rPr>
      </w:pPr>
      <w:r>
        <w:rPr>
          <w:rFonts w:cs="黑体" w:hint="eastAsia"/>
          <w:kern w:val="0"/>
          <w:szCs w:val="32"/>
        </w:rPr>
        <w:t>（二）与单位依法存在劳动关系并领取工资或者伤残津贴的人员。</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kern w:val="0"/>
          <w:szCs w:val="32"/>
        </w:rPr>
      </w:pPr>
      <w:r>
        <w:rPr>
          <w:rFonts w:ascii="Times New Roman" w:hAnsi="Times New Roman" w:cs="黑体" w:eastAsia="黑体"/>
          <w:kern w:val="0"/>
          <w:szCs w:val="32"/>
        </w:rPr>
        <w:t>第</w:t>
      </w:r>
      <w:r>
        <w:rPr>
          <w:rFonts w:ascii="Times New Roman" w:hAnsi="Times New Roman" w:cs="黑体" w:hint="eastAsia" w:eastAsia="黑体"/>
          <w:kern w:val="0"/>
          <w:szCs w:val="32"/>
        </w:rPr>
        <w:t>五</w:t>
      </w:r>
      <w:r>
        <w:rPr>
          <w:rFonts w:ascii="Times New Roman" w:hAnsi="Times New Roman" w:cs="黑体" w:eastAsia="黑体"/>
          <w:kern w:val="0"/>
          <w:szCs w:val="32"/>
        </w:rPr>
        <w:t>条</w:t>
      </w:r>
      <w:r>
        <w:rPr>
          <w:rFonts w:ascii="黑体" w:hAnsi="黑体" w:hint="eastAsia" w:eastAsia="黑体"/>
          <w:b/>
          <w:kern w:val="0"/>
          <w:szCs w:val="32"/>
        </w:rPr>
        <w:t xml:space="preserve">  </w:t>
      </w:r>
      <w:r>
        <w:rPr>
          <w:rFonts w:cs="仿宋" w:hint="eastAsia"/>
          <w:kern w:val="0"/>
          <w:szCs w:val="32"/>
        </w:rPr>
        <w:t>职工有要求所在单位按照规定为其</w:t>
      </w:r>
      <w:r>
        <w:rPr>
          <w:rFonts w:cs="黑体" w:hint="eastAsia"/>
          <w:kern w:val="0"/>
          <w:szCs w:val="32"/>
        </w:rPr>
        <w:t>设立住房公积金账户和按期足额缴存住房公积金的权利；有查询和按</w:t>
      </w:r>
      <w:r>
        <w:rPr>
          <w:rFonts w:cs="仿宋" w:hint="eastAsia"/>
          <w:kern w:val="0"/>
          <w:szCs w:val="32"/>
        </w:rPr>
        <w:t>照规定提取住房公积金、监督住房公积金管理的权利。履行住房公积金缴存义务的职工有申请住房公积金贷款的权利。</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hint="eastAsia"/>
          <w:kern w:val="0"/>
          <w:szCs w:val="32"/>
        </w:rPr>
      </w:pPr>
      <w:r>
        <w:rPr>
          <w:rFonts w:ascii="Times New Roman" w:hAnsi="Times New Roman" w:cs="黑体" w:eastAsia="黑体"/>
          <w:kern w:val="0"/>
          <w:szCs w:val="32"/>
        </w:rPr>
        <w:t>第</w:t>
      </w:r>
      <w:r>
        <w:rPr>
          <w:rFonts w:ascii="Times New Roman" w:hAnsi="Times New Roman" w:cs="黑体" w:hint="eastAsia" w:eastAsia="黑体"/>
          <w:kern w:val="0"/>
          <w:szCs w:val="32"/>
        </w:rPr>
        <w:t>六</w:t>
      </w:r>
      <w:r>
        <w:rPr>
          <w:rFonts w:ascii="Times New Roman" w:hAnsi="Times New Roman" w:cs="黑体" w:eastAsia="黑体"/>
          <w:kern w:val="0"/>
          <w:szCs w:val="32"/>
        </w:rPr>
        <w:t>条</w:t>
      </w:r>
      <w:r>
        <w:rPr>
          <w:rFonts w:ascii="黑体" w:hAnsi="黑体" w:hint="eastAsia" w:eastAsia="黑体"/>
          <w:b/>
          <w:kern w:val="0"/>
          <w:szCs w:val="32"/>
        </w:rPr>
        <w:t xml:space="preserve">  </w:t>
      </w:r>
      <w:r>
        <w:rPr>
          <w:rFonts w:cs="仿宋" w:hint="eastAsia"/>
          <w:kern w:val="0"/>
          <w:szCs w:val="32"/>
        </w:rPr>
        <w:t>本市住房公积金实行市住房公积金管理委员会决策、市住房公积金管理中心运作、银行专户存储、财政监督的管理机制。</w:t>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0" w:end="0"/>
        <w:jc w:val="center"/>
        <w:textAlignment w:val="auto"/>
        <w:rPr>
          <w:rFonts w:ascii="黑体" w:hAnsi="黑体" w:eastAsia="黑体" w:cs="黑体" w:hint="eastAsia"/>
          <w:kern w:val="0"/>
          <w:szCs w:val="32"/>
        </w:rPr>
      </w:pPr>
      <w:r>
        <w:rPr>
          <w:rFonts w:eastAsia="黑体" w:cs="黑体" w:hint="eastAsia" w:ascii="黑体" w:hAnsi="黑体"/>
          <w:kern w:val="0"/>
          <w:szCs w:val="32"/>
        </w:rPr>
      </w:r>
    </w:p>
    <w:p>
      <w:pPr>
        <w:pStyle w:val="Normal"/>
        <w:keepNext w:val="false"/>
        <w:keepLines w:val="false"/>
        <w:pageBreakBefore w:val="false"/>
        <w:widowControl w:val="false"/>
        <w:numPr>
          <w:ilvl w:val="0"/>
          <w:numId w:val="7"/>
        </w:numPr>
        <w:kinsoku w:val="true"/>
        <w:overflowPunct w:val="true"/>
        <w:autoSpaceDE w:val="true"/>
        <w:bidi w:val="0"/>
        <w:spacing w:lineRule="atLeast" w:line="300"/>
        <w:ind w:firstLineChars="0" w:firstLine="0" w:startChars="0" w:start="0" w:endChars="0" w:end="0"/>
        <w:jc w:val="center"/>
        <w:textAlignment w:val="auto"/>
        <w:rPr>
          <w:rFonts w:ascii="黑体" w:hAnsi="黑体" w:eastAsia="黑体" w:cs="黑体"/>
          <w:kern w:val="0"/>
          <w:szCs w:val="32"/>
        </w:rPr>
      </w:pPr>
      <w:r>
        <w:rPr>
          <w:rFonts w:eastAsia="黑体" w:cs="黑体" w:ascii="黑体" w:hAnsi="黑体"/>
          <w:kern w:val="0"/>
          <w:szCs w:val="32"/>
        </w:rPr>
        <w:t xml:space="preserve"> </w:t>
      </w:r>
      <w:r>
        <w:rPr>
          <w:rFonts w:ascii="黑体" w:hAnsi="黑体" w:cs="黑体" w:eastAsia="黑体"/>
          <w:kern w:val="0"/>
          <w:szCs w:val="32"/>
        </w:rPr>
        <w:t>机构及其职责</w:t>
      </w:r>
    </w:p>
    <w:p>
      <w:pPr>
        <w:pStyle w:val="Normal"/>
        <w:keepNext w:val="false"/>
        <w:keepLines w:val="false"/>
        <w:pageBreakBefore w:val="false"/>
        <w:widowControl w:val="false"/>
        <w:numPr>
          <w:ilvl w:val="0"/>
          <w:numId w:val="0"/>
        </w:numPr>
        <w:kinsoku w:val="true"/>
        <w:overflowPunct w:val="true"/>
        <w:autoSpaceDE w:val="true"/>
        <w:bidi w:val="0"/>
        <w:spacing w:lineRule="atLeast" w:line="300"/>
        <w:ind w:firstLineChars="0" w:firstLine="0" w:startChars="0" w:start="0" w:endChars="0" w:end="0"/>
        <w:jc w:val="both"/>
        <w:textAlignment w:val="auto"/>
        <w:rPr>
          <w:rFonts w:ascii="黑体" w:hAnsi="黑体" w:eastAsia="黑体" w:cs="黑体"/>
          <w:kern w:val="0"/>
          <w:szCs w:val="32"/>
        </w:rPr>
      </w:pPr>
      <w:r>
        <w:rPr>
          <w:rFonts w:eastAsia="黑体" w:cs="黑体" w:ascii="黑体" w:hAnsi="黑体"/>
          <w:kern w:val="0"/>
          <w:szCs w:val="32"/>
        </w:rPr>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Times New Roman" w:hAnsi="Times New Roman" w:cs="黑体" w:eastAsia="黑体"/>
          <w:kern w:val="0"/>
          <w:szCs w:val="32"/>
        </w:rPr>
        <w:t>第</w:t>
      </w:r>
      <w:r>
        <w:rPr>
          <w:rFonts w:ascii="Times New Roman" w:hAnsi="Times New Roman" w:cs="黑体" w:hint="eastAsia" w:eastAsia="黑体"/>
          <w:kern w:val="0"/>
          <w:szCs w:val="32"/>
        </w:rPr>
        <w:t>七</w:t>
      </w:r>
      <w:r>
        <w:rPr>
          <w:rFonts w:ascii="Times New Roman" w:hAnsi="Times New Roman" w:cs="黑体" w:eastAsia="黑体"/>
          <w:kern w:val="0"/>
          <w:szCs w:val="32"/>
        </w:rPr>
        <w:t>条</w:t>
      </w:r>
      <w:r>
        <w:rPr>
          <w:rFonts w:ascii="黑体" w:hAnsi="黑体" w:hint="eastAsia" w:eastAsia="黑体"/>
          <w:b/>
          <w:kern w:val="0"/>
          <w:szCs w:val="32"/>
        </w:rPr>
        <w:t xml:space="preserve">  </w:t>
      </w:r>
      <w:r>
        <w:rPr>
          <w:rFonts w:cs="仿宋" w:hint="eastAsia"/>
          <w:kern w:val="0"/>
          <w:szCs w:val="32"/>
        </w:rPr>
        <w:t>市住房公积金管理委员会是本市住房公积金管理的决策机构，按照</w:t>
      </w:r>
      <w:r>
        <w:rPr>
          <w:rFonts w:cs="仿宋"/>
          <w:kern w:val="0"/>
          <w:szCs w:val="32"/>
        </w:rPr>
        <w:t>国家有关规定组成，</w:t>
      </w:r>
      <w:r>
        <w:rPr>
          <w:rFonts w:cs="仿宋" w:hint="eastAsia"/>
          <w:kern w:val="0"/>
          <w:szCs w:val="32"/>
        </w:rPr>
        <w:t>依法履行下列职责：</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cs="仿宋" w:hint="eastAsia"/>
          <w:kern w:val="0"/>
          <w:szCs w:val="32"/>
        </w:rPr>
        <w:t>（一）依据有关法律、法规和政策，制定和调整本市住房公积金的具体管理措施，并监督实施；</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hint="eastAsia"/>
          <w:kern w:val="0"/>
          <w:szCs w:val="32"/>
        </w:rPr>
      </w:pPr>
      <w:r>
        <w:rPr>
          <w:rFonts w:cs="仿宋" w:hint="eastAsia"/>
          <w:kern w:val="0"/>
          <w:szCs w:val="32"/>
        </w:rPr>
        <w:t>（二）拟订本市住房公积金的缴存比例，规定单位提高、降低住房公积金缴存比例或者缓缴住房公积金的条件；</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cs="仿宋" w:hint="eastAsia"/>
          <w:kern w:val="0"/>
          <w:szCs w:val="32"/>
        </w:rPr>
        <w:t>（三）确定住房公积金的最高贷款额度；</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hint="eastAsia"/>
          <w:kern w:val="0"/>
          <w:szCs w:val="32"/>
        </w:rPr>
      </w:pPr>
      <w:r>
        <w:rPr>
          <w:rFonts w:cs="仿宋" w:hint="eastAsia"/>
          <w:kern w:val="0"/>
          <w:szCs w:val="32"/>
        </w:rPr>
        <w:t>（四）审议批准住房公积金贷款呆账、坏账核销的申请；</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hint="eastAsia"/>
          <w:kern w:val="0"/>
          <w:szCs w:val="32"/>
        </w:rPr>
      </w:pPr>
      <w:r>
        <w:rPr>
          <w:rFonts w:cs="仿宋" w:hint="eastAsia"/>
          <w:kern w:val="0"/>
          <w:szCs w:val="32"/>
        </w:rPr>
        <w:t>（五）审议批准住房公积金归集、使用计划和计划执行情况的报告；</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hint="eastAsia"/>
          <w:kern w:val="0"/>
          <w:szCs w:val="32"/>
        </w:rPr>
      </w:pPr>
      <w:r>
        <w:rPr>
          <w:rFonts w:cs="仿宋" w:hint="eastAsia"/>
          <w:kern w:val="0"/>
          <w:szCs w:val="32"/>
        </w:rPr>
        <w:t>（六）审议批准住房公积金增值收益分配方案；</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hint="eastAsia"/>
          <w:kern w:val="0"/>
          <w:szCs w:val="32"/>
        </w:rPr>
      </w:pPr>
      <w:r>
        <w:rPr>
          <w:rFonts w:cs="仿宋" w:hint="eastAsia"/>
          <w:kern w:val="0"/>
          <w:szCs w:val="32"/>
        </w:rPr>
        <w:t>（七）审议通过住房公积金年度报告。</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Times New Roman" w:hAnsi="Times New Roman" w:cs="黑体" w:eastAsia="黑体"/>
          <w:kern w:val="0"/>
          <w:szCs w:val="32"/>
        </w:rPr>
        <w:t>第</w:t>
      </w:r>
      <w:r>
        <w:rPr>
          <w:rFonts w:ascii="Times New Roman" w:hAnsi="Times New Roman" w:cs="黑体" w:hint="eastAsia" w:eastAsia="黑体"/>
          <w:kern w:val="0"/>
          <w:szCs w:val="32"/>
        </w:rPr>
        <w:t>八</w:t>
      </w:r>
      <w:r>
        <w:rPr>
          <w:rFonts w:ascii="Times New Roman" w:hAnsi="Times New Roman" w:cs="黑体" w:eastAsia="黑体"/>
          <w:kern w:val="0"/>
          <w:szCs w:val="32"/>
        </w:rPr>
        <w:t>条</w:t>
      </w:r>
      <w:r>
        <w:rPr>
          <w:rFonts w:ascii="黑体" w:hAnsi="黑体" w:hint="eastAsia" w:eastAsia="黑体"/>
          <w:b/>
          <w:kern w:val="0"/>
          <w:szCs w:val="32"/>
        </w:rPr>
        <w:t xml:space="preserve">  </w:t>
      </w:r>
      <w:r>
        <w:rPr>
          <w:rFonts w:cs="仿宋" w:hint="eastAsia"/>
          <w:kern w:val="0"/>
          <w:szCs w:val="32"/>
        </w:rPr>
        <w:t>市住房公积金管理中心负责本市住房公积金的管理和运作，依法履行下列职责：</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cs="仿宋" w:hint="eastAsia"/>
          <w:kern w:val="0"/>
          <w:szCs w:val="32"/>
        </w:rPr>
        <w:t>（一）编制和执行住房公积金的归集、使用计划；</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cs="仿宋" w:hint="eastAsia"/>
          <w:kern w:val="0"/>
          <w:szCs w:val="32"/>
        </w:rPr>
        <w:t>（二）负责办理住房公积金的缴存登记、变更登记和注销登记；</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cs="仿宋" w:hint="eastAsia"/>
          <w:kern w:val="0"/>
          <w:szCs w:val="32"/>
        </w:rPr>
        <w:t>（三）负责记载职工住房公积金的缴存、提取、使用等情况；</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cs="仿宋" w:hint="eastAsia"/>
          <w:kern w:val="0"/>
          <w:szCs w:val="32"/>
        </w:rPr>
        <w:t>（四）负责住房公积金的核算；</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cs="仿宋" w:hint="eastAsia"/>
          <w:kern w:val="0"/>
          <w:szCs w:val="32"/>
        </w:rPr>
        <w:t>（五）审批住房公积金的提取；</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cs="仿宋" w:hint="eastAsia"/>
          <w:kern w:val="0"/>
          <w:szCs w:val="32"/>
        </w:rPr>
        <w:t>（六）审批职工个人住房公积金贷款的申请；</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cs="仿宋" w:hint="eastAsia"/>
          <w:kern w:val="0"/>
          <w:szCs w:val="32"/>
        </w:rPr>
        <w:t>（七）负责住房公积金的保值和归还；</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cs="仿宋" w:hint="eastAsia"/>
          <w:kern w:val="0"/>
          <w:szCs w:val="32"/>
        </w:rPr>
        <w:t>（八）监督、检查单位住房公积金账户的设立和缴存情况；</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cs="仿宋" w:hint="eastAsia"/>
          <w:kern w:val="0"/>
          <w:szCs w:val="32"/>
        </w:rPr>
        <w:t>（九）编制住房公积金归集、使用计划执行情况的报告；</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hint="eastAsia"/>
          <w:kern w:val="0"/>
          <w:szCs w:val="32"/>
        </w:rPr>
      </w:pPr>
      <w:r>
        <w:rPr>
          <w:rFonts w:cs="仿宋" w:hint="eastAsia"/>
          <w:kern w:val="0"/>
          <w:szCs w:val="32"/>
        </w:rPr>
        <w:t>（十）拟订住房公积金增值收益分配方案；</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hint="eastAsia"/>
          <w:kern w:val="0"/>
          <w:szCs w:val="32"/>
        </w:rPr>
      </w:pPr>
      <w:r>
        <w:rPr>
          <w:rFonts w:cs="仿宋" w:hint="eastAsia"/>
          <w:kern w:val="0"/>
          <w:szCs w:val="32"/>
        </w:rPr>
        <w:t>（十一）编制住房公积金年度报告；</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hint="eastAsia"/>
          <w:kern w:val="0"/>
          <w:szCs w:val="32"/>
        </w:rPr>
      </w:pPr>
      <w:r>
        <w:rPr>
          <w:rFonts w:cs="仿宋" w:hint="eastAsia"/>
          <w:kern w:val="0"/>
          <w:szCs w:val="32"/>
        </w:rPr>
        <w:t>（十二）承办住房公积金管理委员会决定的其他事项。</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kern w:val="0"/>
          <w:szCs w:val="32"/>
        </w:rPr>
      </w:pPr>
      <w:r>
        <w:rPr>
          <w:rFonts w:cs="仿宋" w:hint="eastAsia"/>
          <w:kern w:val="0"/>
          <w:szCs w:val="32"/>
        </w:rPr>
        <w:t>市住房公积金管理中心可以设立住房公积金管理分支机构，</w:t>
      </w:r>
      <w:r>
        <w:rPr>
          <w:rFonts w:cs="仿宋"/>
          <w:kern w:val="0"/>
          <w:szCs w:val="32"/>
        </w:rPr>
        <w:t>实行统一管理、统一核算。</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ascii="Times New Roman" w:hAnsi="Times New Roman" w:cs="黑体" w:eastAsia="黑体"/>
          <w:kern w:val="0"/>
          <w:szCs w:val="32"/>
        </w:rPr>
        <w:t>第</w:t>
      </w:r>
      <w:r>
        <w:rPr>
          <w:rFonts w:ascii="Times New Roman" w:hAnsi="Times New Roman" w:cs="黑体" w:hint="eastAsia" w:eastAsia="黑体"/>
          <w:kern w:val="0"/>
          <w:szCs w:val="32"/>
        </w:rPr>
        <w:t>九</w:t>
      </w:r>
      <w:r>
        <w:rPr>
          <w:rFonts w:ascii="Times New Roman" w:hAnsi="Times New Roman" w:cs="黑体" w:eastAsia="黑体"/>
          <w:kern w:val="0"/>
          <w:szCs w:val="32"/>
        </w:rPr>
        <w:t>条</w:t>
      </w:r>
      <w:r>
        <w:rPr>
          <w:rFonts w:ascii="黑体" w:hAnsi="黑体" w:hint="eastAsia" w:eastAsia="黑体"/>
          <w:b/>
          <w:kern w:val="0"/>
          <w:szCs w:val="32"/>
        </w:rPr>
        <w:t xml:space="preserve">  </w:t>
      </w:r>
      <w:r>
        <w:rPr>
          <w:rFonts w:hint="eastAsia"/>
          <w:kern w:val="0"/>
          <w:szCs w:val="32"/>
        </w:rPr>
        <w:t>市发展改革、国土房管、人力社保、市场监管、民政、建设、公安等行政管理部门应当按照各自职责，配合做好住房公积金相关管理工作。</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hint="eastAsia"/>
          <w:kern w:val="0"/>
          <w:szCs w:val="32"/>
        </w:rPr>
      </w:pPr>
      <w:r>
        <w:rPr>
          <w:rFonts w:ascii="黑体" w:hAnsi="黑体" w:cs="黑体" w:eastAsia="黑体"/>
          <w:kern w:val="0"/>
          <w:szCs w:val="32"/>
        </w:rPr>
        <w:t>第</w:t>
      </w:r>
      <w:r>
        <w:rPr>
          <w:rFonts w:ascii="黑体" w:hAnsi="黑体" w:cs="黑体" w:hint="eastAsia" w:eastAsia="黑体"/>
          <w:kern w:val="0"/>
          <w:szCs w:val="32"/>
        </w:rPr>
        <w:t>十</w:t>
      </w:r>
      <w:r>
        <w:rPr>
          <w:rFonts w:ascii="黑体" w:hAnsi="黑体" w:cs="黑体" w:eastAsia="黑体"/>
          <w:kern w:val="0"/>
          <w:szCs w:val="32"/>
        </w:rPr>
        <w:t>条</w:t>
      </w:r>
      <w:r>
        <w:rPr>
          <w:rFonts w:ascii="黑体" w:hAnsi="黑体" w:hint="eastAsia" w:eastAsia="黑体"/>
          <w:b/>
          <w:kern w:val="0"/>
          <w:szCs w:val="32"/>
        </w:rPr>
        <w:t xml:space="preserve">  </w:t>
      </w:r>
      <w:r>
        <w:rPr>
          <w:rFonts w:cs="仿宋" w:hint="eastAsia"/>
          <w:kern w:val="0"/>
          <w:szCs w:val="32"/>
        </w:rPr>
        <w:t>市住房公积金管理委员会应当按照有关规定</w:t>
      </w:r>
      <w:r>
        <w:rPr>
          <w:rFonts w:hint="eastAsia"/>
          <w:kern w:val="0"/>
          <w:szCs w:val="32"/>
        </w:rPr>
        <w:t>，</w:t>
      </w:r>
      <w:r>
        <w:rPr>
          <w:rFonts w:cs="仿宋" w:hint="eastAsia"/>
          <w:kern w:val="0"/>
          <w:szCs w:val="32"/>
        </w:rPr>
        <w:t>确定办理住房公积金的归集</w:t>
      </w:r>
      <w:r>
        <w:rPr>
          <w:rFonts w:cs="仿宋"/>
          <w:kern w:val="0"/>
          <w:szCs w:val="32"/>
        </w:rPr>
        <w:t>、</w:t>
      </w:r>
      <w:r>
        <w:rPr>
          <w:rFonts w:cs="仿宋" w:hint="eastAsia"/>
          <w:kern w:val="0"/>
          <w:szCs w:val="32"/>
        </w:rPr>
        <w:t>贷款、结算等金融业务的受委托商业银行。</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hint="eastAsia"/>
          <w:kern w:val="0"/>
          <w:szCs w:val="32"/>
        </w:rPr>
      </w:pPr>
      <w:r>
        <w:rPr>
          <w:rFonts w:cs="仿宋" w:hint="eastAsia"/>
          <w:kern w:val="0"/>
          <w:szCs w:val="32"/>
        </w:rPr>
        <w:t>市住房公积金管理中心应当在受委托的商业银行（以下称受委托银行）设立住房公积金专户，与受委托银行签订委托合同，并报市住房公积金管理委员会备案。</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kern w:val="0"/>
          <w:szCs w:val="32"/>
        </w:rPr>
      </w:pPr>
      <w:r>
        <w:rPr>
          <w:rFonts w:ascii="Times New Roman" w:hAnsi="Times New Roman" w:cs="黑体" w:eastAsia="黑体"/>
          <w:kern w:val="0"/>
          <w:szCs w:val="32"/>
        </w:rPr>
        <w:t>第十</w:t>
      </w:r>
      <w:r>
        <w:rPr>
          <w:rFonts w:ascii="Times New Roman" w:hAnsi="Times New Roman" w:cs="黑体" w:hint="eastAsia" w:eastAsia="黑体"/>
          <w:kern w:val="0"/>
          <w:szCs w:val="32"/>
        </w:rPr>
        <w:t>一</w:t>
      </w:r>
      <w:r>
        <w:rPr>
          <w:rFonts w:ascii="Times New Roman" w:hAnsi="Times New Roman" w:cs="黑体" w:eastAsia="黑体"/>
          <w:kern w:val="0"/>
          <w:szCs w:val="32"/>
        </w:rPr>
        <w:t>条</w:t>
      </w:r>
      <w:r>
        <w:rPr>
          <w:rFonts w:ascii="黑体" w:hAnsi="黑体" w:hint="eastAsia" w:eastAsia="黑体"/>
          <w:b/>
          <w:kern w:val="0"/>
          <w:szCs w:val="32"/>
        </w:rPr>
        <w:t xml:space="preserve">  </w:t>
      </w:r>
      <w:r>
        <w:rPr>
          <w:rFonts w:cs="仿宋" w:hint="eastAsia"/>
          <w:kern w:val="0"/>
          <w:szCs w:val="32"/>
        </w:rPr>
        <w:t>市住房公积金管理中心和受委托银行，应当为单位和职工缴存、提取、使用住房公积金提供便利、快捷的服务。</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hint="eastAsia"/>
          <w:kern w:val="0"/>
          <w:szCs w:val="32"/>
        </w:rPr>
      </w:pPr>
      <w:r>
        <w:rPr>
          <w:rFonts w:cs="仿宋" w:hint="eastAsia"/>
          <w:kern w:val="0"/>
          <w:szCs w:val="32"/>
        </w:rPr>
      </w:r>
    </w:p>
    <w:p>
      <w:pPr>
        <w:pStyle w:val="Normal"/>
        <w:keepNext w:val="false"/>
        <w:keepLines w:val="false"/>
        <w:pageBreakBefore w:val="false"/>
        <w:widowControl w:val="false"/>
        <w:numPr>
          <w:ilvl w:val="0"/>
          <w:numId w:val="6"/>
        </w:numPr>
        <w:kinsoku w:val="true"/>
        <w:overflowPunct w:val="true"/>
        <w:autoSpaceDE w:val="true"/>
        <w:bidi w:val="0"/>
        <w:spacing w:lineRule="atLeast" w:line="300"/>
        <w:ind w:firstLineChars="0" w:firstLine="0" w:startChars="0" w:start="0" w:endChars="0" w:end="0"/>
        <w:jc w:val="center"/>
        <w:textAlignment w:val="auto"/>
        <w:rPr>
          <w:rFonts w:ascii="黑体" w:hAnsi="黑体" w:eastAsia="黑体" w:cs="黑体"/>
          <w:kern w:val="0"/>
          <w:szCs w:val="32"/>
        </w:rPr>
      </w:pPr>
      <w:r>
        <w:rPr>
          <w:rFonts w:eastAsia="黑体" w:cs="黑体" w:hint="eastAsia" w:ascii="黑体" w:hAnsi="黑体"/>
          <w:kern w:val="0"/>
          <w:szCs w:val="32"/>
        </w:rPr>
        <w:t xml:space="preserve"> </w:t>
      </w:r>
      <w:r>
        <w:rPr>
          <w:rFonts w:ascii="黑体" w:hAnsi="黑体" w:cs="黑体" w:eastAsia="黑体"/>
          <w:kern w:val="0"/>
          <w:szCs w:val="32"/>
        </w:rPr>
        <w:t>住房公积金缴存</w:t>
      </w:r>
    </w:p>
    <w:p>
      <w:pPr>
        <w:pStyle w:val="Normal"/>
        <w:keepNext w:val="false"/>
        <w:keepLines w:val="false"/>
        <w:pageBreakBefore w:val="false"/>
        <w:widowControl w:val="false"/>
        <w:numPr>
          <w:ilvl w:val="0"/>
          <w:numId w:val="0"/>
        </w:numPr>
        <w:kinsoku w:val="true"/>
        <w:overflowPunct w:val="true"/>
        <w:autoSpaceDE w:val="true"/>
        <w:bidi w:val="0"/>
        <w:spacing w:lineRule="atLeast" w:line="300"/>
        <w:ind w:firstLineChars="0" w:firstLine="0" w:startChars="0" w:start="0" w:endChars="0" w:end="0"/>
        <w:jc w:val="both"/>
        <w:textAlignment w:val="auto"/>
        <w:rPr>
          <w:rFonts w:ascii="黑体" w:hAnsi="黑体" w:eastAsia="黑体" w:cs="黑体" w:hint="eastAsia"/>
          <w:kern w:val="0"/>
          <w:szCs w:val="32"/>
        </w:rPr>
      </w:pPr>
      <w:r>
        <w:rPr>
          <w:rFonts w:eastAsia="黑体" w:cs="黑体" w:hint="eastAsia" w:ascii="黑体" w:hAnsi="黑体"/>
          <w:kern w:val="0"/>
          <w:szCs w:val="32"/>
        </w:rPr>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Times New Roman" w:hAnsi="Times New Roman" w:eastAsia="黑体"/>
          <w:kern w:val="0"/>
          <w:szCs w:val="32"/>
        </w:rPr>
        <w:t>第十</w:t>
      </w:r>
      <w:r>
        <w:rPr>
          <w:rFonts w:ascii="Times New Roman" w:hAnsi="Times New Roman" w:hint="eastAsia" w:eastAsia="黑体"/>
          <w:kern w:val="0"/>
          <w:szCs w:val="32"/>
        </w:rPr>
        <w:t>二</w:t>
      </w:r>
      <w:r>
        <w:rPr>
          <w:rFonts w:ascii="Times New Roman" w:hAnsi="Times New Roman" w:eastAsia="黑体"/>
          <w:kern w:val="0"/>
          <w:szCs w:val="32"/>
        </w:rPr>
        <w:t>条</w:t>
      </w:r>
      <w:r>
        <w:rPr>
          <w:rFonts w:ascii="黑体" w:hAnsi="黑体" w:hint="eastAsia" w:eastAsia="黑体"/>
          <w:b/>
          <w:kern w:val="0"/>
          <w:szCs w:val="32"/>
        </w:rPr>
        <w:t xml:space="preserve">  </w:t>
      </w:r>
      <w:r>
        <w:rPr>
          <w:rFonts w:hint="eastAsia"/>
          <w:kern w:val="0"/>
          <w:szCs w:val="32"/>
        </w:rPr>
        <w:t>新设立的单位应当自设立之日起三十日内，持单位设立批准文件或者营业执照到市住房公积金管理中心办理住房公积金缴存登记，</w:t>
      </w:r>
      <w:r>
        <w:rPr>
          <w:rFonts w:cs="黑体" w:hint="eastAsia"/>
          <w:kern w:val="0"/>
          <w:szCs w:val="32"/>
        </w:rPr>
        <w:t>并为本单位职工办理住房公积金账户设立手续</w:t>
      </w:r>
      <w:r>
        <w:rPr>
          <w:rFonts w:hint="eastAsia"/>
          <w:kern w:val="0"/>
          <w:szCs w:val="32"/>
        </w:rPr>
        <w:t>。</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单位合并、分立、撤销、破产或者解散的，应当</w:t>
      </w:r>
      <w:r>
        <w:rPr>
          <w:rFonts w:cs="黑体" w:hint="eastAsia"/>
          <w:kern w:val="0"/>
          <w:szCs w:val="32"/>
        </w:rPr>
        <w:t>在三十</w:t>
      </w:r>
      <w:r>
        <w:rPr>
          <w:rFonts w:hint="eastAsia"/>
          <w:kern w:val="0"/>
          <w:szCs w:val="32"/>
        </w:rPr>
        <w:t>日内由原单位或者清算组织到市住房公积金管理中心办理变更登记或者注销登记，并为本单位职工办理住房公积金账户转移或者封存手续。</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hint="eastAsia"/>
          <w:kern w:val="0"/>
          <w:szCs w:val="32"/>
        </w:rPr>
        <w:t>单位名称、地址和职工姓名发生变更的，应当自变更之日起三十日内由单位到市住房公积金管理中心办理变更登记。</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Times New Roman" w:hAnsi="Times New Roman" w:eastAsia="黑体"/>
          <w:kern w:val="0"/>
          <w:szCs w:val="32"/>
        </w:rPr>
        <w:t>第十</w:t>
      </w:r>
      <w:r>
        <w:rPr>
          <w:rFonts w:ascii="Times New Roman" w:hAnsi="Times New Roman" w:hint="eastAsia" w:eastAsia="黑体"/>
          <w:kern w:val="0"/>
          <w:szCs w:val="32"/>
        </w:rPr>
        <w:t>三</w:t>
      </w:r>
      <w:r>
        <w:rPr>
          <w:rFonts w:ascii="Times New Roman" w:hAnsi="Times New Roman" w:eastAsia="黑体"/>
          <w:kern w:val="0"/>
          <w:szCs w:val="32"/>
        </w:rPr>
        <w:t>条</w:t>
      </w:r>
      <w:r>
        <w:rPr>
          <w:rFonts w:ascii="黑体" w:hAnsi="黑体" w:hint="eastAsia" w:eastAsia="黑体"/>
          <w:b/>
          <w:kern w:val="0"/>
          <w:szCs w:val="32"/>
        </w:rPr>
        <w:t xml:space="preserve">  </w:t>
      </w:r>
      <w:r>
        <w:rPr>
          <w:rFonts w:hint="eastAsia"/>
          <w:kern w:val="0"/>
          <w:szCs w:val="32"/>
        </w:rPr>
        <w:t>单位招用或者调入职工的，应当自招用或者调入职工之日起三十日内向市住房公积金管理中心办理缴存登记，并办理职工住房公积金账户的设立或者转移手续。</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hint="eastAsia"/>
          <w:kern w:val="0"/>
          <w:szCs w:val="32"/>
        </w:rPr>
        <w:t xml:space="preserve">单位与职工签订劳动合同，应当明确单位有按规定为职工缴存住房公积金的义务。 </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黑体"/>
          <w:kern w:val="0"/>
          <w:szCs w:val="32"/>
        </w:rPr>
      </w:pPr>
      <w:r>
        <w:rPr>
          <w:rFonts w:ascii="黑体" w:hAnsi="黑体" w:cs="黑体" w:hint="eastAsia" w:eastAsia="黑体"/>
          <w:kern w:val="0"/>
          <w:szCs w:val="32"/>
        </w:rPr>
        <w:t>第十四条</w:t>
      </w:r>
      <w:r>
        <w:rPr>
          <w:rFonts w:ascii="黑体" w:hAnsi="黑体" w:hint="eastAsia" w:eastAsia="黑体"/>
          <w:b/>
          <w:kern w:val="0"/>
          <w:szCs w:val="32"/>
        </w:rPr>
        <w:t xml:space="preserve">  </w:t>
      </w:r>
      <w:r>
        <w:rPr>
          <w:rFonts w:cs="黑体" w:hint="eastAsia"/>
          <w:color w:val="000000"/>
          <w:kern w:val="0"/>
          <w:szCs w:val="32"/>
        </w:rPr>
        <w:t>劳务派遣单位应当为被派遣人员缴存住房公积金。</w:t>
      </w:r>
      <w:r>
        <w:rPr>
          <w:rFonts w:cs="黑体" w:hint="eastAsia"/>
          <w:kern w:val="0"/>
          <w:szCs w:val="32"/>
        </w:rPr>
        <w:t>劳务派遣单位与接受以劳务派遣形式用工的单位</w:t>
      </w:r>
      <w:r>
        <w:rPr>
          <w:rFonts w:cs="黑体" w:hint="eastAsia"/>
          <w:color w:val="000000"/>
          <w:kern w:val="0"/>
          <w:szCs w:val="32"/>
        </w:rPr>
        <w:t>应当在劳务派遣协议中约定被派遣人员住房公积</w:t>
      </w:r>
      <w:r>
        <w:rPr>
          <w:rFonts w:cs="黑体" w:hint="eastAsia"/>
          <w:kern w:val="0"/>
          <w:szCs w:val="32"/>
        </w:rPr>
        <w:t>金事宜。</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ascii="黑体" w:hAnsi="黑体" w:cs="黑体" w:eastAsia="黑体"/>
          <w:kern w:val="0"/>
          <w:szCs w:val="32"/>
        </w:rPr>
        <w:t>第十</w:t>
      </w:r>
      <w:r>
        <w:rPr>
          <w:rFonts w:ascii="黑体" w:hAnsi="黑体" w:cs="黑体" w:hint="eastAsia" w:eastAsia="黑体"/>
          <w:kern w:val="0"/>
          <w:szCs w:val="32"/>
        </w:rPr>
        <w:t>五</w:t>
      </w:r>
      <w:r>
        <w:rPr>
          <w:rFonts w:ascii="黑体" w:hAnsi="黑体" w:cs="黑体" w:eastAsia="黑体"/>
          <w:kern w:val="0"/>
          <w:szCs w:val="32"/>
        </w:rPr>
        <w:t>条</w:t>
      </w:r>
      <w:r>
        <w:rPr>
          <w:rFonts w:ascii="黑体" w:hAnsi="黑体" w:hint="eastAsia" w:eastAsia="黑体"/>
          <w:b/>
          <w:kern w:val="0"/>
          <w:szCs w:val="32"/>
        </w:rPr>
        <w:t xml:space="preserve">  </w:t>
      </w:r>
      <w:r>
        <w:rPr>
          <w:rFonts w:hint="eastAsia"/>
          <w:kern w:val="0"/>
          <w:szCs w:val="32"/>
        </w:rPr>
        <w:t>职工在退休之前，与单位终止劳动关系且不符合住房公积金提取条件的，单位应当在终止劳动关系之日起三十日内，到市住房公积金管理中心为该职工办理住房公积金封存手续。职工与新单位重新建立劳动关系的，新单位应当自建立劳动关系之日起三十日内到市住房公积金管理中心办理住房公积金启封和转移手续。</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Times New Roman" w:hAnsi="Times New Roman" w:eastAsia="仿宋"/>
          <w:kern w:val="0"/>
          <w:szCs w:val="32"/>
        </w:rPr>
      </w:pPr>
      <w:r>
        <w:rPr>
          <w:rFonts w:ascii="Times New Roman" w:hAnsi="Times New Roman" w:eastAsia="黑体"/>
          <w:kern w:val="0"/>
          <w:szCs w:val="32"/>
        </w:rPr>
        <w:t>第十</w:t>
      </w:r>
      <w:r>
        <w:rPr>
          <w:rFonts w:ascii="Times New Roman" w:hAnsi="Times New Roman" w:hint="eastAsia" w:eastAsia="黑体"/>
          <w:kern w:val="0"/>
          <w:szCs w:val="32"/>
        </w:rPr>
        <w:t>六</w:t>
      </w:r>
      <w:r>
        <w:rPr>
          <w:rFonts w:ascii="Times New Roman" w:hAnsi="Times New Roman" w:eastAsia="黑体"/>
          <w:kern w:val="0"/>
          <w:szCs w:val="32"/>
        </w:rPr>
        <w:t>条</w:t>
      </w:r>
      <w:r>
        <w:rPr>
          <w:rFonts w:ascii="黑体" w:hAnsi="黑体" w:hint="eastAsia" w:eastAsia="黑体"/>
          <w:b/>
          <w:kern w:val="0"/>
          <w:szCs w:val="32"/>
        </w:rPr>
        <w:t xml:space="preserve">  </w:t>
      </w:r>
      <w:r>
        <w:rPr>
          <w:rFonts w:hint="eastAsia"/>
          <w:kern w:val="0"/>
          <w:szCs w:val="32"/>
        </w:rPr>
        <w:t>住房公积金的缴存比例，由市住房公积金管理委员会依照国家规定拟订，报市人民政府批准后执行。</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黑体" w:hAnsi="黑体" w:hint="eastAsia" w:eastAsia="黑体"/>
          <w:kern w:val="0"/>
          <w:szCs w:val="32"/>
        </w:rPr>
        <w:t>第十七条</w:t>
      </w:r>
      <w:r>
        <w:rPr>
          <w:rFonts w:ascii="黑体" w:hAnsi="黑体" w:hint="eastAsia" w:eastAsia="黑体"/>
          <w:b/>
          <w:kern w:val="0"/>
          <w:szCs w:val="32"/>
        </w:rPr>
        <w:t xml:space="preserve">  </w:t>
      </w:r>
      <w:r>
        <w:rPr>
          <w:rFonts w:hint="eastAsia"/>
          <w:kern w:val="0"/>
          <w:szCs w:val="32"/>
        </w:rPr>
        <w:t>住房公积金的月缴存额，是以职工本人上一年度月平均工资作为缴存基数分别乘以职工本人和所在单位的住房公积金缴存比例之和。</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职工工资的构成，按照国家和本市有关规定执行。</w:t>
      </w:r>
      <w:r>
        <w:rPr>
          <w:rFonts w:hint="eastAsia"/>
          <w:kern w:val="0"/>
          <w:szCs w:val="32"/>
        </w:rPr>
        <w:tab/>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黑体" w:hAnsi="黑体" w:hint="eastAsia" w:eastAsia="黑体"/>
          <w:kern w:val="0"/>
          <w:szCs w:val="32"/>
        </w:rPr>
        <w:t>第十八条</w:t>
      </w:r>
      <w:r>
        <w:rPr>
          <w:rFonts w:ascii="黑体" w:hAnsi="黑体" w:hint="eastAsia" w:eastAsia="黑体"/>
          <w:b/>
          <w:kern w:val="0"/>
          <w:szCs w:val="32"/>
        </w:rPr>
        <w:t xml:space="preserve">  </w:t>
      </w:r>
      <w:r>
        <w:rPr>
          <w:rFonts w:hint="eastAsia"/>
          <w:kern w:val="0"/>
          <w:szCs w:val="32"/>
        </w:rPr>
        <w:t>新招用的职工从参加工作第二个月起缴存住房公积金；新调入的职工从调入单位发放工资之日起缴存住房公积金。</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hint="eastAsia"/>
          <w:kern w:val="0"/>
          <w:szCs w:val="32"/>
        </w:rPr>
        <w:t>新招用和新调入职工住房公积金的月缴存额，是以职工本人当月工资作为缴存基数分别乘以职工本人和职工所在单位的住房公积金缴存比例之和。</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黑体" w:hAnsi="黑体" w:hint="eastAsia" w:eastAsia="黑体"/>
          <w:kern w:val="0"/>
          <w:szCs w:val="32"/>
        </w:rPr>
        <w:t>第十九条</w:t>
      </w:r>
      <w:r>
        <w:rPr>
          <w:rFonts w:ascii="黑体" w:hAnsi="黑体" w:hint="eastAsia" w:eastAsia="黑体"/>
          <w:b/>
          <w:kern w:val="0"/>
          <w:szCs w:val="32"/>
        </w:rPr>
        <w:t xml:space="preserve">  </w:t>
      </w:r>
      <w:r>
        <w:rPr>
          <w:rFonts w:hint="eastAsia"/>
          <w:kern w:val="0"/>
          <w:szCs w:val="32"/>
        </w:rPr>
        <w:t xml:space="preserve">单位应当自每月发放职工工资之日起五日内办理住房公积金缴存手续，并将代扣的职工个人缴存的住房公积金和单位为职工缴存的住房公积金，汇缴到市住房公积金管理中心在受委托银行开立的住房公积金专户内。  </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前款缴存的住房公积金应当计入职工住房公积金账户。</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黑体" w:hAnsi="黑体" w:cs="黑体" w:hint="eastAsia" w:eastAsia="黑体"/>
          <w:kern w:val="0"/>
          <w:szCs w:val="32"/>
        </w:rPr>
        <w:t>第二十条</w:t>
      </w:r>
      <w:r>
        <w:rPr>
          <w:rFonts w:ascii="黑体" w:hAnsi="黑体" w:hint="eastAsia" w:eastAsia="黑体"/>
          <w:b/>
          <w:kern w:val="0"/>
          <w:szCs w:val="32"/>
        </w:rPr>
        <w:t xml:space="preserve">  </w:t>
      </w:r>
      <w:r>
        <w:rPr>
          <w:rFonts w:hint="eastAsia"/>
          <w:kern w:val="0"/>
          <w:szCs w:val="32"/>
        </w:rPr>
        <w:t>单位提高、降低住房公积金缴存比例或者缓缴住房公积金，应当由本单位职工代表大会或者职工大会讨论通过，并经市住房公积金管理中心审核，报市住房公积金管理委员会批准后执行。</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hint="eastAsia"/>
          <w:kern w:val="0"/>
          <w:szCs w:val="32"/>
        </w:rPr>
        <w:t>经批准降低缴存比例或者缓缴住房公积金的单位，待降低或者缓缴事由消失后，应当恢复到规定的缴存比例或者补缴缓缴的住房公积金。</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ascii="黑体" w:hAnsi="黑体" w:hint="eastAsia" w:eastAsia="黑体"/>
          <w:kern w:val="0"/>
          <w:szCs w:val="32"/>
        </w:rPr>
        <w:t xml:space="preserve">第二十一条  </w:t>
      </w:r>
      <w:r>
        <w:rPr>
          <w:rFonts w:hint="eastAsia"/>
          <w:kern w:val="0"/>
          <w:szCs w:val="32"/>
        </w:rPr>
        <w:t>单位应当将住房公积金的缴存情况定期向职工代表大会报告，并按月将职工住房公积金缴存情况告知职工。</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Times New Roman" w:hAnsi="Times New Roman" w:eastAsia="仿宋" w:hint="eastAsia"/>
          <w:kern w:val="0"/>
          <w:szCs w:val="32"/>
        </w:rPr>
      </w:pPr>
      <w:r>
        <w:rPr>
          <w:rFonts w:ascii="黑体" w:hAnsi="黑体" w:hint="eastAsia" w:eastAsia="黑体"/>
          <w:kern w:val="0"/>
          <w:szCs w:val="32"/>
        </w:rPr>
        <w:t>第二十二条</w:t>
      </w:r>
      <w:r>
        <w:rPr>
          <w:rFonts w:ascii="黑体" w:hAnsi="黑体" w:hint="eastAsia" w:eastAsia="黑体"/>
          <w:b/>
          <w:kern w:val="0"/>
          <w:szCs w:val="32"/>
        </w:rPr>
        <w:t xml:space="preserve">  </w:t>
      </w:r>
      <w:r>
        <w:rPr>
          <w:rFonts w:hint="eastAsia"/>
          <w:kern w:val="0"/>
          <w:szCs w:val="32"/>
        </w:rPr>
        <w:t>市住房公积金管理中心应当为缴存住房公积金的职工设立职工个人住房公积金明细账，并发放缴存住房公积金的有效凭证。</w:t>
      </w:r>
      <w:r>
        <w:rPr>
          <w:rFonts w:hint="eastAsia"/>
          <w:kern w:val="0"/>
          <w:szCs w:val="32"/>
        </w:rPr>
        <w:tab/>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Times New Roman" w:hAnsi="Times New Roman" w:hint="eastAsia"/>
          <w:kern w:val="0"/>
          <w:szCs w:val="32"/>
        </w:rPr>
      </w:pPr>
      <w:r>
        <w:rPr>
          <w:rFonts w:ascii="黑体" w:hAnsi="黑体" w:hint="eastAsia" w:eastAsia="黑体"/>
          <w:kern w:val="0"/>
          <w:szCs w:val="32"/>
        </w:rPr>
        <w:t>第二十三条</w:t>
      </w:r>
      <w:r>
        <w:rPr>
          <w:rFonts w:ascii="黑体" w:hAnsi="黑体" w:hint="eastAsia" w:eastAsia="黑体"/>
          <w:b/>
          <w:kern w:val="0"/>
          <w:szCs w:val="32"/>
        </w:rPr>
        <w:t xml:space="preserve">  </w:t>
      </w:r>
      <w:r>
        <w:rPr>
          <w:rFonts w:hint="eastAsia"/>
          <w:kern w:val="0"/>
          <w:szCs w:val="32"/>
        </w:rPr>
        <w:t>本市住房公积金的结算年度、住房公积金缴存比例以及缴存基数的调整年度为当年</w:t>
      </w:r>
      <w:r>
        <w:rPr>
          <w:rFonts w:ascii="Times New Roman" w:hAnsi="Times New Roman"/>
          <w:kern w:val="0"/>
          <w:szCs w:val="32"/>
        </w:rPr>
        <w:t>的</w:t>
      </w:r>
      <w:r>
        <w:rPr>
          <w:kern w:val="0"/>
          <w:szCs w:val="32"/>
        </w:rPr>
        <w:t>7</w:t>
      </w:r>
      <w:r>
        <w:rPr>
          <w:rFonts w:ascii="Times New Roman" w:hAnsi="Times New Roman"/>
          <w:kern w:val="0"/>
          <w:szCs w:val="32"/>
        </w:rPr>
        <w:t>月</w:t>
      </w:r>
      <w:r>
        <w:rPr>
          <w:kern w:val="0"/>
          <w:szCs w:val="32"/>
        </w:rPr>
        <w:t>1</w:t>
      </w:r>
      <w:r>
        <w:rPr>
          <w:rFonts w:ascii="Times New Roman" w:hAnsi="Times New Roman"/>
          <w:kern w:val="0"/>
          <w:szCs w:val="32"/>
        </w:rPr>
        <w:t>日至</w:t>
      </w:r>
      <w:r>
        <w:rPr>
          <w:rFonts w:hint="eastAsia"/>
          <w:kern w:val="0"/>
          <w:szCs w:val="32"/>
        </w:rPr>
        <w:t>下一</w:t>
      </w:r>
      <w:r>
        <w:rPr>
          <w:rFonts w:ascii="Times New Roman" w:hAnsi="Times New Roman"/>
          <w:kern w:val="0"/>
          <w:szCs w:val="32"/>
        </w:rPr>
        <w:t>年的</w:t>
      </w:r>
      <w:r>
        <w:rPr>
          <w:kern w:val="0"/>
          <w:szCs w:val="32"/>
        </w:rPr>
        <w:t>6</w:t>
      </w:r>
      <w:r>
        <w:rPr>
          <w:rFonts w:ascii="Times New Roman" w:hAnsi="Times New Roman"/>
          <w:kern w:val="0"/>
          <w:szCs w:val="32"/>
        </w:rPr>
        <w:t>月</w:t>
      </w:r>
      <w:r>
        <w:rPr>
          <w:kern w:val="0"/>
          <w:szCs w:val="32"/>
        </w:rPr>
        <w:t>30</w:t>
      </w:r>
      <w:r>
        <w:rPr>
          <w:rFonts w:ascii="Times New Roman" w:hAnsi="Times New Roman"/>
          <w:kern w:val="0"/>
          <w:szCs w:val="32"/>
        </w:rPr>
        <w:t>日。</w:t>
      </w:r>
      <w:r>
        <w:rPr>
          <w:kern w:val="0"/>
          <w:szCs w:val="32"/>
        </w:rPr>
        <w:tab/>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Times New Roman" w:hAnsi="Times New Roman" w:eastAsia="仿宋" w:hint="eastAsia"/>
          <w:kern w:val="0"/>
          <w:szCs w:val="32"/>
        </w:rPr>
      </w:pPr>
      <w:r>
        <w:rPr>
          <w:rFonts w:ascii="黑体" w:hAnsi="黑体" w:hint="eastAsia" w:eastAsia="黑体"/>
          <w:kern w:val="0"/>
          <w:szCs w:val="32"/>
        </w:rPr>
        <w:t>第二十四条</w:t>
      </w:r>
      <w:r>
        <w:rPr>
          <w:rFonts w:ascii="黑体" w:hAnsi="黑体" w:hint="eastAsia" w:eastAsia="黑体"/>
          <w:b/>
          <w:kern w:val="0"/>
          <w:szCs w:val="32"/>
        </w:rPr>
        <w:t xml:space="preserve">  </w:t>
      </w:r>
      <w:r>
        <w:rPr>
          <w:rFonts w:hint="eastAsia"/>
          <w:kern w:val="0"/>
          <w:szCs w:val="32"/>
        </w:rPr>
        <w:t>单位撤销、破产或者解散的，欠缴职工的住房公积金及其利息，比照所欠职工工资优先予以偿还。</w:t>
      </w:r>
      <w:bookmarkStart w:id="0" w:name="OLE_LINK6"/>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Times New Roman" w:hAnsi="Times New Roman" w:eastAsia="仿宋" w:hint="eastAsia"/>
          <w:spacing w:val="-4"/>
          <w:kern w:val="0"/>
          <w:szCs w:val="32"/>
        </w:rPr>
      </w:pPr>
      <w:r>
        <w:rPr>
          <w:rFonts w:ascii="黑体" w:hAnsi="黑体" w:hint="eastAsia" w:eastAsia="黑体"/>
          <w:kern w:val="0"/>
          <w:szCs w:val="32"/>
        </w:rPr>
        <w:t>第二十五条</w:t>
      </w:r>
      <w:r>
        <w:rPr>
          <w:rFonts w:ascii="黑体" w:hAnsi="黑体" w:hint="eastAsia" w:eastAsia="黑体"/>
          <w:b/>
          <w:kern w:val="0"/>
          <w:szCs w:val="32"/>
        </w:rPr>
        <w:t xml:space="preserve">  </w:t>
      </w:r>
      <w:r>
        <w:rPr>
          <w:rFonts w:hint="eastAsia"/>
          <w:spacing w:val="-4"/>
          <w:kern w:val="0"/>
          <w:szCs w:val="32"/>
        </w:rPr>
        <w:t>缴存的住房公积金及其利息和支付的住房公积金贷款利息，不计入职工个人所得税应纳税所得额。</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提取的住房公积金及其利息，免交个人所得税。</w:t>
      </w:r>
      <w:bookmarkEnd w:id="0"/>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黑体" w:hint="eastAsia"/>
          <w:kern w:val="0"/>
          <w:szCs w:val="32"/>
        </w:rPr>
      </w:pPr>
      <w:r>
        <w:rPr>
          <w:rFonts w:ascii="黑体" w:hAnsi="黑体" w:cs="黑体" w:hint="eastAsia" w:eastAsia="黑体"/>
          <w:kern w:val="0"/>
          <w:szCs w:val="32"/>
        </w:rPr>
        <w:t>第二十六条</w:t>
      </w:r>
      <w:r>
        <w:rPr>
          <w:rFonts w:ascii="黑体" w:hAnsi="黑体" w:hint="eastAsia" w:eastAsia="黑体"/>
          <w:b/>
          <w:kern w:val="0"/>
          <w:szCs w:val="32"/>
        </w:rPr>
        <w:t xml:space="preserve">  </w:t>
      </w:r>
      <w:r>
        <w:rPr>
          <w:rFonts w:cs="黑体" w:hint="eastAsia"/>
          <w:kern w:val="0"/>
          <w:szCs w:val="32"/>
        </w:rPr>
        <w:t>对缴存达到一定年限且未使用过住房公积金贷款的职工，在注销住房公积金账户并提取</w:t>
      </w:r>
      <w:r>
        <w:rPr>
          <w:rFonts w:hint="eastAsia"/>
          <w:kern w:val="0"/>
          <w:szCs w:val="32"/>
        </w:rPr>
        <w:t>账户内存储余额</w:t>
      </w:r>
      <w:r>
        <w:rPr>
          <w:rFonts w:cs="黑体" w:hint="eastAsia"/>
          <w:kern w:val="0"/>
          <w:szCs w:val="32"/>
        </w:rPr>
        <w:t>时可给予</w:t>
      </w:r>
      <w:r>
        <w:rPr>
          <w:rFonts w:cs="黑体" w:hint="eastAsia"/>
          <w:color w:val="000000"/>
          <w:kern w:val="0"/>
          <w:szCs w:val="32"/>
        </w:rPr>
        <w:t>适当的</w:t>
      </w:r>
      <w:r>
        <w:rPr>
          <w:rFonts w:cs="黑体" w:hint="eastAsia"/>
          <w:kern w:val="0"/>
          <w:szCs w:val="32"/>
        </w:rPr>
        <w:t>存款利息补贴；对偿还住房公积金贷款期间出现经济困难的职工，可给予</w:t>
      </w:r>
      <w:r>
        <w:rPr>
          <w:rFonts w:cs="黑体" w:hint="eastAsia"/>
          <w:color w:val="000000"/>
          <w:kern w:val="0"/>
          <w:szCs w:val="32"/>
        </w:rPr>
        <w:t>适当的</w:t>
      </w:r>
      <w:r>
        <w:rPr>
          <w:rFonts w:cs="黑体" w:hint="eastAsia"/>
          <w:kern w:val="0"/>
          <w:szCs w:val="32"/>
        </w:rPr>
        <w:t>贷款利息补贴。</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黑体" w:hint="eastAsia"/>
          <w:kern w:val="0"/>
          <w:szCs w:val="32"/>
        </w:rPr>
      </w:pPr>
      <w:r>
        <w:rPr>
          <w:rFonts w:cs="黑体" w:hint="eastAsia"/>
          <w:color w:val="000000"/>
          <w:kern w:val="0"/>
          <w:szCs w:val="32"/>
        </w:rPr>
        <w:t>利息</w:t>
      </w:r>
      <w:r>
        <w:rPr>
          <w:rFonts w:cs="黑体" w:hint="eastAsia"/>
          <w:kern w:val="0"/>
          <w:szCs w:val="32"/>
        </w:rPr>
        <w:t>补贴所需资金由市住房公积金管理中心在其业务支出中列支</w:t>
      </w:r>
      <w:r>
        <w:rPr>
          <w:rFonts w:cs="黑体" w:hint="eastAsia"/>
          <w:color w:val="000000"/>
          <w:kern w:val="0"/>
          <w:szCs w:val="32"/>
        </w:rPr>
        <w:t>。利息补贴的范围、条件、标准以及</w:t>
      </w:r>
      <w:r>
        <w:rPr>
          <w:rFonts w:cs="黑体" w:hint="eastAsia"/>
          <w:kern w:val="0"/>
          <w:szCs w:val="32"/>
        </w:rPr>
        <w:t>方式由市住房公积金管理委员会拟订，经市人民政府批准，</w:t>
      </w:r>
      <w:r>
        <w:rPr>
          <w:rFonts w:cs="黑体"/>
          <w:kern w:val="0"/>
          <w:szCs w:val="32"/>
        </w:rPr>
        <w:t>并</w:t>
      </w:r>
      <w:r>
        <w:rPr>
          <w:rFonts w:cs="黑体" w:hint="eastAsia"/>
          <w:kern w:val="0"/>
          <w:szCs w:val="32"/>
        </w:rPr>
        <w:t>向社会公布。</w:t>
      </w:r>
    </w:p>
    <w:p>
      <w:pPr>
        <w:pStyle w:val="Normal"/>
        <w:keepNext w:val="false"/>
        <w:keepLines w:val="false"/>
        <w:pageBreakBefore w:val="false"/>
        <w:widowControl w:val="false"/>
        <w:kinsoku w:val="true"/>
        <w:overflowPunct w:val="true"/>
        <w:autoSpaceDE w:val="true"/>
        <w:bidi w:val="0"/>
        <w:spacing w:lineRule="atLeast" w:line="300"/>
        <w:ind w:firstLineChars="150" w:startChars="0" w:start="0" w:endChars="0" w:end="0"/>
        <w:textAlignment w:val="auto"/>
        <w:rPr>
          <w:rFonts w:cs="黑体" w:hint="eastAsia"/>
          <w:kern w:val="0"/>
          <w:szCs w:val="32"/>
        </w:rPr>
      </w:pPr>
      <w:r>
        <w:rPr>
          <w:rFonts w:cs="黑体" w:hint="eastAsia"/>
          <w:kern w:val="0"/>
          <w:szCs w:val="32"/>
        </w:rPr>
      </w:r>
    </w:p>
    <w:p>
      <w:pPr>
        <w:pStyle w:val="Normal"/>
        <w:keepNext w:val="false"/>
        <w:keepLines w:val="false"/>
        <w:pageBreakBefore w:val="false"/>
        <w:widowControl w:val="false"/>
        <w:numPr>
          <w:ilvl w:val="0"/>
          <w:numId w:val="5"/>
        </w:numPr>
        <w:kinsoku w:val="true"/>
        <w:overflowPunct w:val="true"/>
        <w:autoSpaceDE w:val="true"/>
        <w:bidi w:val="0"/>
        <w:spacing w:lineRule="atLeast" w:line="300"/>
        <w:ind w:firstLineChars="0" w:firstLine="0" w:startChars="0" w:start="0" w:endChars="0" w:end="0"/>
        <w:jc w:val="center"/>
        <w:textAlignment w:val="auto"/>
        <w:rPr>
          <w:rFonts w:ascii="黑体" w:hAnsi="黑体" w:eastAsia="黑体" w:cs="黑体"/>
          <w:kern w:val="0"/>
          <w:szCs w:val="32"/>
        </w:rPr>
      </w:pPr>
      <w:r>
        <w:rPr>
          <w:rFonts w:eastAsia="黑体" w:cs="黑体" w:hint="eastAsia" w:ascii="黑体" w:hAnsi="黑体"/>
          <w:kern w:val="0"/>
          <w:szCs w:val="32"/>
        </w:rPr>
        <w:t xml:space="preserve"> </w:t>
      </w:r>
      <w:r>
        <w:rPr>
          <w:rFonts w:ascii="黑体" w:hAnsi="黑体" w:cs="黑体" w:eastAsia="黑体"/>
          <w:kern w:val="0"/>
          <w:szCs w:val="32"/>
        </w:rPr>
        <w:t>住房公积金提取</w:t>
      </w:r>
    </w:p>
    <w:p>
      <w:pPr>
        <w:pStyle w:val="Normal"/>
        <w:keepNext w:val="false"/>
        <w:keepLines w:val="false"/>
        <w:pageBreakBefore w:val="false"/>
        <w:widowControl w:val="false"/>
        <w:numPr>
          <w:ilvl w:val="0"/>
          <w:numId w:val="0"/>
        </w:numPr>
        <w:kinsoku w:val="true"/>
        <w:overflowPunct w:val="true"/>
        <w:autoSpaceDE w:val="true"/>
        <w:bidi w:val="0"/>
        <w:spacing w:lineRule="atLeast" w:line="300"/>
        <w:ind w:firstLineChars="0" w:firstLine="0" w:startChars="0" w:start="0" w:endChars="0" w:end="0"/>
        <w:jc w:val="both"/>
        <w:textAlignment w:val="auto"/>
        <w:rPr>
          <w:rFonts w:ascii="黑体" w:hAnsi="黑体" w:eastAsia="黑体" w:cs="黑体" w:hint="eastAsia"/>
          <w:kern w:val="0"/>
          <w:szCs w:val="32"/>
        </w:rPr>
      </w:pPr>
      <w:r>
        <w:rPr>
          <w:rFonts w:eastAsia="黑体" w:cs="黑体" w:hint="eastAsia" w:ascii="黑体" w:hAnsi="黑体"/>
          <w:kern w:val="0"/>
          <w:szCs w:val="32"/>
        </w:rPr>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Times New Roman" w:hAnsi="Times New Roman" w:eastAsia="黑体" w:hint="eastAsia"/>
          <w:kern w:val="0"/>
          <w:szCs w:val="32"/>
        </w:rPr>
      </w:pPr>
      <w:r>
        <w:rPr>
          <w:rFonts w:ascii="黑体" w:hAnsi="黑体" w:hint="eastAsia" w:eastAsia="黑体"/>
          <w:kern w:val="0"/>
          <w:szCs w:val="32"/>
        </w:rPr>
        <w:t>第二十七条</w:t>
      </w:r>
      <w:r>
        <w:rPr>
          <w:rFonts w:ascii="黑体" w:hAnsi="黑体" w:hint="eastAsia" w:eastAsia="黑体"/>
          <w:b/>
          <w:kern w:val="0"/>
          <w:szCs w:val="32"/>
        </w:rPr>
        <w:t xml:space="preserve">  </w:t>
      </w:r>
      <w:r>
        <w:rPr>
          <w:rFonts w:hint="eastAsia"/>
          <w:kern w:val="0"/>
          <w:szCs w:val="32"/>
        </w:rPr>
        <w:t>职工有下列情形之一的，可以申请提取职工住房公积金账户内的存储余额：</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（一）购买、建造、翻建、大修自有住房的；</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（二）偿还购房贷款本息的；</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（三）支付自住住房房租的；</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（四）离休、退休的；</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（五）完全丧失劳动能力并与所在单位终止劳动关系的；</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（六）到国外或者港、澳、台地区定居的；</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（七）市人民政府规定的其他情形。</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hint="eastAsia"/>
          <w:kern w:val="0"/>
          <w:szCs w:val="32"/>
        </w:rPr>
        <w:t>依照前款第（一）、（二）、（三）项规定提取职工住房公积金的，职工配偶可以同时申请提取其住房公积金账户内的存储余额；依照前款第（四）、（五）、（六）项规定提取职工住房公积金的，应当同时注销职工住房公积金账户。</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黑体" w:hAnsi="黑体" w:hint="eastAsia" w:eastAsia="黑体"/>
          <w:kern w:val="0"/>
          <w:szCs w:val="32"/>
        </w:rPr>
        <w:t>第二十八条</w:t>
      </w:r>
      <w:r>
        <w:rPr>
          <w:rFonts w:ascii="黑体" w:hAnsi="黑体" w:hint="eastAsia" w:eastAsia="黑体"/>
          <w:b/>
          <w:kern w:val="0"/>
          <w:szCs w:val="32"/>
        </w:rPr>
        <w:t xml:space="preserve">  </w:t>
      </w:r>
      <w:r>
        <w:rPr>
          <w:rFonts w:hint="eastAsia"/>
          <w:kern w:val="0"/>
          <w:szCs w:val="32"/>
        </w:rPr>
        <w:t>职工死亡或者被宣告死亡的，其继承人或者受遗赠人凭死亡证明和继承或者遗赠证明，提取职工住房公积金账户内的存储余额；无继承人也无受遗赠人的，职工住房公积金账户内的存储余额纳入住房公积金的增值收益；同时，注销职工住房公积金账户。</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ascii="黑体" w:hAnsi="黑体" w:hint="eastAsia" w:eastAsia="黑体"/>
          <w:kern w:val="0"/>
          <w:szCs w:val="32"/>
        </w:rPr>
        <w:t>第二十九条</w:t>
      </w:r>
      <w:r>
        <w:rPr>
          <w:rFonts w:ascii="黑体" w:hAnsi="黑体" w:hint="eastAsia" w:eastAsia="黑体"/>
          <w:b/>
          <w:kern w:val="0"/>
          <w:szCs w:val="32"/>
        </w:rPr>
        <w:t xml:space="preserve">  </w:t>
      </w:r>
      <w:r>
        <w:rPr>
          <w:rFonts w:hint="eastAsia"/>
          <w:color w:val="000000"/>
          <w:kern w:val="0"/>
          <w:szCs w:val="32"/>
        </w:rPr>
        <w:t>职工</w:t>
      </w:r>
      <w:r>
        <w:rPr>
          <w:rFonts w:hint="eastAsia"/>
          <w:kern w:val="0"/>
          <w:szCs w:val="32"/>
        </w:rPr>
        <w:t>申请提取住房公积金账户内的存储余额的，应当按照规定提供相关证明文件。市住房公积金管理中心应当自受理申请之日起三日内作出是否准予提取的决定，并通知申请人。</w:t>
      </w:r>
    </w:p>
    <w:p>
      <w:pPr>
        <w:pStyle w:val="Normal"/>
        <w:keepNext w:val="false"/>
        <w:keepLines w:val="false"/>
        <w:pageBreakBefore w:val="false"/>
        <w:widowControl w:val="false"/>
        <w:kinsoku w:val="true"/>
        <w:overflowPunct w:val="true"/>
        <w:autoSpaceDE w:val="true"/>
        <w:bidi w:val="0"/>
        <w:spacing w:lineRule="atLeast" w:line="300"/>
        <w:ind w:firstLineChars="150" w:startChars="0" w:start="0" w:endChars="0" w:end="0"/>
        <w:textAlignment w:val="auto"/>
        <w:rPr>
          <w:rFonts w:hint="eastAsia"/>
          <w:kern w:val="0"/>
          <w:szCs w:val="32"/>
        </w:rPr>
      </w:pPr>
      <w:r>
        <w:rPr>
          <w:rFonts w:hint="eastAsia"/>
          <w:kern w:val="0"/>
          <w:szCs w:val="32"/>
        </w:rPr>
      </w:r>
    </w:p>
    <w:p>
      <w:pPr>
        <w:pStyle w:val="Normal"/>
        <w:keepNext w:val="false"/>
        <w:keepLines w:val="false"/>
        <w:pageBreakBefore w:val="false"/>
        <w:widowControl w:val="false"/>
        <w:numPr>
          <w:ilvl w:val="0"/>
          <w:numId w:val="4"/>
        </w:numPr>
        <w:kinsoku w:val="true"/>
        <w:overflowPunct w:val="true"/>
        <w:autoSpaceDE w:val="true"/>
        <w:bidi w:val="0"/>
        <w:spacing w:lineRule="atLeast" w:line="300"/>
        <w:ind w:firstLineChars="0" w:firstLine="0" w:startChars="0" w:start="0" w:endChars="0" w:end="0"/>
        <w:jc w:val="center"/>
        <w:textAlignment w:val="auto"/>
        <w:rPr>
          <w:rFonts w:ascii="黑体" w:hAnsi="黑体" w:eastAsia="黑体" w:cs="黑体"/>
          <w:kern w:val="0"/>
          <w:szCs w:val="32"/>
        </w:rPr>
      </w:pPr>
      <w:r>
        <w:rPr>
          <w:rFonts w:eastAsia="黑体" w:cs="黑体" w:hint="eastAsia" w:ascii="黑体" w:hAnsi="黑体"/>
          <w:kern w:val="0"/>
          <w:szCs w:val="32"/>
        </w:rPr>
        <w:t xml:space="preserve"> </w:t>
      </w:r>
      <w:r>
        <w:rPr>
          <w:rFonts w:ascii="黑体" w:hAnsi="黑体" w:cs="黑体" w:eastAsia="黑体"/>
          <w:kern w:val="0"/>
          <w:szCs w:val="32"/>
        </w:rPr>
        <w:t>住房公积金使用</w:t>
      </w:r>
    </w:p>
    <w:p>
      <w:pPr>
        <w:pStyle w:val="Normal"/>
        <w:keepNext w:val="false"/>
        <w:keepLines w:val="false"/>
        <w:pageBreakBefore w:val="false"/>
        <w:widowControl w:val="false"/>
        <w:numPr>
          <w:ilvl w:val="0"/>
          <w:numId w:val="0"/>
        </w:numPr>
        <w:kinsoku w:val="true"/>
        <w:overflowPunct w:val="true"/>
        <w:autoSpaceDE w:val="true"/>
        <w:bidi w:val="0"/>
        <w:spacing w:lineRule="atLeast" w:line="300"/>
        <w:ind w:firstLineChars="0" w:firstLine="0" w:startChars="0" w:start="0" w:endChars="0" w:end="0"/>
        <w:jc w:val="both"/>
        <w:textAlignment w:val="auto"/>
        <w:rPr>
          <w:rFonts w:ascii="黑体" w:hAnsi="黑体" w:eastAsia="黑体" w:cs="黑体"/>
          <w:kern w:val="0"/>
          <w:szCs w:val="32"/>
        </w:rPr>
      </w:pPr>
      <w:r>
        <w:rPr>
          <w:rFonts w:eastAsia="黑体" w:cs="黑体" w:ascii="黑体" w:hAnsi="黑体"/>
          <w:kern w:val="0"/>
          <w:szCs w:val="32"/>
        </w:rPr>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黑体" w:hAnsi="黑体" w:hint="eastAsia" w:eastAsia="黑体"/>
          <w:kern w:val="0"/>
          <w:szCs w:val="32"/>
        </w:rPr>
        <w:t>第三十条</w:t>
      </w:r>
      <w:r>
        <w:rPr>
          <w:rFonts w:ascii="黑体" w:hAnsi="黑体" w:hint="eastAsia" w:eastAsia="黑体"/>
          <w:b/>
          <w:kern w:val="0"/>
          <w:szCs w:val="32"/>
        </w:rPr>
        <w:t xml:space="preserve">  </w:t>
      </w:r>
      <w:r>
        <w:rPr>
          <w:rFonts w:hint="eastAsia"/>
          <w:kern w:val="0"/>
          <w:szCs w:val="32"/>
        </w:rPr>
        <w:t>缴存住房公积金的职工在购买、建造、翻建、大修自有住房时，可以向市住房公积金管理中心申请住房公积金贷款。</w:t>
      </w:r>
      <w:r>
        <w:rPr>
          <w:rFonts w:hint="eastAsia"/>
          <w:kern w:val="0"/>
          <w:szCs w:val="32"/>
        </w:rPr>
        <w:tab/>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Times New Roman" w:hAnsi="Times New Roman" w:eastAsia="仿宋"/>
          <w:kern w:val="0"/>
          <w:szCs w:val="32"/>
        </w:rPr>
      </w:pPr>
      <w:r>
        <w:rPr>
          <w:rFonts w:ascii="黑体" w:hAnsi="黑体" w:hint="eastAsia" w:eastAsia="黑体"/>
          <w:kern w:val="0"/>
          <w:szCs w:val="32"/>
        </w:rPr>
        <w:t>第三十一条</w:t>
      </w:r>
      <w:r>
        <w:rPr>
          <w:rFonts w:ascii="黑体" w:hAnsi="黑体" w:hint="eastAsia" w:eastAsia="黑体"/>
          <w:b/>
          <w:kern w:val="0"/>
          <w:szCs w:val="32"/>
        </w:rPr>
        <w:t xml:space="preserve">  </w:t>
      </w:r>
      <w:r>
        <w:rPr>
          <w:rFonts w:hint="eastAsia"/>
          <w:kern w:val="0"/>
          <w:szCs w:val="32"/>
        </w:rPr>
        <w:t>住房公积金贷款实行存贷结合、先存后贷、整借零还、贷款担保的原则。住房公积金贷款具体办法由市住房公积金管理委员会制定。</w:t>
      </w:r>
      <w:r>
        <w:rPr>
          <w:rFonts w:hint="eastAsia"/>
          <w:kern w:val="0"/>
          <w:szCs w:val="32"/>
        </w:rPr>
        <w:tab/>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ascii="黑体" w:hAnsi="黑体" w:hint="eastAsia" w:eastAsia="黑体"/>
          <w:kern w:val="0"/>
          <w:szCs w:val="32"/>
        </w:rPr>
        <w:t>第三十二条</w:t>
      </w:r>
      <w:r>
        <w:rPr>
          <w:rFonts w:ascii="黑体" w:hAnsi="黑体" w:hint="eastAsia" w:eastAsia="黑体"/>
          <w:b/>
          <w:kern w:val="0"/>
          <w:szCs w:val="32"/>
        </w:rPr>
        <w:t xml:space="preserve">  </w:t>
      </w:r>
      <w:r>
        <w:rPr>
          <w:rFonts w:hint="eastAsia"/>
          <w:kern w:val="0"/>
          <w:szCs w:val="32"/>
        </w:rPr>
        <w:t>市住房公积金管理中心应当自受理住房公积金贷款申请之日起五日内作出是否准予贷款的决定，并通知申请人；准予贷款的，由受委托银行办理贷款手续。</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hint="eastAsia"/>
          <w:kern w:val="0"/>
          <w:szCs w:val="32"/>
        </w:rPr>
        <w:t>住房公积金贷款的风险，由市住房公积金管理中心承担。</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Times New Roman" w:hAnsi="Times New Roman" w:eastAsia="仿宋" w:hint="eastAsia"/>
          <w:kern w:val="0"/>
          <w:szCs w:val="32"/>
        </w:rPr>
      </w:pPr>
      <w:r>
        <w:rPr>
          <w:rFonts w:ascii="黑体" w:hAnsi="黑体" w:hint="eastAsia" w:eastAsia="黑体"/>
          <w:kern w:val="0"/>
          <w:szCs w:val="32"/>
        </w:rPr>
        <w:t>第三十三条</w:t>
      </w:r>
      <w:r>
        <w:rPr>
          <w:rFonts w:ascii="黑体" w:hAnsi="黑体" w:hint="eastAsia" w:eastAsia="黑体"/>
          <w:b/>
          <w:kern w:val="0"/>
          <w:szCs w:val="32"/>
        </w:rPr>
        <w:t xml:space="preserve">  </w:t>
      </w:r>
      <w:r>
        <w:rPr>
          <w:rFonts w:hint="eastAsia"/>
          <w:kern w:val="0"/>
          <w:szCs w:val="32"/>
        </w:rPr>
        <w:t>职工申请住房公积金贷款，应当与受委托银行签订借款合同，并提供担保。</w:t>
      </w:r>
      <w:r>
        <w:rPr>
          <w:rFonts w:hint="eastAsia"/>
          <w:kern w:val="0"/>
          <w:szCs w:val="32"/>
        </w:rPr>
        <w:tab/>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黑体" w:hAnsi="黑体" w:hint="eastAsia" w:eastAsia="黑体"/>
          <w:kern w:val="0"/>
          <w:szCs w:val="32"/>
        </w:rPr>
        <w:t>第三十四条</w:t>
      </w:r>
      <w:r>
        <w:rPr>
          <w:rFonts w:ascii="黑体" w:hAnsi="黑体" w:hint="eastAsia" w:eastAsia="黑体"/>
          <w:b/>
          <w:kern w:val="0"/>
          <w:szCs w:val="32"/>
        </w:rPr>
        <w:t xml:space="preserve">  </w:t>
      </w:r>
      <w:r>
        <w:rPr>
          <w:rFonts w:hint="eastAsia"/>
          <w:kern w:val="0"/>
          <w:szCs w:val="32"/>
        </w:rPr>
        <w:t>市住房公积金管理中心在保证住房公积金提取和贷款的前提下，经市住房公积金管理委员会批准，可以将住房公积金用于购买国债。</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hint="eastAsia"/>
          <w:kern w:val="0"/>
          <w:szCs w:val="32"/>
        </w:rPr>
        <w:t>市住房公积金管理中心不得向他人提供担保。</w:t>
      </w:r>
      <w:r>
        <w:rPr>
          <w:rFonts w:hint="eastAsia"/>
          <w:kern w:val="0"/>
          <w:szCs w:val="32"/>
        </w:rPr>
        <w:tab/>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黑体" w:hAnsi="黑体" w:hint="eastAsia" w:eastAsia="黑体"/>
          <w:kern w:val="0"/>
          <w:szCs w:val="32"/>
        </w:rPr>
        <w:t>第三十五条</w:t>
      </w:r>
      <w:r>
        <w:rPr>
          <w:rFonts w:ascii="黑体" w:hAnsi="黑体" w:hint="eastAsia" w:eastAsia="黑体"/>
          <w:b/>
          <w:kern w:val="0"/>
          <w:szCs w:val="32"/>
        </w:rPr>
        <w:t xml:space="preserve">  </w:t>
      </w:r>
      <w:r>
        <w:rPr>
          <w:rFonts w:hint="eastAsia"/>
          <w:kern w:val="0"/>
          <w:szCs w:val="32"/>
        </w:rPr>
        <w:t>住房公积金的增值收益应当存入市住房公积金管理中心在受委托银行开立的住房公积金增值收益专户。</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黑体" w:hAnsi="黑体" w:hint="eastAsia" w:eastAsia="黑体"/>
          <w:kern w:val="0"/>
          <w:szCs w:val="32"/>
        </w:rPr>
        <w:t>第三十六条</w:t>
      </w:r>
      <w:r>
        <w:rPr>
          <w:rFonts w:ascii="黑体" w:hAnsi="黑体" w:hint="eastAsia" w:eastAsia="黑体"/>
          <w:b/>
          <w:kern w:val="0"/>
          <w:szCs w:val="32"/>
        </w:rPr>
        <w:t xml:space="preserve">  </w:t>
      </w:r>
      <w:r>
        <w:rPr>
          <w:rFonts w:hint="eastAsia"/>
          <w:kern w:val="0"/>
          <w:szCs w:val="32"/>
        </w:rPr>
        <w:t>市住房公积金管理中心的管理费用，由市住房公积金管理中心按照规定的标准编制全年预算支出总额，报市财政部门批准后，从住房公积金增值收益中上交市财政，由市财政拨付。</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hint="eastAsia"/>
          <w:kern w:val="0"/>
          <w:szCs w:val="32"/>
        </w:rPr>
        <w:t>市住房公积金管理中心的管理费用标准，由市住房公积金管理委员会会同市财政部门按照略高于国家规定的事业单位费用标准制定。</w:t>
      </w:r>
      <w:r>
        <w:rPr>
          <w:rFonts w:hint="eastAsia"/>
          <w:kern w:val="0"/>
          <w:szCs w:val="32"/>
        </w:rPr>
        <w:tab/>
      </w:r>
    </w:p>
    <w:p>
      <w:pPr>
        <w:pStyle w:val="Normal"/>
        <w:keepNext w:val="false"/>
        <w:keepLines w:val="false"/>
        <w:pageBreakBefore w:val="false"/>
        <w:widowControl w:val="false"/>
        <w:kinsoku w:val="true"/>
        <w:overflowPunct w:val="true"/>
        <w:autoSpaceDE w:val="true"/>
        <w:bidi w:val="0"/>
        <w:spacing w:lineRule="atLeast" w:line="300"/>
        <w:ind w:firstLineChars="150" w:startChars="0" w:start="0" w:endChars="0" w:end="0"/>
        <w:textAlignment w:val="auto"/>
        <w:rPr>
          <w:rFonts w:hint="eastAsia"/>
          <w:kern w:val="0"/>
          <w:szCs w:val="32"/>
        </w:rPr>
      </w:pPr>
      <w:r>
        <w:rPr>
          <w:rFonts w:hint="eastAsia"/>
          <w:kern w:val="0"/>
          <w:szCs w:val="32"/>
        </w:rPr>
      </w:r>
    </w:p>
    <w:p>
      <w:pPr>
        <w:pStyle w:val="Normal"/>
        <w:keepNext w:val="false"/>
        <w:keepLines w:val="false"/>
        <w:pageBreakBefore w:val="false"/>
        <w:widowControl w:val="false"/>
        <w:numPr>
          <w:ilvl w:val="0"/>
          <w:numId w:val="3"/>
        </w:numPr>
        <w:kinsoku w:val="true"/>
        <w:overflowPunct w:val="true"/>
        <w:autoSpaceDE w:val="true"/>
        <w:bidi w:val="0"/>
        <w:spacing w:lineRule="atLeast" w:line="300"/>
        <w:ind w:firstLineChars="0" w:firstLine="0" w:startChars="0" w:start="0" w:endChars="0" w:end="0"/>
        <w:jc w:val="center"/>
        <w:textAlignment w:val="auto"/>
        <w:rPr>
          <w:rFonts w:ascii="黑体" w:hAnsi="黑体" w:eastAsia="黑体" w:cs="黑体"/>
          <w:kern w:val="0"/>
          <w:szCs w:val="32"/>
        </w:rPr>
      </w:pPr>
      <w:r>
        <w:rPr>
          <w:rFonts w:eastAsia="黑体" w:cs="黑体" w:ascii="黑体" w:hAnsi="黑体"/>
          <w:kern w:val="0"/>
          <w:szCs w:val="32"/>
        </w:rPr>
        <w:t xml:space="preserve"> </w:t>
      </w:r>
      <w:r>
        <w:rPr>
          <w:rFonts w:ascii="黑体" w:hAnsi="黑体" w:cs="黑体" w:eastAsia="黑体"/>
          <w:kern w:val="0"/>
          <w:szCs w:val="32"/>
        </w:rPr>
        <w:t>监</w:t>
      </w:r>
      <w:r>
        <w:rPr>
          <w:rFonts w:ascii="黑体" w:hAnsi="黑体" w:cs="黑体" w:hint="eastAsia" w:eastAsia="黑体"/>
          <w:kern w:val="0"/>
          <w:szCs w:val="32"/>
        </w:rPr>
        <w:t xml:space="preserve">  </w:t>
      </w:r>
      <w:r>
        <w:rPr>
          <w:rFonts w:ascii="黑体" w:hAnsi="黑体" w:cs="黑体" w:eastAsia="黑体"/>
          <w:kern w:val="0"/>
          <w:szCs w:val="32"/>
        </w:rPr>
        <w:t>督</w:t>
      </w:r>
    </w:p>
    <w:p>
      <w:pPr>
        <w:pStyle w:val="Normal"/>
        <w:keepNext w:val="false"/>
        <w:keepLines w:val="false"/>
        <w:pageBreakBefore w:val="false"/>
        <w:widowControl w:val="false"/>
        <w:numPr>
          <w:ilvl w:val="0"/>
          <w:numId w:val="0"/>
        </w:numPr>
        <w:kinsoku w:val="true"/>
        <w:overflowPunct w:val="true"/>
        <w:autoSpaceDE w:val="true"/>
        <w:bidi w:val="0"/>
        <w:spacing w:lineRule="atLeast" w:line="300"/>
        <w:ind w:firstLineChars="0" w:firstLine="0" w:startChars="0" w:start="0" w:endChars="0" w:end="0"/>
        <w:jc w:val="both"/>
        <w:textAlignment w:val="auto"/>
        <w:rPr>
          <w:rFonts w:ascii="黑体" w:hAnsi="黑体" w:eastAsia="黑体" w:cs="黑体"/>
          <w:kern w:val="0"/>
          <w:szCs w:val="32"/>
        </w:rPr>
      </w:pPr>
      <w:r>
        <w:rPr>
          <w:rFonts w:eastAsia="黑体" w:cs="黑体" w:ascii="黑体" w:hAnsi="黑体"/>
          <w:kern w:val="0"/>
          <w:szCs w:val="32"/>
        </w:rPr>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黑体" w:hAnsi="黑体" w:hint="eastAsia" w:eastAsia="黑体"/>
          <w:kern w:val="0"/>
          <w:szCs w:val="32"/>
        </w:rPr>
        <w:t>第三十七条</w:t>
      </w:r>
      <w:r>
        <w:rPr>
          <w:rFonts w:ascii="黑体" w:hAnsi="黑体" w:hint="eastAsia" w:eastAsia="黑体"/>
          <w:b/>
          <w:kern w:val="0"/>
          <w:szCs w:val="32"/>
        </w:rPr>
        <w:t xml:space="preserve">  </w:t>
      </w:r>
      <w:r>
        <w:rPr>
          <w:rFonts w:hint="eastAsia"/>
          <w:kern w:val="0"/>
          <w:szCs w:val="32"/>
        </w:rPr>
        <w:t>市财政部门应当对住房公积金归集、提取和使用情况进行监督，并向市住房公积金管理委员会通报。</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市住房公积金管理中心在编制住房公积金归集、使用计划时，应当征求市财政部门的意见。</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hint="eastAsia"/>
          <w:kern w:val="0"/>
          <w:szCs w:val="32"/>
        </w:rPr>
        <w:t>市住房公积金管理委员会在审批住房公积金归集、使用计划和计划执行情况的报告时，必须有市财政部门参加。</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Times New Roman" w:hAnsi="Times New Roman" w:eastAsia="黑体"/>
          <w:kern w:val="0"/>
          <w:szCs w:val="32"/>
        </w:rPr>
        <w:t>第三十</w:t>
      </w:r>
      <w:r>
        <w:rPr>
          <w:rFonts w:ascii="Times New Roman" w:hAnsi="Times New Roman" w:hint="eastAsia" w:eastAsia="黑体"/>
          <w:kern w:val="0"/>
          <w:szCs w:val="32"/>
        </w:rPr>
        <w:t>八</w:t>
      </w:r>
      <w:r>
        <w:rPr>
          <w:rFonts w:ascii="Times New Roman" w:hAnsi="Times New Roman" w:eastAsia="黑体"/>
          <w:kern w:val="0"/>
          <w:szCs w:val="32"/>
        </w:rPr>
        <w:t>条</w:t>
      </w:r>
      <w:r>
        <w:rPr>
          <w:rFonts w:ascii="黑体" w:hAnsi="黑体" w:hint="eastAsia" w:eastAsia="黑体"/>
          <w:kern w:val="0"/>
          <w:szCs w:val="32"/>
        </w:rPr>
        <w:t xml:space="preserve">  </w:t>
      </w:r>
      <w:r>
        <w:rPr>
          <w:rFonts w:hint="eastAsia"/>
          <w:kern w:val="0"/>
          <w:szCs w:val="32"/>
        </w:rPr>
        <w:t>市住房公积金管理中心编制的住房公积金年度预算、决算，应当经市财政部门审核后，提交市住房公积金管理委员会审议通过。</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 xml:space="preserve">市住房公积金管理中心应当每年定期向市财政部门和市住房公积金管理委员会报送财务报告。 </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ascii="黑体" w:hAnsi="黑体" w:cs="黑体" w:hint="eastAsia" w:eastAsia="黑体"/>
          <w:kern w:val="0"/>
          <w:szCs w:val="32"/>
        </w:rPr>
        <w:t xml:space="preserve">第三十九条  </w:t>
      </w:r>
      <w:r>
        <w:rPr>
          <w:rFonts w:hint="eastAsia"/>
          <w:kern w:val="0"/>
          <w:szCs w:val="32"/>
        </w:rPr>
        <w:t>住房公积金年度报告经市住房公积金管理委员会审议通过后，由市住房公积金管理中心向社会公布，接受社会监督。</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Times New Roman" w:hAnsi="Times New Roman" w:eastAsia="仿宋" w:hint="eastAsia"/>
          <w:kern w:val="0"/>
          <w:szCs w:val="32"/>
        </w:rPr>
      </w:pPr>
      <w:r>
        <w:rPr>
          <w:rFonts w:ascii="黑体" w:hAnsi="黑体" w:hint="eastAsia" w:eastAsia="黑体"/>
          <w:kern w:val="0"/>
          <w:szCs w:val="32"/>
        </w:rPr>
        <w:t>第四十条</w:t>
      </w:r>
      <w:r>
        <w:rPr>
          <w:rFonts w:ascii="黑体" w:hAnsi="黑体" w:hint="eastAsia" w:eastAsia="黑体"/>
          <w:b/>
          <w:kern w:val="0"/>
          <w:szCs w:val="32"/>
        </w:rPr>
        <w:t xml:space="preserve">  </w:t>
      </w:r>
      <w:r>
        <w:rPr>
          <w:rFonts w:hint="eastAsia"/>
          <w:kern w:val="0"/>
          <w:szCs w:val="32"/>
        </w:rPr>
        <w:t>市住房公积金管理中心应当依法接受市审计部门的审计监督。</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黑体" w:hAnsi="黑体" w:hint="eastAsia" w:eastAsia="黑体"/>
          <w:kern w:val="0"/>
          <w:szCs w:val="32"/>
        </w:rPr>
        <w:t>第四十一条</w:t>
      </w:r>
      <w:r>
        <w:rPr>
          <w:rFonts w:ascii="黑体" w:hAnsi="黑体" w:hint="eastAsia" w:eastAsia="黑体"/>
          <w:b/>
          <w:kern w:val="0"/>
          <w:szCs w:val="32"/>
        </w:rPr>
        <w:t xml:space="preserve">  </w:t>
      </w:r>
      <w:r>
        <w:rPr>
          <w:rFonts w:hint="eastAsia"/>
          <w:kern w:val="0"/>
          <w:szCs w:val="32"/>
        </w:rPr>
        <w:t xml:space="preserve">职工和市住房公积金管理中心有权督促单位按时履行下列义务： </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（一）办理住房公积金的缴存登记或者变更、注销登记；</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（二）办理住房公积金账户的设立、转移或者封存；</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（三）足额缴存住房公积金。</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hint="eastAsia"/>
          <w:kern w:val="0"/>
          <w:szCs w:val="32"/>
        </w:rPr>
        <w:t>职工发现所在单位未履行前款义务的，可以向市住房公积金管理中心举报。</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黑体" w:hAnsi="黑体" w:hint="eastAsia" w:eastAsia="黑体"/>
          <w:kern w:val="0"/>
          <w:szCs w:val="32"/>
        </w:rPr>
        <w:t>第四十二条</w:t>
      </w:r>
      <w:r>
        <w:rPr>
          <w:rFonts w:ascii="黑体" w:hAnsi="黑体" w:hint="eastAsia" w:eastAsia="黑体"/>
          <w:b/>
          <w:kern w:val="0"/>
          <w:szCs w:val="32"/>
        </w:rPr>
        <w:t xml:space="preserve">  </w:t>
      </w:r>
      <w:r>
        <w:rPr>
          <w:rFonts w:hint="eastAsia"/>
          <w:kern w:val="0"/>
          <w:szCs w:val="32"/>
        </w:rPr>
        <w:t>职工有权查询本人住房公积金的缴存、提取、贷款情况。单位有权查询本单位住房公积金的缴存情况。市住房公积金管理中心不得拒绝职工和单位的查询申请。</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hint="eastAsia"/>
          <w:kern w:val="0"/>
          <w:szCs w:val="32"/>
        </w:rPr>
        <w:t>职工和单位对查询结果有异议的，可以申请市住房公积金管理中心复核。市住房公积金管理中心应当自收到申请之日起五日内给予书面答复。</w:t>
      </w:r>
    </w:p>
    <w:p>
      <w:pPr>
        <w:pStyle w:val="Normal"/>
        <w:keepNext w:val="false"/>
        <w:keepLines w:val="false"/>
        <w:pageBreakBefore w:val="false"/>
        <w:widowControl w:val="false"/>
        <w:tabs>
          <w:tab w:val="clear" w:pos="420"/>
          <w:tab w:val="left" w:pos="603" w:leader="none"/>
        </w:tabs>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黑体" w:hAnsi="黑体" w:cs="黑体" w:hint="eastAsia" w:eastAsia="黑体"/>
          <w:kern w:val="0"/>
          <w:szCs w:val="32"/>
        </w:rPr>
        <w:t>第四十三条</w:t>
      </w:r>
      <w:r>
        <w:rPr>
          <w:rFonts w:ascii="黑体" w:hAnsi="黑体" w:hint="eastAsia" w:eastAsia="黑体"/>
          <w:b/>
          <w:kern w:val="0"/>
          <w:szCs w:val="32"/>
        </w:rPr>
        <w:t xml:space="preserve">  </w:t>
      </w:r>
      <w:r>
        <w:rPr>
          <w:rFonts w:hint="eastAsia"/>
          <w:kern w:val="0"/>
          <w:szCs w:val="32"/>
        </w:rPr>
        <w:t>市住房公积金管理中心应当对单位缴存住房公积金情况进行监督检查，并可以采取下列措施：</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hint="eastAsia"/>
          <w:kern w:val="0"/>
          <w:szCs w:val="32"/>
        </w:rPr>
        <w:t>（一）要求被检查单位提供与缴存住房公积金有关的用人情况、工资情况、财务报表等资料；</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kern w:val="0"/>
          <w:szCs w:val="32"/>
        </w:rPr>
      </w:pPr>
      <w:r>
        <w:rPr>
          <w:rFonts w:hint="eastAsia"/>
          <w:kern w:val="0"/>
          <w:szCs w:val="32"/>
        </w:rPr>
        <w:t>（二）查阅、记录、复制有关资料；</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（三）要求被检查单位就住房公积金缴存的有关问题作出说明。</w:t>
      </w:r>
    </w:p>
    <w:p>
      <w:pPr>
        <w:pStyle w:val="Normal"/>
        <w:keepNext w:val="false"/>
        <w:keepLines w:val="false"/>
        <w:pageBreakBefore w:val="false"/>
        <w:widowControl w:val="false"/>
        <w:tabs>
          <w:tab w:val="clear" w:pos="420"/>
          <w:tab w:val="left" w:pos="603" w:leader="none"/>
        </w:tabs>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被检查单位不得拒绝市住房公积金管理中心的监督检查，不得谎报、瞒报相关信息。</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hint="eastAsia"/>
          <w:kern w:val="0"/>
          <w:szCs w:val="32"/>
        </w:rPr>
        <w:t>市住房公积金管理中心及其工作人员</w:t>
      </w:r>
      <w:r>
        <w:rPr>
          <w:rFonts w:hint="eastAsia"/>
          <w:color w:val="000000"/>
          <w:kern w:val="0"/>
          <w:szCs w:val="32"/>
        </w:rPr>
        <w:t>应当对</w:t>
      </w:r>
      <w:r>
        <w:rPr>
          <w:rFonts w:hint="eastAsia"/>
          <w:kern w:val="0"/>
          <w:szCs w:val="32"/>
        </w:rPr>
        <w:t>单位提供的资料和信息予以保密。</w:t>
      </w:r>
    </w:p>
    <w:p>
      <w:pPr>
        <w:pStyle w:val="Normal"/>
        <w:keepNext w:val="false"/>
        <w:keepLines w:val="false"/>
        <w:pageBreakBefore w:val="false"/>
        <w:widowControl w:val="false"/>
        <w:tabs>
          <w:tab w:val="clear" w:pos="420"/>
          <w:tab w:val="left" w:pos="603" w:leader="none"/>
        </w:tabs>
        <w:kinsoku w:val="true"/>
        <w:overflowPunct w:val="true"/>
        <w:autoSpaceDE w:val="true"/>
        <w:bidi w:val="0"/>
        <w:spacing w:lineRule="atLeast" w:line="300"/>
        <w:ind w:firstLineChars="200" w:startChars="0" w:start="0" w:endChars="0" w:end="0"/>
        <w:textAlignment w:val="auto"/>
        <w:rPr>
          <w:rFonts w:cs="黑体"/>
          <w:spacing w:val="-4"/>
          <w:kern w:val="0"/>
          <w:szCs w:val="32"/>
        </w:rPr>
      </w:pPr>
      <w:r>
        <w:rPr>
          <w:rFonts w:ascii="黑体" w:hAnsi="黑体" w:cs="黑体" w:hint="eastAsia" w:eastAsia="黑体"/>
          <w:kern w:val="0"/>
          <w:szCs w:val="32"/>
        </w:rPr>
        <w:t>第四十四条</w:t>
      </w:r>
      <w:r>
        <w:rPr>
          <w:rFonts w:ascii="黑体" w:hAnsi="黑体" w:hint="eastAsia" w:eastAsia="黑体"/>
          <w:b/>
          <w:kern w:val="0"/>
          <w:szCs w:val="32"/>
        </w:rPr>
        <w:t xml:space="preserve">  </w:t>
      </w:r>
      <w:r>
        <w:rPr>
          <w:rFonts w:cs="黑体" w:hint="eastAsia"/>
          <w:spacing w:val="-4"/>
          <w:kern w:val="0"/>
          <w:szCs w:val="32"/>
        </w:rPr>
        <w:t>市住房公积金管理中心计算单位</w:t>
      </w:r>
      <w:r>
        <w:rPr>
          <w:rFonts w:cs="黑体" w:hint="eastAsia"/>
          <w:color w:val="000000"/>
          <w:spacing w:val="-4"/>
          <w:kern w:val="0"/>
          <w:szCs w:val="32"/>
        </w:rPr>
        <w:t>应当补缴的住房公积金数额时</w:t>
      </w:r>
      <w:r>
        <w:rPr>
          <w:rFonts w:cs="黑体" w:hint="eastAsia"/>
          <w:spacing w:val="-4"/>
          <w:kern w:val="0"/>
          <w:szCs w:val="32"/>
        </w:rPr>
        <w:t>，应当按照单位或者职工提供的相关证明材料确定</w:t>
      </w:r>
      <w:r>
        <w:rPr>
          <w:rFonts w:cs="黑体" w:hint="eastAsia"/>
          <w:color w:val="000000"/>
          <w:spacing w:val="-4"/>
          <w:kern w:val="0"/>
          <w:szCs w:val="32"/>
        </w:rPr>
        <w:t>住房公积金</w:t>
      </w:r>
      <w:r>
        <w:rPr>
          <w:rFonts w:cs="黑体" w:hint="eastAsia"/>
          <w:spacing w:val="-4"/>
          <w:kern w:val="0"/>
          <w:szCs w:val="32"/>
        </w:rPr>
        <w:t>缴存基数；单位和职工不提供证明材料的，可</w:t>
      </w:r>
      <w:r>
        <w:rPr>
          <w:rFonts w:cs="黑体" w:hint="eastAsia"/>
          <w:color w:val="000000"/>
          <w:spacing w:val="-4"/>
          <w:kern w:val="0"/>
          <w:szCs w:val="32"/>
        </w:rPr>
        <w:t>以</w:t>
      </w:r>
      <w:r>
        <w:rPr>
          <w:rFonts w:cs="黑体" w:hint="eastAsia"/>
          <w:spacing w:val="-4"/>
          <w:kern w:val="0"/>
          <w:szCs w:val="32"/>
        </w:rPr>
        <w:t>按照本市统计部门公布的上年职工平均工资确定。</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color w:val="000000"/>
          <w:kern w:val="0"/>
          <w:szCs w:val="32"/>
        </w:rPr>
      </w:pPr>
      <w:r>
        <w:rPr>
          <w:rFonts w:ascii="黑体" w:hAnsi="黑体" w:hint="eastAsia" w:eastAsia="黑体"/>
          <w:color w:val="000000"/>
          <w:kern w:val="0"/>
          <w:szCs w:val="32"/>
        </w:rPr>
        <w:t>第四十五条</w:t>
      </w:r>
      <w:r>
        <w:rPr>
          <w:rFonts w:ascii="黑体" w:hAnsi="黑体" w:hint="eastAsia" w:eastAsia="黑体"/>
          <w:b/>
          <w:color w:val="000000"/>
          <w:kern w:val="0"/>
          <w:szCs w:val="32"/>
        </w:rPr>
        <w:t xml:space="preserve">  </w:t>
      </w:r>
      <w:r>
        <w:rPr>
          <w:rFonts w:hint="eastAsia"/>
          <w:color w:val="000000"/>
          <w:kern w:val="0"/>
          <w:szCs w:val="32"/>
        </w:rPr>
        <w:t>市住房公积金管理中心应当根据单位缴存住房公积金以及职工缴存、提取、使用住房公积金等信息，建立住房公积金信用管理系统，并按照规定与相关信用信息系统相衔接。</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color w:val="000000"/>
          <w:kern w:val="0"/>
          <w:szCs w:val="32"/>
        </w:rPr>
      </w:pPr>
      <w:r>
        <w:rPr>
          <w:rFonts w:ascii="黑体" w:hAnsi="黑体" w:cs="黑体" w:hint="eastAsia" w:eastAsia="黑体"/>
          <w:kern w:val="0"/>
          <w:szCs w:val="32"/>
        </w:rPr>
        <w:t>第四十六条</w:t>
      </w:r>
      <w:r>
        <w:rPr>
          <w:rFonts w:ascii="黑体" w:hAnsi="黑体" w:cs="黑体" w:eastAsia="黑体"/>
          <w:kern w:val="0"/>
          <w:szCs w:val="32"/>
        </w:rPr>
        <w:t xml:space="preserve">  </w:t>
      </w:r>
      <w:r>
        <w:rPr>
          <w:rFonts w:hint="eastAsia"/>
          <w:color w:val="000000"/>
          <w:kern w:val="0"/>
          <w:szCs w:val="32"/>
        </w:rPr>
        <w:t>任何单位和个人有权揭发、检举、控告挪用住房公积金的行为。</w:t>
      </w:r>
    </w:p>
    <w:p>
      <w:pPr>
        <w:pStyle w:val="Normal"/>
        <w:keepNext w:val="false"/>
        <w:keepLines w:val="false"/>
        <w:pageBreakBefore w:val="false"/>
        <w:widowControl w:val="false"/>
        <w:kinsoku w:val="true"/>
        <w:overflowPunct w:val="true"/>
        <w:autoSpaceDE w:val="true"/>
        <w:bidi w:val="0"/>
        <w:spacing w:lineRule="atLeast" w:line="300"/>
        <w:ind w:firstLineChars="150" w:startChars="0" w:start="0" w:endChars="0" w:end="0"/>
        <w:textAlignment w:val="auto"/>
        <w:rPr>
          <w:rFonts w:cs="黑体" w:hint="eastAsia"/>
          <w:color w:val="000000"/>
          <w:kern w:val="0"/>
          <w:szCs w:val="32"/>
        </w:rPr>
      </w:pPr>
      <w:r>
        <w:rPr>
          <w:rFonts w:cs="黑体" w:hint="eastAsia"/>
          <w:color w:val="000000"/>
          <w:kern w:val="0"/>
          <w:szCs w:val="32"/>
        </w:rPr>
      </w:r>
    </w:p>
    <w:p>
      <w:pPr>
        <w:pStyle w:val="Normal"/>
        <w:keepNext w:val="false"/>
        <w:keepLines w:val="false"/>
        <w:pageBreakBefore w:val="false"/>
        <w:widowControl w:val="false"/>
        <w:numPr>
          <w:ilvl w:val="0"/>
          <w:numId w:val="2"/>
        </w:numPr>
        <w:kinsoku w:val="true"/>
        <w:overflowPunct w:val="true"/>
        <w:autoSpaceDE w:val="true"/>
        <w:bidi w:val="0"/>
        <w:spacing w:lineRule="atLeast" w:line="300"/>
        <w:ind w:firstLineChars="0" w:firstLine="0" w:startChars="0" w:start="0" w:endChars="0" w:end="0"/>
        <w:jc w:val="center"/>
        <w:textAlignment w:val="auto"/>
        <w:rPr>
          <w:rFonts w:ascii="黑体" w:hAnsi="黑体" w:eastAsia="黑体" w:cs="黑体"/>
          <w:kern w:val="0"/>
          <w:szCs w:val="32"/>
        </w:rPr>
      </w:pPr>
      <w:r>
        <w:rPr>
          <w:rFonts w:eastAsia="黑体" w:cs="黑体" w:ascii="黑体" w:hAnsi="黑体"/>
          <w:kern w:val="0"/>
          <w:szCs w:val="32"/>
        </w:rPr>
        <w:t xml:space="preserve"> </w:t>
      </w:r>
      <w:r>
        <w:rPr>
          <w:rFonts w:ascii="黑体" w:hAnsi="黑体" w:cs="黑体" w:eastAsia="黑体"/>
          <w:kern w:val="0"/>
          <w:szCs w:val="32"/>
        </w:rPr>
        <w:t>法律责任</w:t>
      </w:r>
    </w:p>
    <w:p>
      <w:pPr>
        <w:pStyle w:val="Normal"/>
        <w:keepNext w:val="false"/>
        <w:keepLines w:val="false"/>
        <w:pageBreakBefore w:val="false"/>
        <w:widowControl w:val="false"/>
        <w:numPr>
          <w:ilvl w:val="0"/>
          <w:numId w:val="0"/>
        </w:numPr>
        <w:kinsoku w:val="true"/>
        <w:overflowPunct w:val="true"/>
        <w:autoSpaceDE w:val="true"/>
        <w:bidi w:val="0"/>
        <w:spacing w:lineRule="atLeast" w:line="300"/>
        <w:ind w:firstLineChars="0" w:firstLine="0" w:startChars="0" w:start="0" w:endChars="0" w:end="0"/>
        <w:jc w:val="both"/>
        <w:textAlignment w:val="auto"/>
        <w:rPr>
          <w:rFonts w:ascii="黑体" w:hAnsi="黑体" w:eastAsia="黑体" w:cs="黑体"/>
          <w:kern w:val="0"/>
          <w:szCs w:val="32"/>
        </w:rPr>
      </w:pPr>
      <w:r>
        <w:rPr>
          <w:rFonts w:eastAsia="黑体" w:cs="黑体" w:ascii="黑体" w:hAnsi="黑体"/>
          <w:kern w:val="0"/>
          <w:szCs w:val="32"/>
        </w:rPr>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Times New Roman" w:hAnsi="Times New Roman" w:eastAsia="仿宋"/>
          <w:kern w:val="0"/>
          <w:szCs w:val="32"/>
        </w:rPr>
      </w:pPr>
      <w:r>
        <w:rPr>
          <w:rFonts w:ascii="黑体" w:hAnsi="黑体" w:cs="宋体" w:hint="eastAsia" w:eastAsia="黑体"/>
          <w:kern w:val="0"/>
          <w:szCs w:val="32"/>
        </w:rPr>
        <w:t>第四十七条</w:t>
      </w:r>
      <w:r>
        <w:rPr>
          <w:rFonts w:ascii="黑体" w:hAnsi="黑体" w:cs="宋体" w:hint="eastAsia" w:eastAsia="黑体"/>
          <w:b/>
          <w:kern w:val="0"/>
          <w:szCs w:val="32"/>
        </w:rPr>
        <w:t xml:space="preserve">  </w:t>
      </w:r>
      <w:r>
        <w:rPr>
          <w:rFonts w:hint="eastAsia"/>
          <w:kern w:val="0"/>
          <w:szCs w:val="32"/>
        </w:rPr>
        <w:t>违反本条例规定，单位不办理住房公积金缴存登记或者不为本单位职工办理住房公积金账户设立手续的，由市住房公积金管理中心责令限期办理；逾期不办理的，处以一万元以上五万元以下罚款；对单位负责人处以三千元以上一万元以下罚款。</w:t>
      </w:r>
      <w:r>
        <w:rPr>
          <w:rFonts w:eastAsia="仿宋"/>
          <w:kern w:val="0"/>
          <w:szCs w:val="32"/>
        </w:rPr>
        <w:tab/>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黑体" w:hAnsi="黑体" w:hint="eastAsia" w:eastAsia="黑体"/>
          <w:kern w:val="0"/>
          <w:szCs w:val="32"/>
        </w:rPr>
        <w:t xml:space="preserve">第四十八条  </w:t>
      </w:r>
      <w:r>
        <w:rPr>
          <w:rFonts w:hint="eastAsia"/>
          <w:kern w:val="0"/>
          <w:szCs w:val="32"/>
        </w:rPr>
        <w:t>违反本条例规定，单位逾期不缴或者少缴住房公积金的，由市住房公积金管理中心责令限期缴存，逾期不缴存的，市住房公积金管理中心可以申请人民法院强制执行；职工也可以向人民法院提起诉讼。</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Times New Roman" w:hAnsi="Times New Roman" w:eastAsia="黑体"/>
          <w:kern w:val="0"/>
          <w:szCs w:val="32"/>
        </w:rPr>
      </w:pPr>
      <w:r>
        <w:rPr>
          <w:rFonts w:ascii="Times New Roman" w:hAnsi="Times New Roman" w:eastAsia="黑体"/>
          <w:kern w:val="0"/>
          <w:szCs w:val="32"/>
        </w:rPr>
        <w:t>第</w:t>
      </w:r>
      <w:r>
        <w:rPr>
          <w:rFonts w:ascii="Times New Roman" w:hAnsi="Times New Roman" w:hint="eastAsia" w:eastAsia="黑体"/>
          <w:kern w:val="0"/>
          <w:szCs w:val="32"/>
        </w:rPr>
        <w:t>四十九</w:t>
      </w:r>
      <w:r>
        <w:rPr>
          <w:rFonts w:ascii="Times New Roman" w:hAnsi="Times New Roman" w:eastAsia="黑体"/>
          <w:kern w:val="0"/>
          <w:szCs w:val="32"/>
        </w:rPr>
        <w:t>条</w:t>
      </w:r>
      <w:r>
        <w:rPr>
          <w:rFonts w:ascii="黑体" w:hAnsi="黑体" w:hint="eastAsia" w:eastAsia="黑体"/>
          <w:b/>
          <w:kern w:val="0"/>
          <w:szCs w:val="32"/>
        </w:rPr>
        <w:t xml:space="preserve">  </w:t>
      </w:r>
      <w:r>
        <w:rPr>
          <w:rFonts w:hint="eastAsia"/>
          <w:kern w:val="0"/>
          <w:szCs w:val="32"/>
        </w:rPr>
        <w:t>违反本条例规定，单位拒绝接受监督检查或者谎报、瞒报相关信息的，由市住房公积金管理中心责令限期改正</w:t>
      </w:r>
      <w:r>
        <w:rPr>
          <w:rFonts w:hint="eastAsia"/>
          <w:color w:val="000000"/>
          <w:kern w:val="0"/>
          <w:szCs w:val="32"/>
        </w:rPr>
        <w:t>；逾期</w:t>
      </w:r>
      <w:r>
        <w:rPr>
          <w:rFonts w:hint="eastAsia"/>
          <w:kern w:val="0"/>
          <w:szCs w:val="32"/>
        </w:rPr>
        <w:t>不改正的，可处</w:t>
      </w:r>
      <w:r>
        <w:rPr>
          <w:rFonts w:cs="仿宋" w:hint="eastAsia"/>
          <w:kern w:val="0"/>
          <w:szCs w:val="32"/>
        </w:rPr>
        <w:t>以三千元以上三</w:t>
      </w:r>
      <w:r>
        <w:rPr>
          <w:rFonts w:hint="eastAsia"/>
          <w:kern w:val="0"/>
          <w:szCs w:val="32"/>
        </w:rPr>
        <w:t>万元以下罚款。</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hint="eastAsia"/>
          <w:kern w:val="0"/>
          <w:szCs w:val="32"/>
        </w:rPr>
      </w:pPr>
      <w:r>
        <w:rPr>
          <w:rFonts w:ascii="Times New Roman" w:hAnsi="Times New Roman" w:eastAsia="黑体"/>
          <w:kern w:val="0"/>
          <w:szCs w:val="32"/>
        </w:rPr>
        <w:t>第</w:t>
      </w:r>
      <w:r>
        <w:rPr>
          <w:rFonts w:ascii="Times New Roman" w:hAnsi="Times New Roman" w:hint="eastAsia" w:eastAsia="黑体"/>
          <w:kern w:val="0"/>
          <w:szCs w:val="32"/>
        </w:rPr>
        <w:t>五十</w:t>
      </w:r>
      <w:r>
        <w:rPr>
          <w:rFonts w:ascii="Times New Roman" w:hAnsi="Times New Roman" w:eastAsia="黑体"/>
          <w:kern w:val="0"/>
          <w:szCs w:val="32"/>
        </w:rPr>
        <w:t>条</w:t>
      </w:r>
      <w:r>
        <w:rPr>
          <w:rFonts w:ascii="黑体" w:hAnsi="黑体" w:hint="eastAsia" w:eastAsia="黑体"/>
          <w:b/>
          <w:kern w:val="0"/>
          <w:szCs w:val="32"/>
        </w:rPr>
        <w:t xml:space="preserve">  </w:t>
      </w:r>
      <w:r>
        <w:rPr>
          <w:rFonts w:hint="eastAsia"/>
          <w:kern w:val="0"/>
          <w:szCs w:val="32"/>
        </w:rPr>
        <w:t>违反本条例规定，</w:t>
      </w:r>
      <w:r>
        <w:rPr>
          <w:rFonts w:cs="仿宋" w:hint="eastAsia"/>
          <w:kern w:val="0"/>
          <w:szCs w:val="32"/>
        </w:rPr>
        <w:t>以欺骗手段提取本人住房公积金账户内的存储余额的，由市住房公积金管理中心责令限期退回违法所提款额。</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cs="仿宋"/>
          <w:kern w:val="0"/>
          <w:szCs w:val="32"/>
          <w:bdr w:val="single" w:sz="4" w:space="0" w:color="000000"/>
        </w:rPr>
      </w:pPr>
      <w:r>
        <w:rPr>
          <w:rFonts w:ascii="Times New Roman" w:hAnsi="Times New Roman" w:eastAsia="黑体"/>
          <w:kern w:val="0"/>
          <w:szCs w:val="32"/>
        </w:rPr>
        <w:t>第</w:t>
      </w:r>
      <w:r>
        <w:rPr>
          <w:rFonts w:ascii="Times New Roman" w:hAnsi="Times New Roman" w:hint="eastAsia" w:eastAsia="黑体"/>
          <w:kern w:val="0"/>
          <w:szCs w:val="32"/>
        </w:rPr>
        <w:t>五十一</w:t>
      </w:r>
      <w:r>
        <w:rPr>
          <w:rFonts w:ascii="Times New Roman" w:hAnsi="Times New Roman" w:eastAsia="黑体"/>
          <w:kern w:val="0"/>
          <w:szCs w:val="32"/>
        </w:rPr>
        <w:t>条</w:t>
      </w:r>
      <w:r>
        <w:rPr>
          <w:rFonts w:ascii="黑体" w:hAnsi="黑体" w:hint="eastAsia" w:eastAsia="黑体"/>
          <w:b/>
          <w:kern w:val="0"/>
          <w:szCs w:val="32"/>
        </w:rPr>
        <w:t xml:space="preserve">  </w:t>
      </w:r>
      <w:r>
        <w:rPr>
          <w:rFonts w:hint="eastAsia"/>
          <w:kern w:val="0"/>
          <w:szCs w:val="32"/>
        </w:rPr>
        <w:t>违反本条例规定，</w:t>
      </w:r>
      <w:r>
        <w:rPr>
          <w:rFonts w:cs="仿宋" w:hint="eastAsia"/>
          <w:kern w:val="0"/>
          <w:szCs w:val="32"/>
        </w:rPr>
        <w:t>以欺骗手段获得住房公积金贷款的，由市住房公积金管理中心责令借款人限期退回违法所贷款额，并处以违法所贷款额百分之十以上百分之三十以下的罚款；构成犯罪的，依法追究刑事责任。</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Times New Roman" w:hAnsi="Times New Roman" w:eastAsia="仿宋" w:hint="eastAsia"/>
          <w:kern w:val="0"/>
          <w:szCs w:val="32"/>
        </w:rPr>
      </w:pPr>
      <w:r>
        <w:rPr>
          <w:rFonts w:ascii="黑体" w:hAnsi="黑体" w:hint="eastAsia" w:eastAsia="黑体"/>
          <w:kern w:val="0"/>
          <w:szCs w:val="32"/>
        </w:rPr>
        <w:t>第五十二条</w:t>
      </w:r>
      <w:r>
        <w:rPr>
          <w:rFonts w:ascii="黑体" w:hAnsi="黑体" w:hint="eastAsia" w:eastAsia="黑体"/>
          <w:b/>
          <w:kern w:val="0"/>
          <w:szCs w:val="32"/>
        </w:rPr>
        <w:t xml:space="preserve">  </w:t>
      </w:r>
      <w:r>
        <w:rPr>
          <w:rFonts w:hint="eastAsia"/>
          <w:kern w:val="0"/>
          <w:szCs w:val="32"/>
        </w:rPr>
        <w:t>当事人对行政处罚决定不服的，可以依法申请行政复议或者向人民法院提起行政诉讼。当事人逾期不申请行政复议、不提起行政诉讼又不履行行政处罚决定的，由市住房公积金管理中心申请人民法院强制执行。</w:t>
      </w:r>
      <w:r>
        <w:rPr>
          <w:rFonts w:eastAsia="仿宋"/>
          <w:kern w:val="0"/>
          <w:szCs w:val="32"/>
        </w:rPr>
        <w:tab/>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Times New Roman" w:hAnsi="Times New Roman" w:eastAsia="仿宋" w:hint="eastAsia"/>
          <w:kern w:val="0"/>
          <w:szCs w:val="32"/>
        </w:rPr>
      </w:pPr>
      <w:r>
        <w:rPr>
          <w:rFonts w:ascii="Times New Roman" w:hAnsi="Times New Roman" w:eastAsia="黑体"/>
          <w:kern w:val="0"/>
          <w:szCs w:val="32"/>
        </w:rPr>
        <w:t>第五十</w:t>
      </w:r>
      <w:r>
        <w:rPr>
          <w:rFonts w:ascii="Times New Roman" w:hAnsi="Times New Roman" w:hint="eastAsia" w:eastAsia="黑体"/>
          <w:kern w:val="0"/>
          <w:szCs w:val="32"/>
        </w:rPr>
        <w:t>三</w:t>
      </w:r>
      <w:r>
        <w:rPr>
          <w:rFonts w:ascii="Times New Roman" w:hAnsi="Times New Roman" w:eastAsia="黑体"/>
          <w:kern w:val="0"/>
          <w:szCs w:val="32"/>
        </w:rPr>
        <w:t>条</w:t>
      </w:r>
      <w:r>
        <w:rPr>
          <w:rFonts w:ascii="黑体" w:hAnsi="黑体" w:hint="eastAsia" w:eastAsia="黑体"/>
          <w:kern w:val="0"/>
          <w:szCs w:val="32"/>
        </w:rPr>
        <w:t xml:space="preserve">  </w:t>
      </w:r>
      <w:r>
        <w:rPr>
          <w:rFonts w:hint="eastAsia"/>
          <w:kern w:val="0"/>
          <w:szCs w:val="32"/>
        </w:rPr>
        <w:t>拒绝、阻碍市住房公积金管理中心工作人员依法执行职务的，由公安机关依照</w:t>
      </w:r>
      <w:r>
        <w:rPr>
          <w:rFonts w:cs="黑体" w:hint="eastAsia"/>
          <w:kern w:val="0"/>
          <w:szCs w:val="32"/>
        </w:rPr>
        <w:t>《中华人民共和国治安管理处罚法》</w:t>
      </w:r>
      <w:r>
        <w:rPr>
          <w:rFonts w:hint="eastAsia"/>
          <w:kern w:val="0"/>
          <w:szCs w:val="32"/>
        </w:rPr>
        <w:t>的规定处罚；构成犯罪的，依法追究刑事责任。</w:t>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0" w:end="0"/>
        <w:textAlignment w:val="auto"/>
        <w:rPr>
          <w:rFonts w:hint="eastAsia"/>
        </w:rPr>
      </w:pPr>
      <w:r>
        <w:rPr>
          <w:rFonts w:hint="eastAsia"/>
        </w:rPr>
        <w:t xml:space="preserve">    </w:t>
      </w:r>
      <w:r>
        <w:rPr>
          <w:rFonts w:ascii="黑体" w:hAnsi="黑体" w:cs="黑体" w:hint="eastAsia" w:eastAsia="黑体"/>
        </w:rPr>
        <w:t>第五十四条</w:t>
      </w:r>
      <w:r>
        <w:rPr>
          <w:rFonts w:hint="eastAsia"/>
        </w:rPr>
        <w:t xml:space="preserve">  市住房公积金管理中心违反财政法规的，由市财政部门依法给予行政处罚。</w:t>
      </w:r>
      <w:r>
        <w:rPr>
          <w:rFonts w:hint="eastAsia"/>
        </w:rPr>
        <w:tab/>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hint="eastAsia"/>
          <w:kern w:val="0"/>
          <w:szCs w:val="32"/>
        </w:rPr>
      </w:pPr>
      <w:r>
        <w:rPr>
          <w:rFonts w:ascii="Times New Roman" w:hAnsi="Times New Roman" w:eastAsia="黑体"/>
          <w:kern w:val="0"/>
          <w:szCs w:val="32"/>
        </w:rPr>
        <w:t>第五十</w:t>
      </w:r>
      <w:r>
        <w:rPr>
          <w:rFonts w:ascii="Times New Roman" w:hAnsi="Times New Roman" w:hint="eastAsia" w:eastAsia="黑体"/>
          <w:kern w:val="0"/>
          <w:szCs w:val="32"/>
        </w:rPr>
        <w:t>五</w:t>
      </w:r>
      <w:r>
        <w:rPr>
          <w:rFonts w:ascii="Times New Roman" w:hAnsi="Times New Roman" w:eastAsia="黑体"/>
          <w:kern w:val="0"/>
          <w:szCs w:val="32"/>
        </w:rPr>
        <w:t>条</w:t>
      </w:r>
      <w:r>
        <w:rPr>
          <w:rFonts w:ascii="黑体" w:hAnsi="黑体" w:hint="eastAsia" w:eastAsia="黑体"/>
          <w:b/>
          <w:kern w:val="0"/>
          <w:szCs w:val="32"/>
        </w:rPr>
        <w:t xml:space="preserve">  </w:t>
      </w:r>
      <w:r>
        <w:rPr>
          <w:rFonts w:hint="eastAsia"/>
          <w:kern w:val="0"/>
          <w:szCs w:val="32"/>
        </w:rPr>
        <w:t>国家机关工作人员和市住房公积金管理中心的工作人员在住房公积金监督管理工作中滥用职权、玩忽职守、徇私舞弊，构成犯罪的，依法追究刑事责任；尚不构成犯罪的，依法给予处分。</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Times New Roman" w:hAnsi="Times New Roman"/>
          <w:kern w:val="0"/>
          <w:szCs w:val="32"/>
          <w:bdr w:val="single" w:sz="4" w:space="0" w:color="000000"/>
        </w:rPr>
      </w:pPr>
      <w:r>
        <w:rPr>
          <w:rFonts w:ascii="黑体" w:hAnsi="黑体" w:cs="黑体" w:hint="eastAsia" w:eastAsia="黑体"/>
          <w:kern w:val="0"/>
          <w:szCs w:val="32"/>
        </w:rPr>
        <w:t xml:space="preserve">第五十六条  </w:t>
      </w:r>
      <w:r>
        <w:rPr>
          <w:rFonts w:hint="eastAsia"/>
          <w:kern w:val="0"/>
          <w:szCs w:val="32"/>
        </w:rPr>
        <w:t>市</w:t>
      </w:r>
      <w:r>
        <w:rPr>
          <w:kern w:val="0"/>
          <w:szCs w:val="32"/>
        </w:rPr>
        <w:t>住房</w:t>
      </w:r>
      <w:r>
        <w:rPr>
          <w:rFonts w:hint="eastAsia"/>
          <w:kern w:val="0"/>
          <w:szCs w:val="32"/>
        </w:rPr>
        <w:t>公积金管理</w:t>
      </w:r>
      <w:r>
        <w:rPr>
          <w:kern w:val="0"/>
          <w:szCs w:val="32"/>
        </w:rPr>
        <w:t>中心</w:t>
      </w:r>
      <w:r>
        <w:rPr>
          <w:rFonts w:hint="eastAsia"/>
          <w:kern w:val="0"/>
          <w:szCs w:val="32"/>
        </w:rPr>
        <w:t>违反本条例行为，法律、行政法规有处罚规定的，依照其规定予以处罚。</w:t>
      </w:r>
      <w:r>
        <w:rPr>
          <w:rFonts w:ascii="Times New Roman" w:hAnsi="Times New Roman" w:hint="eastAsia"/>
          <w:kern w:val="0"/>
          <w:szCs w:val="32"/>
          <w:bdr w:val="single" w:sz="4" w:space="0" w:color="000000"/>
        </w:rPr>
        <w:t xml:space="preserve"> </w:t>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0" w:end="0"/>
        <w:jc w:val="center"/>
        <w:textAlignment w:val="auto"/>
        <w:rPr>
          <w:rFonts w:ascii="黑体" w:hAnsi="黑体" w:eastAsia="黑体" w:cs="黑体"/>
          <w:kern w:val="0"/>
          <w:szCs w:val="32"/>
          <w:bdr w:val="single" w:sz="4" w:space="0" w:color="000000"/>
        </w:rPr>
      </w:pPr>
      <w:r>
        <w:rPr>
          <w:rFonts w:eastAsia="黑体" w:cs="黑体" w:ascii="黑体" w:hAnsi="黑体"/>
          <w:kern w:val="0"/>
          <w:szCs w:val="32"/>
          <w:bdr w:val="single" w:sz="4" w:space="0" w:color="000000"/>
        </w:rPr>
      </w:r>
    </w:p>
    <w:p>
      <w:pPr>
        <w:pStyle w:val="Normal"/>
        <w:keepNext w:val="false"/>
        <w:keepLines w:val="false"/>
        <w:pageBreakBefore w:val="false"/>
        <w:widowControl w:val="false"/>
        <w:numPr>
          <w:ilvl w:val="0"/>
          <w:numId w:val="1"/>
        </w:numPr>
        <w:kinsoku w:val="true"/>
        <w:overflowPunct w:val="true"/>
        <w:autoSpaceDE w:val="true"/>
        <w:bidi w:val="0"/>
        <w:spacing w:lineRule="atLeast" w:line="300"/>
        <w:ind w:firstLineChars="0" w:firstLine="0" w:startChars="0" w:start="0" w:endChars="0" w:end="0"/>
        <w:jc w:val="center"/>
        <w:textAlignment w:val="auto"/>
        <w:rPr>
          <w:rFonts w:ascii="黑体" w:hAnsi="黑体" w:eastAsia="黑体" w:cs="黑体"/>
          <w:kern w:val="0"/>
          <w:szCs w:val="32"/>
        </w:rPr>
      </w:pPr>
      <w:r>
        <w:rPr>
          <w:rFonts w:eastAsia="黑体" w:cs="黑体" w:ascii="黑体" w:hAnsi="黑体"/>
          <w:kern w:val="0"/>
          <w:szCs w:val="32"/>
        </w:rPr>
        <w:t xml:space="preserve"> </w:t>
      </w:r>
      <w:r>
        <w:rPr>
          <w:rFonts w:ascii="黑体" w:hAnsi="黑体" w:cs="黑体" w:eastAsia="黑体"/>
          <w:kern w:val="0"/>
          <w:szCs w:val="32"/>
        </w:rPr>
        <w:t>附</w:t>
      </w:r>
      <w:r>
        <w:rPr>
          <w:rFonts w:ascii="黑体" w:hAnsi="黑体" w:cs="黑体" w:hint="eastAsia" w:eastAsia="黑体"/>
          <w:kern w:val="0"/>
          <w:szCs w:val="32"/>
        </w:rPr>
        <w:t xml:space="preserve">  </w:t>
      </w:r>
      <w:r>
        <w:rPr>
          <w:rFonts w:ascii="黑体" w:hAnsi="黑体" w:cs="黑体" w:eastAsia="黑体"/>
          <w:kern w:val="0"/>
          <w:szCs w:val="32"/>
        </w:rPr>
        <w:t>则</w:t>
      </w:r>
    </w:p>
    <w:p>
      <w:pPr>
        <w:pStyle w:val="Normal"/>
        <w:keepNext w:val="false"/>
        <w:keepLines w:val="false"/>
        <w:pageBreakBefore w:val="false"/>
        <w:widowControl w:val="false"/>
        <w:numPr>
          <w:ilvl w:val="0"/>
          <w:numId w:val="0"/>
        </w:numPr>
        <w:kinsoku w:val="true"/>
        <w:overflowPunct w:val="true"/>
        <w:autoSpaceDE w:val="true"/>
        <w:bidi w:val="0"/>
        <w:spacing w:lineRule="atLeast" w:line="300"/>
        <w:ind w:firstLineChars="0" w:firstLine="0" w:startChars="0" w:start="0" w:endChars="0" w:end="0"/>
        <w:jc w:val="both"/>
        <w:textAlignment w:val="auto"/>
        <w:rPr>
          <w:rFonts w:ascii="黑体" w:hAnsi="黑体" w:eastAsia="黑体" w:cs="黑体"/>
          <w:kern w:val="0"/>
          <w:szCs w:val="32"/>
        </w:rPr>
      </w:pPr>
      <w:r>
        <w:rPr>
          <w:rFonts w:eastAsia="黑体" w:cs="黑体" w:ascii="黑体" w:hAnsi="黑体"/>
          <w:kern w:val="0"/>
          <w:szCs w:val="32"/>
        </w:rPr>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Times New Roman" w:hAnsi="Times New Roman" w:eastAsia="仿宋" w:hint="eastAsia"/>
          <w:kern w:val="0"/>
          <w:szCs w:val="32"/>
        </w:rPr>
      </w:pPr>
      <w:r>
        <w:rPr>
          <w:rFonts w:ascii="黑体" w:hAnsi="黑体" w:hint="eastAsia" w:eastAsia="黑体"/>
          <w:kern w:val="0"/>
          <w:szCs w:val="32"/>
        </w:rPr>
        <w:t>第五十七条</w:t>
      </w:r>
      <w:r>
        <w:rPr>
          <w:rFonts w:ascii="黑体" w:hAnsi="黑体" w:hint="eastAsia" w:eastAsia="黑体"/>
          <w:b/>
          <w:kern w:val="0"/>
          <w:szCs w:val="32"/>
        </w:rPr>
        <w:t>　</w:t>
      </w:r>
      <w:r>
        <w:rPr>
          <w:rFonts w:ascii="仿宋_GB2312" w:hAnsi="仿宋_GB2312" w:cs="仿宋_GB2312" w:hint="eastAsia"/>
          <w:kern w:val="0"/>
          <w:szCs w:val="32"/>
        </w:rPr>
        <w:t>本条例自</w:t>
      </w:r>
      <w:r>
        <w:rPr>
          <w:rFonts w:eastAsia="仿宋_GB2312" w:cs="仿宋_GB2312" w:hint="eastAsia" w:ascii="仿宋_GB2312" w:hAnsi="仿宋_GB2312"/>
          <w:kern w:val="0"/>
          <w:szCs w:val="32"/>
        </w:rPr>
        <w:t>2017</w:t>
      </w:r>
      <w:r>
        <w:rPr>
          <w:rFonts w:ascii="仿宋_GB2312" w:hAnsi="仿宋_GB2312" w:cs="仿宋_GB2312" w:hint="eastAsia"/>
          <w:kern w:val="0"/>
          <w:szCs w:val="32"/>
        </w:rPr>
        <w:t>年</w:t>
      </w:r>
      <w:r>
        <w:rPr>
          <w:rFonts w:eastAsia="仿宋_GB2312" w:cs="仿宋_GB2312" w:hint="eastAsia" w:ascii="仿宋_GB2312" w:hAnsi="仿宋_GB2312"/>
          <w:kern w:val="0"/>
          <w:szCs w:val="32"/>
        </w:rPr>
        <w:t>10</w:t>
      </w:r>
      <w:r>
        <w:rPr>
          <w:rFonts w:ascii="仿宋_GB2312" w:hAnsi="仿宋_GB2312" w:cs="仿宋_GB2312" w:hint="eastAsia"/>
          <w:kern w:val="0"/>
          <w:szCs w:val="32"/>
        </w:rPr>
        <w:t>月</w:t>
      </w:r>
      <w:r>
        <w:rPr>
          <w:rFonts w:eastAsia="仿宋_GB2312" w:cs="仿宋_GB2312" w:hint="eastAsia" w:ascii="仿宋_GB2312" w:hAnsi="仿宋_GB2312"/>
          <w:kern w:val="0"/>
          <w:szCs w:val="32"/>
        </w:rPr>
        <w:t>1</w:t>
      </w:r>
      <w:r>
        <w:rPr>
          <w:rFonts w:ascii="仿宋_GB2312" w:hAnsi="仿宋_GB2312" w:cs="仿宋_GB2312" w:hint="eastAsia"/>
          <w:kern w:val="0"/>
          <w:szCs w:val="32"/>
        </w:rPr>
        <w:t>日起施行。</w:t>
      </w:r>
    </w:p>
    <w:p>
      <w:pPr>
        <w:pStyle w:val="Normal"/>
        <w:keepNext w:val="false"/>
        <w:keepLines w:val="false"/>
        <w:pageBreakBefore w:val="false"/>
        <w:widowControl w:val="false"/>
        <w:kinsoku w:val="true"/>
        <w:overflowPunct w:val="true"/>
        <w:autoSpaceDE w:val="true"/>
        <w:bidi w:val="0"/>
        <w:spacing w:lineRule="atLeast" w:line="300"/>
        <w:ind w:firstLineChars="150" w:startChars="0" w:start="0" w:endChars="0" w:end="0"/>
        <w:textAlignment w:val="auto"/>
        <w:rPr>
          <w:rFonts w:ascii="Times New Roman" w:hAnsi="Times New Roman" w:eastAsia="仿宋" w:hint="eastAsia"/>
          <w:kern w:val="0"/>
          <w:szCs w:val="32"/>
          <w:bdr w:val="single" w:sz="4" w:space="0" w:color="000000"/>
        </w:rPr>
      </w:pPr>
      <w:r>
        <w:rPr>
          <w:rFonts w:eastAsia="仿宋" w:hint="eastAsia"/>
          <w:kern w:val="0"/>
          <w:szCs w:val="32"/>
          <w:bdr w:val="single" w:sz="4" w:space="0" w:color="000000"/>
        </w:rPr>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0" w:end="0"/>
        <w:textAlignment w:val="auto"/>
        <w:rPr>
          <w:rFonts w:ascii="黑体" w:hAnsi="黑体" w:eastAsia="黑体" w:cs="宋体" w:hint="eastAsia"/>
          <w:kern w:val="0"/>
          <w:szCs w:val="32"/>
          <w:bdr w:val="single" w:sz="4" w:space="0" w:color="000000"/>
        </w:rPr>
      </w:pPr>
      <w:r>
        <w:rPr>
          <w:rFonts w:eastAsia="黑体" w:cs="宋体" w:hint="eastAsia" w:ascii="黑体" w:hAnsi="黑体"/>
          <w:kern w:val="0"/>
          <w:szCs w:val="32"/>
          <w:bdr w:val="single" w:sz="4" w:space="0" w:color="000000"/>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Arial Unicode M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15</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15</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8"/>
      <w:numFmt w:val="taiwaneseCountingThousand"/>
      <w:suff w:val="space"/>
      <w:lvlText w:val="第%1章"/>
      <w:lvlJc w:val="start"/>
      <w:pPr>
        <w:tabs>
          <w:tab w:val="num" w:pos="0"/>
        </w:tabs>
        <w:ind w:start="0" w:hanging="0"/>
      </w:pPr>
    </w:lvl>
  </w:abstractNum>
  <w:abstractNum w:abstractNumId="2">
    <w:lvl w:ilvl="0">
      <w:start w:val="7"/>
      <w:numFmt w:val="taiwaneseCountingThousand"/>
      <w:suff w:val="space"/>
      <w:lvlText w:val="第%1章"/>
      <w:lvlJc w:val="start"/>
      <w:pPr>
        <w:tabs>
          <w:tab w:val="num" w:pos="0"/>
        </w:tabs>
        <w:ind w:start="0" w:hanging="0"/>
      </w:pPr>
    </w:lvl>
  </w:abstractNum>
  <w:abstractNum w:abstractNumId="3">
    <w:lvl w:ilvl="0">
      <w:start w:val="6"/>
      <w:numFmt w:val="taiwaneseCountingThousand"/>
      <w:suff w:val="space"/>
      <w:lvlText w:val="第%1章"/>
      <w:lvlJc w:val="start"/>
      <w:pPr>
        <w:tabs>
          <w:tab w:val="num" w:pos="0"/>
        </w:tabs>
        <w:ind w:start="0" w:hanging="0"/>
      </w:pPr>
    </w:lvl>
  </w:abstractNum>
  <w:abstractNum w:abstractNumId="4">
    <w:lvl w:ilvl="0">
      <w:start w:val="5"/>
      <w:numFmt w:val="taiwaneseCountingThousand"/>
      <w:suff w:val="space"/>
      <w:lvlText w:val="第%1章"/>
      <w:lvlJc w:val="start"/>
      <w:pPr>
        <w:tabs>
          <w:tab w:val="num" w:pos="0"/>
        </w:tabs>
        <w:ind w:start="0" w:hanging="0"/>
      </w:pPr>
    </w:lvl>
  </w:abstractNum>
  <w:abstractNum w:abstractNumId="5">
    <w:lvl w:ilvl="0">
      <w:start w:val="4"/>
      <w:numFmt w:val="taiwaneseCountingThousand"/>
      <w:suff w:val="space"/>
      <w:lvlText w:val="第%1章"/>
      <w:lvlJc w:val="start"/>
      <w:pPr>
        <w:tabs>
          <w:tab w:val="num" w:pos="0"/>
        </w:tabs>
        <w:ind w:start="0" w:hanging="0"/>
      </w:pPr>
    </w:lvl>
  </w:abstractNum>
  <w:abstractNum w:abstractNumId="6">
    <w:lvl w:ilvl="0">
      <w:start w:val="3"/>
      <w:numFmt w:val="taiwaneseCountingThousand"/>
      <w:suff w:val="space"/>
      <w:lvlText w:val="第%1章"/>
      <w:lvlJc w:val="start"/>
      <w:pPr>
        <w:tabs>
          <w:tab w:val="num" w:pos="0"/>
        </w:tabs>
        <w:ind w:start="0" w:hanging="0"/>
      </w:pPr>
    </w:lvl>
  </w:abstractNum>
  <w:abstractNum w:abstractNumId="7">
    <w:lvl w:ilvl="0">
      <w:start w:val="2"/>
      <w:numFmt w:val="taiwaneseCountingThousand"/>
      <w:suff w:val="space"/>
      <w:lvlText w:val="第%1章"/>
      <w:lvlJc w:val="start"/>
      <w:pPr>
        <w:tabs>
          <w:tab w:val="num" w:pos="0"/>
        </w:tabs>
        <w:ind w:start="0" w:hanging="0"/>
      </w:pPr>
    </w:lvl>
  </w:abstractNum>
  <w:abstractNum w:abstractNumId="8">
    <w:lvl w:ilvl="0">
      <w:start w:val="1"/>
      <w:numFmt w:val="taiwaneseCountingThousand"/>
      <w:suff w:val="space"/>
      <w:lvlText w:val="第%1章"/>
      <w:lvlJc w:val="start"/>
      <w:pPr>
        <w:tabs>
          <w:tab w:val="num" w:pos="0"/>
        </w:tabs>
        <w:ind w:start="0" w:hanging="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PageNumber">
    <w:name w:val="page number"/>
    <w:basedOn w:val="Style14"/>
    <w:rPr/>
  </w:style>
  <w:style w:type="character" w:styleId="CharChar">
    <w:name w:val=" Char Char"/>
    <w:qFormat/>
    <w:rPr>
      <w:rFonts w:eastAsia="仿宋_GB2312"/>
      <w:kern w:val="2"/>
      <w:sz w:val="18"/>
      <w:szCs w:val="18"/>
    </w:rPr>
  </w:style>
  <w:style w:type="character" w:styleId="CharChar2">
    <w:name w:val=" Char Char2"/>
    <w:qFormat/>
    <w:rPr>
      <w:rFonts w:ascii="宋体" w:hAnsi="宋体" w:cs="Courier New"/>
      <w:kern w:val="2"/>
      <w:sz w:val="21"/>
      <w:szCs w:val="21"/>
    </w:rPr>
  </w:style>
  <w:style w:type="character" w:styleId="CharChar1">
    <w:name w:val=" Char Char1"/>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纯文本"/>
    <w:basedOn w:val="Normal"/>
    <w:qFormat/>
    <w:pPr/>
    <w:rPr>
      <w:rFonts w:ascii="宋体" w:hAnsi="宋体" w:eastAsia="宋体" w:cs="Courier New"/>
      <w:sz w:val="21"/>
      <w:szCs w:val="21"/>
    </w:rPr>
  </w:style>
  <w:style w:type="paragraph" w:styleId="Style18">
    <w:name w:val="列出段落"/>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2017-06-06T17:03:28Z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