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仿宋_GB2312" w:hAnsi="仿宋_GB2312"/>
          <w:szCs w:val="32"/>
        </w:rPr>
      </w:pPr>
      <w:r>
        <w:rPr>
          <w:rFonts w:ascii="仿宋_GB2312" w:hAnsi="仿宋_GB2312"/>
          <w:szCs w:val="32"/>
        </w:rPr>
      </w:r>
    </w:p>
    <w:p>
      <w:pPr>
        <w:pStyle w:val="Normal"/>
        <w:snapToGrid w:val="false"/>
        <w:spacing w:lineRule="exact" w:line="560" w:before="0" w:after="0"/>
        <w:ind w:firstLine="285" w:end="0"/>
        <w:contextualSpacing/>
        <w:rPr>
          <w:rFonts w:ascii="仿宋_GB2312" w:hAnsi="仿宋_GB2312"/>
          <w:szCs w:val="32"/>
        </w:rPr>
      </w:pPr>
      <w:r>
        <w:rPr>
          <w:rFonts w:ascii="仿宋_GB2312" w:hAnsi="仿宋_GB2312"/>
          <w:szCs w:val="32"/>
        </w:rPr>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天津市见义勇为人员奖励和保护条例</w:t>
      </w:r>
    </w:p>
    <w:p>
      <w:pPr>
        <w:pStyle w:val="Style18"/>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8"/>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2001</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28</w:t>
      </w:r>
      <w:r>
        <w:rPr>
          <w:rFonts w:ascii="楷体_GB2312" w:hAnsi="楷体_GB2312" w:cs="宋体" w:hint="eastAsia" w:eastAsia="楷体_GB2312"/>
          <w:szCs w:val="32"/>
        </w:rPr>
        <w:t>日天津市第十三届人民代表大会常务委员会第二十九次会议通过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 xml:space="preserve">日天津市第十五届人民代表大会常务委员会第十九次会议《关于修改部分地方性法规的决定》第一次修正  </w:t>
      </w:r>
      <w:r>
        <w:rPr>
          <w:rFonts w:ascii="楷体_GB2312" w:hAnsi="楷体_GB2312" w:cs="Adobe 仿宋 Std R;仿宋_GB2312" w:hint="eastAsia" w:eastAsia="楷体_GB2312"/>
          <w:bCs/>
          <w:smallCaps/>
          <w:szCs w:val="32"/>
        </w:rPr>
        <w:t>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3</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30</w:t>
      </w:r>
      <w:r>
        <w:rPr>
          <w:rFonts w:ascii="楷体_GB2312" w:hAnsi="楷体_GB2312" w:cs="Adobe 仿宋 Std R;仿宋_GB2312" w:hint="eastAsia" w:eastAsia="楷体_GB2312"/>
          <w:bCs/>
          <w:smallCaps/>
          <w:szCs w:val="32"/>
        </w:rPr>
        <w:t>日天津市第十六届人民代表大会常务委员会第二十五次会议《关于修改部分地方性法规的决定》第二次修正</w:t>
      </w:r>
      <w:r>
        <w:rPr>
          <w:rFonts w:ascii="楷体_GB2312" w:hAnsi="楷体_GB2312" w:cs="宋体" w:hint="eastAsia" w:eastAsia="楷体_GB2312"/>
          <w:szCs w:val="32"/>
        </w:rPr>
        <w:t>）</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见义勇为行为的确认</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见义勇为人员的奖励</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见义勇为人员的保护</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见义勇为奖励和保护基金的筹集、使用和管理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为推动依法治国、以德治国进程，促进社会主义精神文明建设，奖励和保护见义勇为人员，根据国家法律、法规，结合本市实际情况，制定本条例。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　</w:t>
      </w:r>
      <w:r>
        <w:rPr>
          <w:rFonts w:ascii="仿宋_GB2312" w:hAnsi="仿宋_GB2312" w:cs="宋体" w:hint="eastAsia"/>
          <w:szCs w:val="32"/>
        </w:rPr>
        <w:t>本条例所称见义勇为是指公民为保护国家、集体的利益和他人的人身、财产安全，不顾个人安危，同违法犯罪行为作斗争或者抢险、救灾、救人的行为。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公民在履行法定职责或者约定义务时的行为，不适用本条例。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在本市行政区域内见义勇为的本市公民的奖励和保护，适用本条例。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非本市公民和外国人在本市行政区域内见义勇为的，或者本市公民在本市行政区域外见义勇为的，参照本条例的规定予以奖励和保护。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本条例由市和区、县人民政府组织实施，具体日常工作由同级公安机关负责。</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劳动和社会保障、财政、人事、民政、卫生、司法行政、教育等部门，以及工会、共产主义青年团、妇女联合会、残疾人联合会按照各自的职责做好见义勇为人员奖励和保护工作。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国家机关、社会团体、企业事业单位应当对本单位的见义勇为人员予以奖励和保护。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广播、电视、报刊等新闻出版单位和文化部门应当积极宣传见义勇为人员的先进事迹。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对见义勇为人员实行精神奖励、物质奖励和法律保护相结合的原则。</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市和区、县设立见义勇为奖励和保护基金，并依法成立见义勇为基金管理机构。见义勇为奖励和保护基金应当依法筹集、使用和管理。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各级人民政府对境内外企业事业单位、社会团体和个人捐赠见义勇为奖励和保护基金的，应当给予鼓励。</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见义勇为行为的确认</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下列行为之一，应当确认为见义勇为行为：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（一）同正在危害国家安全、公共安全或者扰乱社会秩序的违法犯罪行为作斗争的；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（二）同正在侵害国家、集体的财产或者他人人身、财产安全的违法犯罪行为作斗争的；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（三）抢险、救灾、救人，保护国家、集体的财产或者他人人身、财产安全的。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见义勇为行为由行为实施地的区、县公安机关调查、取证，提出建议；由同级基金管理机构组织评定，予以确认。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国家机关、社会团体、企业事业单位、村（居）民委员会和公民应当在见义勇为行为实施后，及时向基金管理机构申请确认见义勇为行为。申请确认的有效期限为一年。</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基金管理机构在接到申请确认见义勇为行为的书面申请三日内，交由区、县公安机关调查、取证。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公安机关的调查、取证工作应当在三十日内完成，并将有关材料移送基金管理机构。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基金管理机构在收到公安机关移送的有关调查证明、材料后，应当在二十日内将确认结果通知申请人。申请人在接到书面确认结果通知的七日内，对确认结果有异议的，可以向市基金管理机构申请再次确认。市基金管理机构应当在收到再次确认申请书之日起六十日内将确认结果通知申请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任何单位和公民应当积极配合公安机关的调查、取证工作。</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见义勇为人员的奖励</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根据见义勇为人员的事迹和贡献给予下列奖励：</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（一）授予荣誉称号；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（二）颁发奖金；</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（三）其他奖励。</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以上奖励可以单独适用，也可以合并适用。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荣誉称号分为“见义勇为模范”和“见义勇为先进个人”。荣誉称号的授予条件和办法由市人民政府制定。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cs="宋体" w:hint="eastAsia" w:ascii="仿宋_GB2312" w:hAnsi="仿宋_GB2312"/>
          <w:szCs w:val="32"/>
        </w:rPr>
        <w:t>“</w:t>
      </w:r>
      <w:r>
        <w:rPr>
          <w:rFonts w:ascii="仿宋_GB2312" w:hAnsi="仿宋_GB2312" w:cs="宋体" w:hint="eastAsia"/>
          <w:szCs w:val="32"/>
        </w:rPr>
        <w:t>见义勇为模范”由市人民政府批准授予；“见义勇为先进个人”由市或区、县人民政府批准授予。</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属于见义勇为群体的，由市或区、县人民政府批准授予荣誉称号。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荣获“见义勇为模范”称号的人员享受市级劳动模范待遇。</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国家机关、社会团体、企业事业单位可以向见义勇为人员颁发奖金或者给予其他奖励。</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奖励见义勇为人员一般公开进行，受奖励的人员要求保密或者有关部门认为应当保密的，也可以不公开进行。</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见义勇为人员的保护</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任何单位和个人，对正在实施见义勇为行为的人员，要及时予以援助和保护；对因见义勇为负伤的人员，要及时护送到医疗机构。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医疗机构及其医务人员对因见义勇为负伤的人员，应当采取紧急措施进行救治，不得拒绝急救处置。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因见义勇为负伤的人员，临床需要用血的，免交用血互助金。</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急救处置的医疗费用，依照本条例第十九条、第二十条的规定偿付。</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因见义勇为负伤、致残、死亡的人员，符合工伤范围的，由劳动和社会保障部门认定为工伤。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见义勇为负伤人员的医疗费用分别不同情况采取下列办法先行解决：</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（一）见义勇为人员所在单位参加职工工伤保险，并经劳动和社会保障部门确认为工伤的，医疗费用由社会保险经办机构从工伤保险基金支付。</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（二）见义勇为人员所在单位未参加职工工伤保险的，其医疗费用由其所在单位按职工工伤医疗待遇解决。</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（三）无工作单位或者所在单位确无能力解决的，医疗费用由行为实施地的区、县人民政府按职工工伤医疗待遇解决。</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见义勇为人员因见义勇为行为使自己的人身、财产遭受损害的，由加害人依法承担赔偿责任。受益人对见义勇为人员的损失，可以给予适当补偿。</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先行支付医疗费的有关单位、机构，对加害人依法享有追偿权。</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公民因见义勇为受伤，在治疗期间，有工作单位的，享受职工工伤待遇；无工作单位或者无固定收入的，由基金管理机构按照职工工伤保险规定予以补助。</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公民因见义勇为致残，其伤残等级由劳动和社会保障部门的劳动能力鉴定机构依照国家有关职工工伤与职业病致残等级的标准评定。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有工作单位并且单位参加职工工伤保险的，伤残补助由工伤保险基金支付；单位未参加职工工伤保险的，伤残补助由工作单位支付。</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无工作单位的，其伤残补助由民政部门按照职工工伤保险规定予以补助。费用由财政部门核拨。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公民因见义勇为死亡，有工作单位的，单位按照因工死亡人员待遇对待；无工作单位的，由民政部门按照因工死亡人员待遇对待，费用由财政部门核拔。符合烈士条件的，依照国家烈士褒扬条例的规定，报请有关部门批准为烈士，其家属享受应有的抚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因见义勇为牺牲或者丧失全部或者部分劳动能力的人员，其配偶、子女在就业、入学方面，有关部门应当予以照顾。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因见义勇为行为引起纠纷需要法律援助的，可持有关证明向本人户籍所在地或诉讼管辖地的法律援助机构申请援助。法律援助机构应当安排律师承担法律援助义务。</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见义勇为人员及其家属，因见义勇为受到诬陷、报复，人身、财产安全受到威胁的，公安机关及有关部门应当采取措施予以保护。</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第五章　见义勇为奖励和保护基金的筹集、使用和管理</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见义勇为奖励和保护基金通过下列渠道筹集：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（一）市和区、县人民政府财政拨款；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（二）社会团体、企业事业组织和个人的捐赠；</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（三）社会福利机构和商业保险机构的资助；</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（四）其他合法方式筹集的资金。</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基金管理机构应当严格遵守国家的有关规定，按照合法、安全、有效的原则，实现见义勇为奖励和保护基金的保值、增值。增值所得纳入见义勇为奖励和保护基金。</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见义勇为奖励和保护基金主要用于：</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（一）见义勇为人员的表彰奖励；</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（二）见义勇为人员或者见义勇为人员亲属的慰问、补助；</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（三）法律、法规规定的其他费用。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见义勇为奖励和保护基金应当专款专用，任何组织和个人不得挪作他用。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见义勇为奖励和保护基金的筹集和使用应当依法向社会公布，接受财政、审计、社会团体管理部门及捐赠人的监督。</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法律责任</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有关部门及其工作人员拖延、拒绝执行本条例的有关规定，造成严重后果的，由其上级主管部门或者其所在单位给予行政处分；构成犯罪的，依法追究刑事责任。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从事见义勇为人员奖励和保护工作的人员，玩忽职守、徇私舞弊、贪污、侵占、挪用见义勇为奖励和保护基金的，由其主管部门给予行政处分；构成犯罪的，依法追究刑事责任。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弄虚作假骗取见义勇为奖励和保护的，由原批准机关撤销其荣誉称号，追回所获奖励及其他相关的经济利益；情节严重的，依法追究法律责任。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对见义勇为人员及其家属诬陷、报复，危害其人身、财产安全，违反《中华人民共和国治安管理处罚法》的，由公安机关依法予以处罚；构成犯罪的，依法追究刑事责任。</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附则</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本条例自</w:t>
      </w:r>
      <w:r>
        <w:rPr>
          <w:rFonts w:cs="宋体" w:hint="eastAsia" w:ascii="仿宋_GB2312" w:hAnsi="仿宋_GB2312"/>
          <w:szCs w:val="32"/>
        </w:rPr>
        <w:t>2002</w:t>
      </w:r>
      <w:r>
        <w:rPr>
          <w:rFonts w:ascii="仿宋_GB2312" w:hAnsi="仿宋_GB2312" w:cs="宋体" w:hint="eastAsia"/>
          <w:szCs w:val="32"/>
        </w:rPr>
        <w:t>年</w:t>
      </w:r>
      <w:r>
        <w:rPr>
          <w:rFonts w:cs="宋体" w:hint="eastAsia" w:ascii="仿宋_GB2312" w:hAnsi="仿宋_GB2312"/>
          <w:szCs w:val="32"/>
        </w:rPr>
        <w:t>2</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p>
    <w:p>
      <w:pPr>
        <w:pStyle w:val="Normal"/>
        <w:spacing w:lineRule="exact" w:line="560" w:before="0" w:after="0"/>
        <w:contextualSpacing/>
        <w:rPr>
          <w:rFonts w:ascii="仿宋_GB2312" w:hAnsi="仿宋_GB2312" w:cs="宋体"/>
          <w:szCs w:val="32"/>
        </w:rPr>
      </w:pPr>
      <w:r>
        <w:rPr>
          <w:rFonts w:cs="宋体"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Strong">
    <w:name w:val="Strong"/>
    <w:basedOn w:val="Style14"/>
    <w:qFormat/>
    <w:rPr>
      <w:b/>
      <w:bCs/>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4">
    <w:name w:val="标题2 Char"/>
    <w:basedOn w:val="Char"/>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9">
    <w:name w:val="文档结构图"/>
    <w:basedOn w:val="Normal"/>
    <w:qFormat/>
    <w:pPr>
      <w:shd w:fill="000080" w:val="clear"/>
    </w:pPr>
    <w:rPr>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2016-12-28T22:01:21Z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