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juzhong"/>
        <w:snapToGrid w:val="false"/>
        <w:spacing w:lineRule="exact" w:line="560" w:before="0" w:after="0"/>
        <w:contextualSpacing/>
        <w:jc w:val="center"/>
        <w:rPr>
          <w:rFonts w:ascii="方正小标宋简体" w:hAnsi="方正小标宋简体" w:eastAsia="方正小标宋简体" w:cs="Adobe 仿宋 Std R;仿宋_GB2312"/>
          <w:sz w:val="32"/>
          <w:szCs w:val="32"/>
        </w:rPr>
      </w:pPr>
      <w:r>
        <w:rPr>
          <w:rFonts w:eastAsia="方正小标宋简体" w:cs="Adobe 仿宋 Std R;仿宋_GB2312" w:ascii="方正小标宋简体" w:hAnsi="方正小标宋简体"/>
          <w:sz w:val="32"/>
          <w:szCs w:val="32"/>
        </w:rPr>
      </w:r>
    </w:p>
    <w:p>
      <w:pPr>
        <w:pStyle w:val="juzhong"/>
        <w:snapToGrid w:val="false"/>
        <w:spacing w:lineRule="exact" w:line="560" w:before="0" w:after="0"/>
        <w:contextualSpacing/>
        <w:jc w:val="center"/>
        <w:rPr>
          <w:rFonts w:ascii="方正小标宋简体" w:hAnsi="方正小标宋简体" w:eastAsia="方正小标宋简体" w:cs="Adobe 仿宋 Std R;仿宋_GB2312"/>
          <w:sz w:val="32"/>
          <w:szCs w:val="32"/>
        </w:rPr>
      </w:pPr>
      <w:r>
        <w:rPr>
          <w:rFonts w:eastAsia="方正小标宋简体" w:cs="Adobe 仿宋 Std R;仿宋_GB2312" w:ascii="方正小标宋简体" w:hAnsi="方正小标宋简体"/>
          <w:sz w:val="32"/>
          <w:szCs w:val="32"/>
        </w:rPr>
      </w:r>
    </w:p>
    <w:p>
      <w:pPr>
        <w:pStyle w:val="juzhong"/>
        <w:snapToGrid w:val="false"/>
        <w:spacing w:lineRule="exact" w:line="560" w:before="0" w:after="0"/>
        <w:contextualSpacing/>
        <w:jc w:val="center"/>
        <w:rPr>
          <w:sz w:val="44"/>
          <w:szCs w:val="44"/>
        </w:rPr>
      </w:pPr>
      <w:r>
        <w:rPr>
          <w:rFonts w:hint="eastAsia"/>
          <w:sz w:val="44"/>
          <w:szCs w:val="44"/>
        </w:rPr>
        <w:t>天津市信访工作若干规定</w:t>
      </w:r>
    </w:p>
    <w:p>
      <w:pPr>
        <w:pStyle w:val="juzhong"/>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juzhong"/>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sz w:val="32"/>
          <w:szCs w:val="32"/>
        </w:rPr>
        <w:t>（</w:t>
      </w:r>
      <w:r>
        <w:rPr>
          <w:rFonts w:eastAsia="楷体_GB2312" w:cs="Adobe 仿宋 Std R;仿宋_GB2312" w:hint="eastAsia" w:ascii="楷体_GB2312" w:hAnsi="楷体_GB2312"/>
          <w:sz w:val="32"/>
          <w:szCs w:val="32"/>
        </w:rPr>
        <w:t>2005</w:t>
      </w:r>
      <w:r>
        <w:rPr>
          <w:rFonts w:ascii="楷体_GB2312" w:hAnsi="楷体_GB2312" w:cs="Adobe 仿宋 Std R;仿宋_GB2312" w:hint="eastAsia" w:eastAsia="楷体_GB2312"/>
          <w:sz w:val="32"/>
          <w:szCs w:val="32"/>
        </w:rPr>
        <w:t>年</w:t>
      </w:r>
      <w:r>
        <w:rPr>
          <w:rFonts w:eastAsia="楷体_GB2312" w:cs="Adobe 仿宋 Std R;仿宋_GB2312" w:hint="eastAsia" w:ascii="楷体_GB2312" w:hAnsi="楷体_GB2312"/>
          <w:sz w:val="32"/>
          <w:szCs w:val="32"/>
        </w:rPr>
        <w:t>10</w:t>
      </w:r>
      <w:r>
        <w:rPr>
          <w:rFonts w:ascii="楷体_GB2312" w:hAnsi="楷体_GB2312" w:cs="Adobe 仿宋 Std R;仿宋_GB2312" w:hint="eastAsia" w:eastAsia="楷体_GB2312"/>
          <w:sz w:val="32"/>
          <w:szCs w:val="32"/>
        </w:rPr>
        <w:t>月</w:t>
      </w:r>
      <w:r>
        <w:rPr>
          <w:rFonts w:eastAsia="楷体_GB2312" w:cs="Adobe 仿宋 Std R;仿宋_GB2312" w:hint="eastAsia" w:ascii="楷体_GB2312" w:hAnsi="楷体_GB2312"/>
          <w:sz w:val="32"/>
          <w:szCs w:val="32"/>
        </w:rPr>
        <w:t>21</w:t>
      </w:r>
      <w:r>
        <w:rPr>
          <w:rFonts w:ascii="楷体_GB2312" w:hAnsi="楷体_GB2312" w:cs="Adobe 仿宋 Std R;仿宋_GB2312" w:hint="eastAsia" w:eastAsia="楷体_GB2312"/>
          <w:sz w:val="32"/>
          <w:szCs w:val="32"/>
        </w:rPr>
        <w:t>日天津市第十四届人民代表大会常务委员会第二十三次会议通过）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w:t>
      </w:r>
      <w:r>
        <w:rPr>
          <w:rFonts w:ascii="仿宋_GB2312" w:hAnsi="仿宋_GB2312" w:cs="Adobe 仿宋 Std R;仿宋_GB2312" w:hint="eastAsia"/>
          <w:bCs/>
          <w:smallCaps/>
          <w:szCs w:val="32"/>
        </w:rPr>
        <w:t>为了加强国家机关同人民群众的密切联系</w:t>
      </w:r>
      <w:r>
        <w:rPr>
          <w:rFonts w:ascii="仿宋_GB2312" w:hAnsi="仿宋_GB2312" w:cs="Adobe 仿宋 Std R;仿宋_GB2312" w:hint="eastAsia"/>
          <w:szCs w:val="32"/>
        </w:rPr>
        <w:t>，保护信访人的合法权益，维护信访秩序，保障国家机关依法处理信访事项，根据国务院</w:t>
      </w:r>
      <w:r>
        <w:rPr>
          <w:rFonts w:ascii="仿宋_GB2312" w:hAnsi="仿宋_GB2312" w:cs="Adobe 仿宋 Std R;仿宋_GB2312" w:hint="eastAsia"/>
          <w:bCs/>
          <w:smallCaps/>
          <w:szCs w:val="32"/>
        </w:rPr>
        <w:t>《</w:t>
      </w:r>
      <w:hyperlink r:id="rId2">
        <w:r>
          <w:rPr>
            <w:rStyle w:val="Hyperlink"/>
            <w:rFonts w:hint="eastAsia"/>
            <w:bCs/>
            <w:smallCaps/>
          </w:rPr>
          <w:t>信访条例</w:t>
        </w:r>
      </w:hyperlink>
      <w:r>
        <w:rPr>
          <w:rFonts w:ascii="仿宋_GB2312" w:hAnsi="仿宋_GB2312" w:cs="Adobe 仿宋 Std R;仿宋_GB2312" w:hint="eastAsia"/>
          <w:szCs w:val="32"/>
        </w:rPr>
        <w:t>》和其它法律、法规，结合本市实际情况，制定本规定。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本规定所称国家机关，是指国家权力机关、行政机关、审判机关和检察机关。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本市各级国家机关应当制定并公开信访工作制度，畅通信访渠道，认真处理来信、接待来访，倾听人民群众的意见、建议和要求，接受人民群众的监督，努力为人民群众服务。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国家机关负责人应当坚持阅批重要来信，接待重要来访、听取信访工作汇报，研究解决信访工作中的突出问题。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国家机关处理信访事项应当坚持属地管理、分级负责，谁主管、谁负责，依法、及时、就地解决问题与疏导教育相结合的原则。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国家机关应当定期进行矛盾和纠纷的排查调处工作，对排查出的可能影响社会稳定的重大矛盾和突出问题，应当按照信访事项处理原则责令有关机关限期解决。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市和区、县应当建立信访工作联席会议制度。联席会议应当定期召开，并履行下列职责：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（一）通报重大、复杂、疑难的信访事项；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（二）了解重大、复杂、疑难信访事项的办理情况和动态；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（三）对重大、复杂、疑难信访事项的处理提出对策建议；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（四）组织协调处理跨部门、跨行业、跨地区的重大、复杂、疑难信访事项；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（五）督促检查有关工作部门和地区处理重大、复杂、疑难信访事项各项措施的落实。</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市和区、县人民政府应当按照电子政务建设的要求，建立全市的信访信息系统，实现与上级人民政府、政府有关部门、下级人民政府的互联互通。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有关行政机关应当将受理、办理信访事项情况及时输入信访信息系统，通过信访信息系统报告或者通报信访信息情况。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信访人可以通过信访信息系统提出信访事项，查询信访事项的办理情况。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信访人对属于国家权力机关、行政机关、审判机关、检察机关职权范围内的信访事项，应当分别向有关机关提出。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对依法应当通过诉讼、仲裁、行政复议等法定途径解决的投诉请求，信访人应当依照有关法律、法规规定的程序向有关机关提出。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信访人提出涉及行政机关的信访事项，按照下列规定确定负责处理的机关：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（一）对市人民政府工作部门及其工作人员的职务行为提出的信访事项，由该工作部门负责处理；对其负责人的职务行为提出的信访事项，按照行政隶属关系，由其上一级行政机关负责处理；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对区、县人民政府及其工作部门和所属的乡镇人民政府、街道办事处的职务行为提出的信访事项，由区、县人民政府确定负责处理的行政机关；对其工作人员的职务行为提出的信访事项，由该工作人员所在的行政机关负责处理；对其负责人的职务行为提出的信访事项，按照行政隶属关系，由其上一级行政机关负责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（三）对法律、法规授权的具有管理公共事务职能的组织及其工作人员或者提供公共服务的企业、事业单位及其工作人员的职务行为提出的信访事项，由该组织或者企业、事业单位的主管行政机关负责处理；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（四）对社会团体或者其他企业、事业单位中由国家行政机关任命、派出的人员的职务行为提出的信访事项，由任命或者派出该人员的行政机关负责处理；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（五）对村民委员会、居民委员会及其成员的职务行为提出的信访事项，由所在的乡、镇人民政府或者街道办事处负责处理。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信访人提出涉及区、县人民政府之间，区、县人民政府和市人民政府工作部门之间，市人民政府工作部门之间的职务行为提出的信访事项，由所涉及的区、县人民政府或者市人民政府工作部门协商确定负责处理的行政机关；协商达不成一致意见的，由市人民政府信访工作机构提出意见，报市人民政府批准后确定负责处理的行政机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信访人对行政机关作出的信访事项处理意见不服，可以按照下列规定请求有关机关复查、复核：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对乡、镇人民政府或者街道办事处作出的处理意见不服的，可以请求该乡、镇人民政府或者街道办事处所在地的区、县人民政府复查；对复查意见不服的，根据信访事项的内容，可以向市人民政府相关工作部门请求复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对区、县人民政府工作部门作出的处理意见不服的，可以请求区、县人民政府复查；对复查意见不服的，根据信访事项的内容，可以向市人民政府相关工作部门请求复核；对区、县人民政府作出的处理意见不服的，根据信访事项的内容，可以请求市人民政府工作部门复查；对复查意见不服的，可以向市人民政府请求复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（三）对市人民政府工作部门作出的处理意见不服的，可以请求市人民政府复查；对复查意见不服请求复核的，按照国务院</w:t>
      </w:r>
      <w:r>
        <w:rPr>
          <w:rFonts w:ascii="仿宋_GB2312" w:hAnsi="仿宋_GB2312" w:cs="Adobe 仿宋 Std R;仿宋_GB2312" w:hint="eastAsia"/>
          <w:bCs/>
          <w:smallCaps/>
          <w:szCs w:val="32"/>
        </w:rPr>
        <w:t>《</w:t>
      </w:r>
      <w:hyperlink r:id="rId3">
        <w:r>
          <w:rPr>
            <w:rStyle w:val="Hyperlink"/>
            <w:rFonts w:hint="eastAsia"/>
            <w:bCs/>
            <w:smallCaps/>
          </w:rPr>
          <w:t>信访条例</w:t>
        </w:r>
      </w:hyperlink>
      <w:r>
        <w:rPr>
          <w:rFonts w:ascii="仿宋_GB2312" w:hAnsi="仿宋_GB2312" w:cs="Adobe 仿宋 Std R;仿宋_GB2312" w:hint="eastAsia"/>
          <w:bCs/>
          <w:smallCaps/>
          <w:szCs w:val="32"/>
        </w:rPr>
        <w:t>》</w:t>
      </w:r>
      <w:r>
        <w:rPr>
          <w:rFonts w:ascii="仿宋_GB2312" w:hAnsi="仿宋_GB2312" w:cs="Adobe 仿宋 Std R;仿宋_GB2312" w:hint="eastAsia"/>
          <w:szCs w:val="32"/>
        </w:rPr>
        <w:t>的有关规定执行；对市人民政府作出的信访处理意见不服请求复查的，按照国务院</w:t>
      </w:r>
      <w:r>
        <w:rPr>
          <w:rFonts w:ascii="仿宋_GB2312" w:hAnsi="仿宋_GB2312" w:cs="Adobe 仿宋 Std R;仿宋_GB2312" w:hint="eastAsia"/>
          <w:bCs/>
          <w:smallCaps/>
          <w:szCs w:val="32"/>
        </w:rPr>
        <w:t>《</w:t>
      </w:r>
      <w:hyperlink r:id="rId4">
        <w:r>
          <w:rPr>
            <w:rStyle w:val="Hyperlink"/>
            <w:rFonts w:hint="eastAsia"/>
            <w:bCs/>
            <w:smallCaps/>
          </w:rPr>
          <w:t>信访条例</w:t>
        </w:r>
      </w:hyperlink>
      <w:r>
        <w:rPr>
          <w:rFonts w:ascii="仿宋_GB2312" w:hAnsi="仿宋_GB2312" w:cs="Adobe 仿宋 Std R;仿宋_GB2312" w:hint="eastAsia"/>
          <w:bCs/>
          <w:smallCaps/>
          <w:szCs w:val="32"/>
        </w:rPr>
        <w:t>》</w:t>
      </w:r>
      <w:r>
        <w:rPr>
          <w:rFonts w:ascii="仿宋_GB2312" w:hAnsi="仿宋_GB2312" w:cs="Adobe 仿宋 Std R;仿宋_GB2312" w:hint="eastAsia"/>
          <w:szCs w:val="32"/>
        </w:rPr>
        <w:t>的有关规定执行。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市人民政府复查、复核的信访事项，由市人民政府信访工作机构组织有关部门提出复查、复核意见，报市人民政府批准。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信访人提出的下列信访事项，有权处理的行政机关或者复核机关可以举行听证：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（一）在本地区有重大影响的；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（二）属于重大群体性上访的；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（三）对重大事实认定有较大分歧的；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（四）对信访事项的处理结果存在重大分歧的；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（五）其他重大、复杂、疑难的信访事项。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听证由行政机关决定举行，并承担组织听证的费用。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信访听证参加人员包括信访人和直接利害关系人及其委托代理人、信访事项涉及的行政机关人员、证人、书记员以及听证主持人和其他听证合议组组成人员。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听证由正在办理信访事项的行政机关负责人主持，书记员由该机关工作人员担任。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听证应当组成听证合议组。听证合议组由下列人员组成：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（一）听证主持人；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（二）正在办理信访事项行政机关的其他工作人员；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（三）正在办理信访事项行政机关的同级人民政府信访工作机构工作人员。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听证合议组成员人数应当是单数，不得少于三人。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举行听证，应当遵守下列规定：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（一）听证举行前七日，行政机关将听证的信访事项、时间、地点通知听证参加人；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（二）除涉及国家秘密、商业秘密或者个人隐私外，听证公开举行；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（三）信访人和直接利害关系人可以亲自参加听证，也可以委托代理人参加听证；信访人和直接利害关系人及其委托代理人不参加听证，不影响听证的进行；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（四）听证的事项涉及多个信访人提出的共同信访事项的，行政机关告知信访人推选代表；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（五）听证应当制作笔录，笔录应当交听证参加人审核无误后签字或者盖章。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听证按照以下程序进行：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（一）听证开始前，书记员应当核对听证合议组成员以外的听证参加人的身份，宣读听证纪律，告知听证参加人的权利、义务；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（二）听证开始后，主持人介绍听证合议组成员，宣布听证的信访事项；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（三）信访人、直接利害关系人或者其代理人陈述事实和理由，出示证据；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（四）信访事项涉及的行政机关工作人员陈述意见，出示证据，并说明相关法律依据；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（五）经主持人同意，信访人和直接利害关系人及其委托代理人可以就分歧意见与信访事项涉及的行政机关及其工作人员进行辩论。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听证结束后，听证合议组应当进行评议、合议。评议、合议的结果应当作为行政机关作出处理意见的重要依据。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信访过程中发生扰乱公共秩序的情况时，市和区、县人民政府公安机关应当现场疏导，并可以依法采取下列措施：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（一）封闭现场和相关道路，实行区域性交通管制；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（二）设置临时警戒线，划定警戒区域，未经许可任何人不得进入；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（三）发布维护公共秩序、停止违法行为的公告。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采取管制疏导措施无效后，对正在发生的严重危害社会稳定、扰乱公共秩序的行为，经上级机关和同级人民政府批准，市和区、县人民政府公安机关可以依法采取下列强制措施：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（一）责令围观人员立即离开现场；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（二）责令聚集人员在限定时间内离开现场；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（三）对于超过限定时间仍滞留现场的人员，强行驱散；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（四）对经强行驱散仍滞留现场的人员，强行带离现场或者依法予以拘留；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（五）收缴信访人员携带的武器、管制刀具、易燃、易爆、放射性、剧毒等危险物品及用于煽动的工具、标语、传单等物品。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个别信访人在信访活动中煽动、串联、胁迫、以财物诱使、幕后操纵他人信访，以信访为名借机敛财或者捏造事实、诬陷他人，构成犯罪的，依法追究刑事责任；尚不构成犯罪的，由公安机关依法给予治安管理处罚。</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本规定自</w:t>
      </w:r>
      <w:r>
        <w:rPr>
          <w:rFonts w:cs="Adobe 仿宋 Std R;仿宋_GB2312" w:hint="eastAsia" w:ascii="仿宋_GB2312" w:hAnsi="仿宋_GB2312"/>
          <w:szCs w:val="32"/>
        </w:rPr>
        <w:t>2005</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1994</w:t>
      </w:r>
      <w:r>
        <w:rPr>
          <w:rFonts w:ascii="仿宋_GB2312" w:hAnsi="仿宋_GB2312" w:cs="Adobe 仿宋 Std R;仿宋_GB2312" w:hint="eastAsia"/>
          <w:szCs w:val="32"/>
        </w:rPr>
        <w:t>年</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7</w:t>
      </w:r>
      <w:r>
        <w:rPr>
          <w:rFonts w:ascii="仿宋_GB2312" w:hAnsi="仿宋_GB2312" w:cs="Adobe 仿宋 Std R;仿宋_GB2312" w:hint="eastAsia"/>
          <w:szCs w:val="32"/>
        </w:rPr>
        <w:t>日天津市第十二届人民代表大会常务委员会第十六次会议通过的《天津市信访条例》同时废止。</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5"/>
      <w:footerReference w:type="default" r:id="rId6"/>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文星仿宋">
    <w:altName w:val="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
    <w:name w:val="纯文本 Char Char"/>
    <w:basedOn w:val="Style14"/>
    <w:qFormat/>
    <w:rPr>
      <w:rFonts w:ascii="宋体" w:hAnsi="宋体" w:eastAsia="仿宋_GB2312" w:cs="Courier New"/>
      <w:sz w:val="32"/>
      <w:szCs w:val="32"/>
      <w:lang w:bidi="ar-SA"/>
    </w:rPr>
  </w:style>
  <w:style w:type="character" w:styleId="Char">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
    <w:name w:val="样式1 Char Char"/>
    <w:basedOn w:val="Char1"/>
    <w:qFormat/>
    <w:rPr>
      <w:rFonts w:ascii="楷体_GB2312" w:hAnsi="楷体_GB2312" w:eastAsia="楷体_GB2312" w:cs="宋体"/>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4">
    <w:name w:val="普通(网站) Char"/>
    <w:basedOn w:val="Style14"/>
    <w:qFormat/>
    <w:rPr>
      <w:rFonts w:ascii="宋体" w:hAnsi="宋体" w:cs="宋体"/>
      <w:sz w:val="24"/>
      <w:szCs w:val="24"/>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1"/>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56635,0)" TargetMode="External"/><Relationship Id="rId3" Type="http://schemas.openxmlformats.org/officeDocument/2006/relationships/hyperlink" Target="javascript:SLC(56635,0)" TargetMode="External"/><Relationship Id="rId4" Type="http://schemas.openxmlformats.org/officeDocument/2006/relationships/hyperlink" Target="javascript:SLC(56635,0)"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2016-12-29T08:55:06Z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