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eastAsia="方正小标宋简体" w:cs="方正小标宋简体" w:ascii="方正小标宋简体" w:hAnsi="方正小标宋简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ascii="方正小标宋简体" w:hAnsi="方正小标宋简体" w:eastAsia="方正小标宋简体" w:cs="方正小标宋简体" w:hint="eastAsia"/>
          <w:sz w:val="32"/>
          <w:szCs w:val="32"/>
        </w:rPr>
      </w:pPr>
      <w:r>
        <w:rPr>
          <w:rFonts w:eastAsia="方正小标宋简体" w:cs="方正小标宋简体" w:hint="eastAsia" w:ascii="方正小标宋简体" w:hAnsi="方正小标宋简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天津市实施宪法宣誓制度办法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420"/>
          <w:tab w:val="left" w:pos="6225" w:leader="none"/>
          <w:tab w:val="left" w:pos="6700" w:leader="none"/>
        </w:tabs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outlineLvl w:val="0"/>
        <w:rPr>
          <w:rFonts w:ascii="楷体_GB2312" w:hAnsi="楷体_GB2312" w:eastAsia="楷体_GB2312" w:cs="宋体" w:hint="eastAsia"/>
          <w:sz w:val="44"/>
          <w:szCs w:val="44"/>
        </w:rPr>
      </w:pPr>
      <w:r>
        <w:rPr>
          <w:rFonts w:eastAsia="楷体_GB2312" w:cs="宋体" w:hint="eastAsia" w:ascii="楷体_GB2312" w:hAnsi="楷体_GB2312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楷体_GB2312" w:hAnsi="楷体_GB2312" w:eastAsia="楷体_GB2312" w:cs="Times New Roman" w:hint="eastAsia"/>
          <w:szCs w:val="32"/>
        </w:rPr>
      </w:pPr>
      <w:r>
        <w:rPr>
          <w:rFonts w:ascii="楷体_GB2312" w:hAnsi="楷体_GB2312" w:cs="Times New Roman" w:hint="eastAsia" w:eastAsia="楷体_GB2312"/>
          <w:szCs w:val="32"/>
        </w:rPr>
        <w:t>（</w:t>
      </w:r>
      <w:r>
        <w:rPr>
          <w:rFonts w:eastAsia="楷体_GB2312" w:cs="Times New Roman" w:ascii="楷体_GB2312" w:hAnsi="楷体_GB2312"/>
          <w:szCs w:val="32"/>
        </w:rPr>
        <w:t>2015</w:t>
      </w:r>
      <w:r>
        <w:rPr>
          <w:rFonts w:ascii="楷体_GB2312" w:hAnsi="楷体_GB2312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楷体_GB2312" w:hAnsi="楷体_GB2312"/>
          <w:szCs w:val="32"/>
        </w:rPr>
        <w:t>12</w:t>
      </w:r>
      <w:r>
        <w:rPr>
          <w:rFonts w:ascii="楷体_GB2312" w:hAnsi="楷体_GB2312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楷体_GB2312" w:hAnsi="楷体_GB2312"/>
          <w:szCs w:val="32"/>
        </w:rPr>
        <w:t>24</w:t>
      </w:r>
      <w:r>
        <w:rPr>
          <w:rFonts w:ascii="楷体_GB2312" w:hAnsi="楷体_GB2312" w:cs="Times New Roman" w:hint="eastAsia" w:eastAsia="楷体_GB2312"/>
          <w:szCs w:val="32"/>
        </w:rPr>
        <w:t>日天津市第十六届人民代表大会常务委员会第二十三次会议通过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楷体_GB2312" w:hAnsi="楷体_GB2312" w:eastAsia="楷体_GB2312" w:cs="Times New Roman" w:hint="eastAsia"/>
          <w:szCs w:val="32"/>
        </w:rPr>
      </w:pPr>
      <w:r>
        <w:rPr>
          <w:rFonts w:ascii="楷体_GB2312" w:hAnsi="楷体_GB2312" w:cs="Times New Roman" w:hint="eastAsia" w:eastAsia="楷体_GB2312"/>
          <w:szCs w:val="32"/>
        </w:rPr>
        <w:t>根据</w:t>
      </w:r>
      <w:r>
        <w:rPr>
          <w:rFonts w:eastAsia="楷体_GB2312" w:cs="Times New Roman" w:hint="eastAsia" w:ascii="楷体_GB2312" w:hAnsi="楷体_GB2312"/>
          <w:szCs w:val="32"/>
        </w:rPr>
        <w:t>2017</w:t>
      </w:r>
      <w:r>
        <w:rPr>
          <w:rFonts w:ascii="楷体_GB2312" w:hAnsi="楷体_GB2312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楷体_GB2312" w:hAnsi="楷体_GB2312"/>
          <w:szCs w:val="32"/>
        </w:rPr>
        <w:t>12</w:t>
      </w:r>
      <w:r>
        <w:rPr>
          <w:rFonts w:ascii="楷体_GB2312" w:hAnsi="楷体_GB2312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楷体_GB2312" w:hAnsi="楷体_GB2312"/>
          <w:szCs w:val="32"/>
        </w:rPr>
        <w:t>22</w:t>
      </w:r>
      <w:r>
        <w:rPr>
          <w:rFonts w:ascii="楷体_GB2312" w:hAnsi="楷体_GB2312" w:cs="Times New Roman" w:hint="eastAsia" w:eastAsia="楷体_GB2312"/>
          <w:szCs w:val="32"/>
        </w:rPr>
        <w:t>日天津市第十六届人民代表大会常务委员会第四十次会议通过的《关于修改〈天津市人民代表大会常务委员会人事任免办法〉〈天津市实施宪法宣誓制度办法〉的决定》修正）</w:t>
      </w:r>
    </w:p>
    <w:p>
      <w:pPr>
        <w:pStyle w:val="BodyText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240"/>
        <w:ind w:firstLineChars="0" w:firstLine="0" w:startChars="0" w:start="0" w:endChars="0" w:end="0"/>
        <w:textAlignment w:val="auto"/>
        <w:rPr>
          <w:rFonts w:ascii="楷体_GB2312" w:hAnsi="楷体_GB2312" w:eastAsia="黑体" w:cs="Times New Roman" w:hint="eastAsia"/>
          <w:b/>
          <w:bCs/>
          <w:szCs w:val="32"/>
        </w:rPr>
      </w:pPr>
      <w:r>
        <w:rPr>
          <w:rFonts w:eastAsia="黑体" w:cs="Times New Roman" w:hint="eastAsia" w:ascii="楷体_GB2312" w:hAnsi="楷体_GB2312"/>
          <w:b/>
          <w:bCs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第一条</w:t>
      </w:r>
      <w:r>
        <w:rPr>
          <w:rFonts w:ascii="仿宋_GB2312" w:hAnsi="仿宋_GB2312" w:hint="eastAsia"/>
        </w:rPr>
        <w:t xml:space="preserve">　为了彰显宪法权威，激励和教育国家工作人员忠于宪法、遵守宪法、维护宪法，加强宪法实施，根据《全国人民代表大会常务委员会关于实行宪法宣誓制度的决定》，结合本市实际，制定本办法。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第二条</w:t>
      </w:r>
      <w:r>
        <w:rPr>
          <w:rFonts w:ascii="仿宋_GB2312" w:hAnsi="仿宋_GB2312" w:hint="eastAsia"/>
        </w:rPr>
        <w:t>　本市各级人民代表大会及市和区人民代表大会常务委员会（以下简称人大常委会）选举、表决通过或者任命的国家工作人员，以及各级人民政府、监察委员会、人民法院、人民检察院任命的国家工作人员，在就职时应当公开进行宪法宣誓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第三条</w:t>
      </w:r>
      <w:r>
        <w:rPr>
          <w:rFonts w:ascii="仿宋_GB2312" w:hAnsi="仿宋_GB2312" w:hint="eastAsia"/>
        </w:rPr>
        <w:t xml:space="preserve">  按照全国人民代表大会常务委员会的规定，宣誓誓词为：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我宣誓：忠于中华人民共和国宪法，维护宪法权威，履行法定职责，忠于祖国、忠于人民，恪尽职守、廉洁奉公，接受人民监督，为建设富强、民主、文明、和谐的社会主义国家努力奋斗</w:t>
      </w:r>
      <w:r>
        <w:rPr>
          <w:rFonts w:eastAsia="仿宋_GB2312" w:hint="eastAsia" w:ascii="仿宋_GB2312" w:hAnsi="仿宋_GB2312"/>
        </w:rPr>
        <w:t>!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第四条</w:t>
      </w:r>
      <w:r>
        <w:rPr>
          <w:rFonts w:ascii="仿宋_GB2312" w:hAnsi="仿宋_GB2312" w:hint="eastAsia"/>
        </w:rPr>
        <w:t xml:space="preserve">  市和区人民代表大会选举的人大常委会主任、副主任、秘书长、委员，市长、副市长，市监察委员会主任，市高级人民法院院长，区长、副区长，区监察委员会主任，区人民法院院长，以及表决通过的人民代表大会专门委员会主任委员、副主任委员、委员，在依照法定程序产生后，进行宪法宣誓。宣誓仪式由人民代表大会主席团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仿宋_GB2312" w:hAnsi="仿宋_GB2312" w:hint="eastAsia"/>
        </w:rPr>
        <w:t>乡、民族乡、镇人民代表大会选举的人民代表大会主席、副主席，乡长、副乡长，镇长、副镇长，以及表决通过的代表资格审查委员会主任委员、副主任委员、委员，在依照法定程序产生后，进行宪法宣誓。宣誓仪式由人民代表大会主席团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市和区人民代表大会选举的人民检察院检察长，依照法定程序批准后，在本级人大常委会会议上进行宪法宣誓。宣誓仪式由人大常委会主任会议组织。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第五条</w:t>
      </w:r>
      <w:r>
        <w:rPr>
          <w:rFonts w:ascii="仿宋_GB2312" w:hAnsi="仿宋_GB2312" w:hint="eastAsia"/>
        </w:rPr>
        <w:t xml:space="preserve">  在市和区人民代表大会闭会期间，市和区人大常委会任命的个别副市长、副区长、副县长，人民代表大会专门委员会个别副主任委员、部分委员，在依照法定程序产生后，进行宪法宣誓。宣誓仪式由人大常委会主任会议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 xml:space="preserve">第六条 </w:t>
      </w:r>
      <w:r>
        <w:rPr>
          <w:rFonts w:ascii="仿宋_GB2312" w:hAnsi="仿宋_GB2312" w:hint="eastAsia"/>
        </w:rPr>
        <w:t xml:space="preserve"> 市和区人大常委会任命的人大常委会副秘书长，工作机构主任、副主任，代表资格审查委员会主任委员、副主任委员、委员，人民政府秘书长、局长、主任等组成人员，在依照法定程序产生后，进行宪法宣誓。宣誓仪式由人大常委会主任会议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第七条</w:t>
      </w:r>
      <w:r>
        <w:rPr>
          <w:rFonts w:ascii="仿宋_GB2312" w:hAnsi="仿宋_GB2312" w:hint="eastAsia"/>
        </w:rPr>
        <w:t xml:space="preserve">  市人大常委会任命的市监察委员会副主任、委员，市高级人民法院副院长、审判委员会委员、庭长、副庭长、审判员，市中级人民法院、天津海事法院、天津铁路运输法院的院长、副院长、审判委员会委员、庭长、副庭长、审判员，市人民检察院副检察长、检察委员会委员、检察员，市人民检察院分院、天津铁路运输检察院的检察长、副检察长、检察委员会委员、检察员，在依照法定程序产生后，进行宪法宣誓。在市人大常委会会议上当场接受任命书的人员，宣誓仪式由市人大常委会主任会议组织；其他人员，宣誓仪式分别由市监察委员会、市高级人民法院、市人民检察院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区人大常委会任命的监察委员会副主任、委员，人民法院副院长、审判委员会委员、庭长、副庭长、审判员，人民检察院副检察长、检察委员会委员、检察员，在依照法定程序产生后，进行宪法宣誓。宣誓仪式由区人大常委会主任会议组织，也可以分别由区的人民法院、人民检察院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黑体" w:hAnsi="黑体" w:cs="黑体" w:hint="eastAsia" w:eastAsia="黑体"/>
        </w:rPr>
        <w:t>第八条</w:t>
      </w:r>
      <w:r>
        <w:rPr>
          <w:rFonts w:ascii="仿宋_GB2312" w:hAnsi="仿宋_GB2312" w:hint="eastAsia"/>
        </w:rPr>
        <w:t xml:space="preserve">  本市各级人民政府、监察委员会、人民法院、人民检察院任命的国家工作人员，在就职时进行宪法宣誓。宣誓仪式由任命机关组织。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第九条</w:t>
      </w:r>
      <w:r>
        <w:rPr>
          <w:rFonts w:ascii="仿宋_GB2312" w:hAnsi="仿宋_GB2312" w:hint="eastAsia"/>
        </w:rPr>
        <w:t xml:space="preserve">  宣誓仪式根据情况，可以采取单独宣誓或者集体宣誓的形式。单独宣誓时，宣誓人应当左手抚按《中华人民共和国宪法》，右手举拳，诵读誓词。集体宣誓时，由一人领誓，领誓人左手抚按《中华人民共和国宪法》，右手举拳，领诵誓词；其他宣誓人整齐排列，右手举拳，跟诵誓词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宣誓场所应当庄重、严肃，悬挂中华人民共和国国旗或者国徽。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仿宋_GB2312" w:hAnsi="仿宋_GB2312" w:hint="eastAsia"/>
        </w:rPr>
        <w:t>举行宣誓仪式，在场人员应当肃立，举止庄重，奏唱中华人民共和国国歌。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</w:rPr>
      </w:pPr>
      <w:r>
        <w:rPr>
          <w:rFonts w:ascii="仿宋_GB2312" w:hAnsi="仿宋_GB2312" w:hint="eastAsia"/>
        </w:rPr>
        <w:t>负责组织宣誓仪式的机关，可以根据本办法并结合实际情况，对具体事项作出规定。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jc w:val="both"/>
        <w:textAlignment w:val="auto"/>
        <w:rPr>
          <w:rFonts w:ascii="仿宋_GB2312" w:hAnsi="仿宋_GB2312" w:eastAsia="仿宋_GB2312"/>
        </w:rPr>
      </w:pPr>
      <w:r>
        <w:rPr>
          <w:rFonts w:ascii="黑体" w:hAnsi="黑体" w:cs="黑体" w:hint="eastAsia" w:eastAsia="黑体"/>
        </w:rPr>
        <w:t>第十条</w:t>
      </w:r>
      <w:r>
        <w:rPr>
          <w:rFonts w:ascii="仿宋_GB2312" w:hAnsi="仿宋_GB2312" w:hint="eastAsia"/>
        </w:rPr>
        <w:t xml:space="preserve">  本办法自</w:t>
      </w:r>
      <w:r>
        <w:rPr>
          <w:rFonts w:eastAsia="仿宋_GB2312" w:hint="eastAsia" w:ascii="仿宋_GB2312" w:hAnsi="仿宋_GB2312"/>
        </w:rPr>
        <w:t>2016</w:t>
      </w:r>
      <w:r>
        <w:rPr>
          <w:rFonts w:ascii="仿宋_GB2312" w:hAnsi="仿宋_GB2312" w:hint="eastAsia"/>
        </w:rPr>
        <w:t>年</w:t>
      </w:r>
      <w:r>
        <w:rPr>
          <w:rFonts w:eastAsia="仿宋_GB2312" w:hint="eastAsia" w:ascii="仿宋_GB2312" w:hAnsi="仿宋_GB2312"/>
        </w:rPr>
        <w:t>1</w:t>
      </w:r>
      <w:r>
        <w:rPr>
          <w:rFonts w:ascii="仿宋_GB2312" w:hAnsi="仿宋_GB2312" w:hint="eastAsia"/>
        </w:rPr>
        <w:t>月</w:t>
      </w:r>
      <w:r>
        <w:rPr>
          <w:rFonts w:eastAsia="仿宋_GB2312" w:hint="eastAsia" w:ascii="仿宋_GB2312" w:hAnsi="仿宋_GB2312"/>
        </w:rPr>
        <w:t>1</w:t>
      </w:r>
      <w:r>
        <w:rPr>
          <w:rFonts w:ascii="仿宋_GB2312" w:hAnsi="仿宋_GB2312" w:hint="eastAsia"/>
        </w:rPr>
        <w:t>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ascii="黑体" w:hAnsi="黑体" w:eastAsia="黑体" w:cs="宋体" w:hint="eastAsia"/>
          <w:szCs w:val="32"/>
        </w:rPr>
      </w:pPr>
      <w:r>
        <w:rPr>
          <w:rFonts w:eastAsia="黑体" w:cs="宋体" w:hint="eastAsia" w:ascii="黑体" w:hAnsi="黑体"/>
          <w:szCs w:val="32"/>
        </w:rPr>
      </w:r>
    </w:p>
    <w:sectPr>
      <w:footerReference w:type="default" r:id="rId2"/>
      <w:type w:val="nextPage"/>
      <w:pgSz w:w="11906" w:h="16838"/>
      <w:pgMar w:left="1800" w:right="1466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ˎ̥">
    <w:altName w:val="Arial Unicode MS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方正小标宋简体">
    <w:charset w:val="86"/>
    <w:family w:val="script"/>
    <w:pitch w:val="default"/>
  </w:font>
  <w:font w:name="楷体_GB2312">
    <w:charset w:val="86"/>
    <w:family w:val="modern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13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Char1">
    <w:name w:val=" Char Char1"/>
    <w:qFormat/>
    <w:rPr>
      <w:rFonts w:eastAsia="仿宋_GB2312"/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rFonts w:ascii="ˎ̥;Arial Unicode MS" w:hAnsi="ˎ̥;Arial Unicode MS" w:cs="ˎ̥;Arial Unicode MS"/>
      <w:strike w:val="false"/>
      <w:dstrike w:val="false"/>
      <w:color w:val="0404B3"/>
      <w:sz w:val="18"/>
      <w:szCs w:val="18"/>
      <w:u w:val="none"/>
    </w:rPr>
  </w:style>
  <w:style w:type="character" w:styleId="CharChar">
    <w:name w:val=" Char Char"/>
    <w:qFormat/>
    <w:rPr>
      <w:rFonts w:eastAsia="仿宋_GB2312"/>
      <w:kern w:val="2"/>
      <w:sz w:val="18"/>
      <w:szCs w:val="18"/>
    </w:rPr>
  </w:style>
  <w:style w:type="character" w:styleId="CharChar2">
    <w:name w:val=" Char Char2"/>
    <w:qFormat/>
    <w:rPr>
      <w:rFonts w:ascii="宋体" w:hAnsi="宋体" w:cs="Courier New"/>
      <w:kern w:val="2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3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Style17">
    <w:name w:val="列出段落"/>
    <w:basedOn w:val="Normal"/>
    <w:qFormat/>
    <w:pPr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Style18">
    <w:name w:val="纯文本"/>
    <w:basedOn w:val="Normal"/>
    <w:qFormat/>
    <w:pPr/>
    <w:rPr>
      <w:rFonts w:ascii="宋体" w:hAnsi="宋体" w:eastAsia="宋体" w:cs="Courier New"/>
      <w:sz w:val="21"/>
      <w:szCs w:val="21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2017-01-11T10:38:00Z</dcterms:created>
  <dc:creator>lenovo</dc:creator>
  <dc:description/>
  <dc:language>en-US</dc:language>
  <cp:lastModifiedBy>tjrd</cp:lastModifiedBy>
  <cp:lastPrinted>2017-01-11T11:31:00Z</cp:lastPrinted>
  <dcterms:modified xsi:type="dcterms:W3CDTF">2018-01-20T18:14:15Z</dcterms:modified>
  <cp:revision>4</cp:revision>
  <dc:subject/>
  <dc:title>备案报告电子报备标准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