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7"/>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7"/>
        <w:snapToGrid w:val="false"/>
        <w:spacing w:lineRule="exact" w:line="560" w:before="0" w:after="0"/>
        <w:contextualSpacing/>
        <w:jc w:val="center"/>
        <w:rPr>
          <w:rFonts w:ascii="方正小标宋简体" w:hAnsi="方正小标宋简体" w:eastAsia="方正小标宋简体" w:cs="Adobe 仿宋 Std R;仿宋_GB2312"/>
          <w:bCs/>
          <w:smallCaps/>
          <w:sz w:val="32"/>
          <w:szCs w:val="32"/>
        </w:rPr>
      </w:pPr>
      <w:r>
        <w:rPr>
          <w:rFonts w:eastAsia="方正小标宋简体" w:cs="Adobe 仿宋 Std R;仿宋_GB2312" w:ascii="方正小标宋简体" w:hAnsi="方正小标宋简体"/>
          <w:bCs/>
          <w:smallCaps/>
          <w:sz w:val="32"/>
          <w:szCs w:val="32"/>
        </w:rPr>
      </w:r>
    </w:p>
    <w:p>
      <w:pPr>
        <w:pStyle w:val="Style17"/>
        <w:snapToGrid w:val="false"/>
        <w:spacing w:lineRule="exact" w:line="560" w:before="0" w:after="0"/>
        <w:contextualSpacing/>
        <w:jc w:val="center"/>
        <w:rPr>
          <w:rFonts w:eastAsia="宋体"/>
          <w:bCs/>
          <w:smallCaps/>
          <w:sz w:val="44"/>
          <w:szCs w:val="44"/>
        </w:rPr>
      </w:pPr>
      <w:r>
        <w:rPr>
          <w:rFonts w:hint="eastAsia" w:eastAsia="宋体"/>
          <w:bCs/>
          <w:smallCaps/>
          <w:sz w:val="44"/>
          <w:szCs w:val="44"/>
        </w:rPr>
        <w:t>天津市人民代表大会常务委员会</w:t>
      </w:r>
    </w:p>
    <w:p>
      <w:pPr>
        <w:pStyle w:val="Style17"/>
        <w:snapToGrid w:val="false"/>
        <w:spacing w:lineRule="exact" w:line="560" w:before="0" w:after="0"/>
        <w:contextualSpacing/>
        <w:jc w:val="center"/>
        <w:rPr>
          <w:rFonts w:eastAsia="宋体"/>
          <w:bCs/>
          <w:smallCaps/>
          <w:sz w:val="44"/>
          <w:szCs w:val="44"/>
        </w:rPr>
      </w:pPr>
      <w:r>
        <w:rPr>
          <w:rFonts w:hint="eastAsia" w:eastAsia="宋体"/>
          <w:bCs/>
          <w:smallCaps/>
          <w:sz w:val="44"/>
          <w:szCs w:val="44"/>
        </w:rPr>
        <w:t>讨论、决定重大事项的规定</w:t>
      </w:r>
    </w:p>
    <w:p>
      <w:pPr>
        <w:pStyle w:val="Style17"/>
        <w:snapToGrid w:val="false"/>
        <w:spacing w:lineRule="exact" w:line="560" w:before="0" w:after="0"/>
        <w:contextualSpacing/>
        <w:jc w:val="center"/>
        <w:rPr>
          <w:rFonts w:ascii="Adobe 仿宋 Std R;仿宋_GB2312" w:hAnsi="Adobe 仿宋 Std R;仿宋_GB2312" w:eastAsia="Adobe 仿宋 Std R;仿宋_GB2312" w:cs="Adobe 仿宋 Std R;仿宋_GB2312"/>
          <w:b/>
          <w:bCs/>
          <w:smallCaps/>
          <w:sz w:val="32"/>
          <w:szCs w:val="32"/>
        </w:rPr>
      </w:pPr>
      <w:r>
        <w:rPr>
          <w:rFonts w:ascii="Adobe 仿宋 Std R;仿宋_GB2312" w:hAnsi="Adobe 仿宋 Std R;仿宋_GB2312" w:cs="Adobe 仿宋 Std R;仿宋_GB2312" w:hint="eastAsia" w:eastAsia="Adobe 仿宋 Std R;仿宋_GB2312"/>
          <w:b/>
          <w:bCs/>
          <w:smallCaps/>
          <w:sz w:val="32"/>
          <w:szCs w:val="32"/>
        </w:rPr>
        <w:t>　</w:t>
      </w:r>
    </w:p>
    <w:p>
      <w:pPr>
        <w:pStyle w:val="Style17"/>
        <w:snapToGrid w:val="false"/>
        <w:spacing w:lineRule="exact" w:line="560" w:before="0" w:after="0"/>
        <w:ind w:firstLineChars="0" w:firstLine="0" w:startChars="200" w:endChars="200"/>
        <w:contextualSpacing/>
        <w:jc w:val="both"/>
        <w:rPr>
          <w:rFonts w:ascii="楷体_GB2312" w:hAnsi="楷体_GB2312" w:eastAsia="楷体_GB2312" w:cs="Adobe 仿宋 Std R;仿宋_GB2312"/>
          <w:sz w:val="32"/>
          <w:szCs w:val="32"/>
        </w:rPr>
      </w:pPr>
      <w:r>
        <w:rPr>
          <w:rFonts w:ascii="楷体_GB2312" w:hAnsi="楷体_GB2312" w:cs="Adobe 仿宋 Std R;仿宋_GB2312" w:hint="eastAsia" w:eastAsia="楷体_GB2312"/>
          <w:bCs/>
          <w:smallCaps/>
          <w:sz w:val="32"/>
          <w:szCs w:val="32"/>
        </w:rPr>
        <w:t>（</w:t>
      </w:r>
      <w:r>
        <w:rPr>
          <w:rFonts w:eastAsia="楷体_GB2312" w:cs="Adobe 仿宋 Std R;仿宋_GB2312" w:hint="eastAsia" w:ascii="楷体_GB2312" w:hAnsi="楷体_GB2312"/>
          <w:bCs/>
          <w:smallCaps/>
          <w:sz w:val="32"/>
          <w:szCs w:val="32"/>
        </w:rPr>
        <w:t>2002</w:t>
      </w:r>
      <w:r>
        <w:rPr>
          <w:rFonts w:ascii="楷体_GB2312" w:hAnsi="楷体_GB2312" w:cs="Adobe 仿宋 Std R;仿宋_GB2312" w:hint="eastAsia" w:eastAsia="楷体_GB2312"/>
          <w:bCs/>
          <w:smallCaps/>
          <w:sz w:val="32"/>
          <w:szCs w:val="32"/>
        </w:rPr>
        <w:t>年</w:t>
      </w:r>
      <w:r>
        <w:rPr>
          <w:rFonts w:eastAsia="楷体_GB2312" w:cs="Adobe 仿宋 Std R;仿宋_GB2312" w:hint="eastAsia" w:ascii="楷体_GB2312" w:hAnsi="楷体_GB2312"/>
          <w:bCs/>
          <w:smallCaps/>
          <w:sz w:val="32"/>
          <w:szCs w:val="32"/>
        </w:rPr>
        <w:t>10</w:t>
      </w:r>
      <w:r>
        <w:rPr>
          <w:rFonts w:ascii="楷体_GB2312" w:hAnsi="楷体_GB2312" w:cs="Adobe 仿宋 Std R;仿宋_GB2312" w:hint="eastAsia" w:eastAsia="楷体_GB2312"/>
          <w:bCs/>
          <w:smallCaps/>
          <w:sz w:val="32"/>
          <w:szCs w:val="32"/>
        </w:rPr>
        <w:t>月</w:t>
      </w:r>
      <w:r>
        <w:rPr>
          <w:rFonts w:eastAsia="楷体_GB2312" w:cs="Adobe 仿宋 Std R;仿宋_GB2312" w:hint="eastAsia" w:ascii="楷体_GB2312" w:hAnsi="楷体_GB2312"/>
          <w:bCs/>
          <w:smallCaps/>
          <w:sz w:val="32"/>
          <w:szCs w:val="32"/>
        </w:rPr>
        <w:t>24</w:t>
      </w:r>
      <w:r>
        <w:rPr>
          <w:rFonts w:ascii="楷体_GB2312" w:hAnsi="楷体_GB2312" w:cs="Adobe 仿宋 Std R;仿宋_GB2312" w:hint="eastAsia" w:eastAsia="楷体_GB2312"/>
          <w:bCs/>
          <w:smallCaps/>
          <w:sz w:val="32"/>
          <w:szCs w:val="32"/>
        </w:rPr>
        <w:t>日天津市第十三届人民代表大会常务委员会第三十六次会议通过）</w:t>
      </w:r>
    </w:p>
    <w:p>
      <w:pPr>
        <w:pStyle w:val="Normal"/>
        <w:snapToGrid w:val="false"/>
        <w:spacing w:lineRule="exact" w:line="560" w:before="0" w:after="0"/>
        <w:contextualSpacing/>
        <w:rPr>
          <w:rFonts w:ascii="Adobe 仿宋 Std R;仿宋_GB2312" w:hAnsi="Adobe 仿宋 Std R;仿宋_GB2312" w:eastAsia="Adobe 仿宋 Std R;仿宋_GB2312" w:cs="Adobe 仿宋 Std R;仿宋_GB2312"/>
          <w:sz w:val="32"/>
          <w:szCs w:val="32"/>
        </w:rPr>
      </w:pPr>
      <w:r>
        <w:rPr>
          <w:rFonts w:eastAsia="Adobe 仿宋 Std R;仿宋_GB2312" w:cs="Adobe 仿宋 Std R;仿宋_GB2312" w:ascii="Adobe 仿宋 Std R;仿宋_GB2312" w:hAnsi="Adobe 仿宋 Std R;仿宋_GB2312"/>
          <w:sz w:val="32"/>
          <w:szCs w:val="32"/>
        </w:rPr>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第一条</w:t>
      </w:r>
      <w:r>
        <w:rPr>
          <w:rFonts w:ascii="仿宋_GB2312" w:hAnsi="仿宋_GB2312" w:cs="Adobe 仿宋 Std R;仿宋_GB2312" w:hint="eastAsia"/>
          <w:szCs w:val="32"/>
        </w:rPr>
        <w:t>　为了保证天津市人民代表大会常务委员会</w:t>
      </w:r>
      <w:r>
        <w:rPr>
          <w:rFonts w:cs="Adobe 仿宋 Std R;仿宋_GB2312" w:hint="eastAsia" w:ascii="仿宋_GB2312" w:hAnsi="仿宋_GB2312"/>
          <w:szCs w:val="32"/>
        </w:rPr>
        <w:t>(</w:t>
      </w:r>
      <w:r>
        <w:rPr>
          <w:rFonts w:ascii="仿宋_GB2312" w:hAnsi="仿宋_GB2312" w:cs="Adobe 仿宋 Std R;仿宋_GB2312" w:hint="eastAsia"/>
          <w:szCs w:val="32"/>
        </w:rPr>
        <w:t>以下简称市人大常委会</w:t>
      </w:r>
      <w:r>
        <w:rPr>
          <w:rFonts w:cs="Adobe 仿宋 Std R;仿宋_GB2312" w:hint="eastAsia" w:ascii="仿宋_GB2312" w:hAnsi="仿宋_GB2312"/>
          <w:szCs w:val="32"/>
        </w:rPr>
        <w:t>)</w:t>
      </w:r>
      <w:r>
        <w:rPr>
          <w:rFonts w:ascii="仿宋_GB2312" w:hAnsi="仿宋_GB2312" w:cs="Adobe 仿宋 Std R;仿宋_GB2312" w:hint="eastAsia"/>
          <w:szCs w:val="32"/>
        </w:rPr>
        <w:t>依法行使讨论、决定重大事项的职权，根据《</w:t>
      </w:r>
      <w:hyperlink r:id="rId2">
        <w:r>
          <w:rPr>
            <w:rStyle w:val="Hyperlink"/>
            <w:rFonts w:hint="eastAsia"/>
          </w:rPr>
          <w:t>中华人民共和国宪法</w:t>
        </w:r>
      </w:hyperlink>
      <w:r>
        <w:rPr>
          <w:rFonts w:ascii="仿宋_GB2312" w:hAnsi="仿宋_GB2312" w:cs="Adobe 仿宋 Std R;仿宋_GB2312" w:hint="eastAsia"/>
          <w:szCs w:val="32"/>
        </w:rPr>
        <w:t>》和《</w:t>
      </w:r>
      <w:hyperlink r:id="rId3">
        <w:r>
          <w:rPr>
            <w:rStyle w:val="Hyperlink"/>
            <w:rFonts w:hint="eastAsia"/>
          </w:rPr>
          <w:t>中华人民共和国地方各级人民代表大会和地方各级人民政府组织法</w:t>
        </w:r>
      </w:hyperlink>
      <w:r>
        <w:rPr>
          <w:rFonts w:ascii="仿宋_GB2312" w:hAnsi="仿宋_GB2312" w:cs="Adobe 仿宋 Std R;仿宋_GB2312" w:hint="eastAsia"/>
          <w:szCs w:val="32"/>
        </w:rPr>
        <w:t>》等有关法律的规定，结合本市实际，制定本规定。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第二条</w:t>
      </w:r>
      <w:r>
        <w:rPr>
          <w:rFonts w:ascii="仿宋_GB2312" w:hAnsi="仿宋_GB2312" w:cs="Adobe 仿宋 Std R;仿宋_GB2312" w:hint="eastAsia"/>
          <w:szCs w:val="32"/>
        </w:rPr>
        <w:t>　本规定所称重大事项，是指本市政治、经济、教育、科学、文化、卫生、环境和资源保护、民政、民族等工作，以及人民群众普遍关心的，带有根本性、全局性、长远性的，须经市人大常委会讨论、决定或应当向市人大常委会报告的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第三条</w:t>
      </w:r>
      <w:r>
        <w:rPr>
          <w:rFonts w:ascii="仿宋_GB2312" w:hAnsi="仿宋_GB2312" w:cs="Adobe 仿宋 Std R;仿宋_GB2312" w:hint="eastAsia"/>
          <w:szCs w:val="32"/>
        </w:rPr>
        <w:t>　市人大常委会讨论、决定重大事项，坚持党的领导，充分发扬民主，严格依法办事。</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第四条</w:t>
      </w:r>
      <w:r>
        <w:rPr>
          <w:rFonts w:ascii="仿宋_GB2312" w:hAnsi="仿宋_GB2312" w:cs="Adobe 仿宋 Std R;仿宋_GB2312" w:hint="eastAsia"/>
          <w:szCs w:val="32"/>
        </w:rPr>
        <w:t>　下列重大事项须提请市人大常委会审议，并由市人大常委会作出相应的决议或决定：</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为保证</w:t>
      </w:r>
      <w:hyperlink r:id="rId4">
        <w:r>
          <w:rPr>
            <w:rStyle w:val="Hyperlink"/>
            <w:rFonts w:hint="eastAsia"/>
          </w:rPr>
          <w:t>宪法</w:t>
        </w:r>
      </w:hyperlink>
      <w:r>
        <w:rPr>
          <w:rFonts w:ascii="仿宋_GB2312" w:hAnsi="仿宋_GB2312" w:cs="Adobe 仿宋 Std R;仿宋_GB2312" w:hint="eastAsia"/>
          <w:szCs w:val="32"/>
        </w:rPr>
        <w:t>、法律、行政法规和全国人民代表大会及其常务委员会决议、决定在本市遵守和执行所采取的重大措施；</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推进依法治市，加强社会主义民主法制建设方面的重大事项；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市人民政府提请审查的国民经济和社会发展计划调整方案；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市人民政府提请审查和批准的市级预算调整方案；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五</w:t>
      </w:r>
      <w:r>
        <w:rPr>
          <w:rFonts w:cs="Adobe 仿宋 Std R;仿宋_GB2312" w:hint="eastAsia" w:ascii="仿宋_GB2312" w:hAnsi="仿宋_GB2312"/>
          <w:szCs w:val="32"/>
        </w:rPr>
        <w:t>)</w:t>
      </w:r>
      <w:r>
        <w:rPr>
          <w:rFonts w:ascii="仿宋_GB2312" w:hAnsi="仿宋_GB2312" w:cs="Adobe 仿宋 Std R;仿宋_GB2312" w:hint="eastAsia"/>
          <w:szCs w:val="32"/>
        </w:rPr>
        <w:t>市人民政府提请审查和批准的市级决算草案；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六</w:t>
      </w:r>
      <w:r>
        <w:rPr>
          <w:rFonts w:cs="Adobe 仿宋 Std R;仿宋_GB2312" w:hint="eastAsia" w:ascii="仿宋_GB2312" w:hAnsi="仿宋_GB2312"/>
          <w:szCs w:val="32"/>
        </w:rPr>
        <w:t>)</w:t>
      </w:r>
      <w:r>
        <w:rPr>
          <w:rFonts w:ascii="仿宋_GB2312" w:hAnsi="仿宋_GB2312" w:cs="Adobe 仿宋 Std R;仿宋_GB2312" w:hint="eastAsia"/>
          <w:szCs w:val="32"/>
        </w:rPr>
        <w:t>市人民政府提请审查的城市总体规划、土地利用总体规划编制方案、修编方案；</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七</w:t>
      </w:r>
      <w:r>
        <w:rPr>
          <w:rFonts w:cs="Adobe 仿宋 Std R;仿宋_GB2312" w:hint="eastAsia" w:ascii="仿宋_GB2312" w:hAnsi="仿宋_GB2312"/>
          <w:szCs w:val="32"/>
        </w:rPr>
        <w:t>)</w:t>
      </w:r>
      <w:r>
        <w:rPr>
          <w:rFonts w:ascii="仿宋_GB2312" w:hAnsi="仿宋_GB2312" w:cs="Adobe 仿宋 Std R;仿宋_GB2312" w:hint="eastAsia"/>
          <w:szCs w:val="32"/>
        </w:rPr>
        <w:t>组织特定问题调查委员会，根据特定问题调查委员会的报告作出相应的决议；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八</w:t>
      </w:r>
      <w:r>
        <w:rPr>
          <w:rFonts w:cs="Adobe 仿宋 Std R;仿宋_GB2312" w:hint="eastAsia" w:ascii="仿宋_GB2312" w:hAnsi="仿宋_GB2312"/>
          <w:szCs w:val="32"/>
        </w:rPr>
        <w:t>)</w:t>
      </w:r>
      <w:r>
        <w:rPr>
          <w:rFonts w:ascii="仿宋_GB2312" w:hAnsi="仿宋_GB2312" w:cs="Adobe 仿宋 Std R;仿宋_GB2312" w:hint="eastAsia"/>
          <w:szCs w:val="32"/>
        </w:rPr>
        <w:t>市人民检察院检察长因不同意检察委员会多数人的决定而报请市人大常委会决定的重大问题；</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九</w:t>
      </w:r>
      <w:r>
        <w:rPr>
          <w:rFonts w:cs="Adobe 仿宋 Std R;仿宋_GB2312" w:hint="eastAsia" w:ascii="仿宋_GB2312" w:hAnsi="仿宋_GB2312"/>
          <w:szCs w:val="32"/>
        </w:rPr>
        <w:t>)</w:t>
      </w:r>
      <w:r>
        <w:rPr>
          <w:rFonts w:ascii="仿宋_GB2312" w:hAnsi="仿宋_GB2312" w:cs="Adobe 仿宋 Std R;仿宋_GB2312" w:hint="eastAsia"/>
          <w:szCs w:val="32"/>
        </w:rPr>
        <w:t>决定市树、市花，授予和撤销市级荣誉称号；</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w:t>
      </w:r>
      <w:r>
        <w:rPr>
          <w:rFonts w:cs="Adobe 仿宋 Std R;仿宋_GB2312" w:hint="eastAsia" w:ascii="仿宋_GB2312" w:hAnsi="仿宋_GB2312"/>
          <w:szCs w:val="32"/>
        </w:rPr>
        <w:t>)</w:t>
      </w:r>
      <w:r>
        <w:rPr>
          <w:rFonts w:ascii="仿宋_GB2312" w:hAnsi="仿宋_GB2312" w:cs="Adobe 仿宋 Std R;仿宋_GB2312" w:hint="eastAsia"/>
          <w:szCs w:val="32"/>
        </w:rPr>
        <w:t>与国外缔结友好城市；</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十一</w:t>
      </w:r>
      <w:r>
        <w:rPr>
          <w:rFonts w:cs="Adobe 仿宋 Std R;仿宋_GB2312" w:hint="eastAsia" w:ascii="仿宋_GB2312" w:hAnsi="仿宋_GB2312"/>
          <w:szCs w:val="32"/>
        </w:rPr>
        <w:t>)</w:t>
      </w:r>
      <w:r>
        <w:rPr>
          <w:rFonts w:ascii="仿宋_GB2312" w:hAnsi="仿宋_GB2312" w:cs="Adobe 仿宋 Std R;仿宋_GB2312" w:hint="eastAsia"/>
          <w:szCs w:val="32"/>
        </w:rPr>
        <w:t>撤销市人民政府的不适当的决定和命令；</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十二</w:t>
      </w:r>
      <w:r>
        <w:rPr>
          <w:rFonts w:cs="Adobe 仿宋 Std R;仿宋_GB2312" w:hint="eastAsia" w:ascii="仿宋_GB2312" w:hAnsi="仿宋_GB2312"/>
          <w:szCs w:val="32"/>
        </w:rPr>
        <w:t>)</w:t>
      </w:r>
      <w:r>
        <w:rPr>
          <w:rFonts w:ascii="仿宋_GB2312" w:hAnsi="仿宋_GB2312" w:cs="Adobe 仿宋 Std R;仿宋_GB2312" w:hint="eastAsia"/>
          <w:szCs w:val="32"/>
        </w:rPr>
        <w:t>撤销区县人民代表大会及其常务委员会的不适当的决议；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十三</w:t>
      </w:r>
      <w:r>
        <w:rPr>
          <w:rFonts w:cs="Adobe 仿宋 Std R;仿宋_GB2312" w:hint="eastAsia" w:ascii="仿宋_GB2312" w:hAnsi="仿宋_GB2312"/>
          <w:szCs w:val="32"/>
        </w:rPr>
        <w:t>)</w:t>
      </w:r>
      <w:r>
        <w:rPr>
          <w:rFonts w:ascii="仿宋_GB2312" w:hAnsi="仿宋_GB2312" w:cs="Adobe 仿宋 Std R;仿宋_GB2312" w:hint="eastAsia"/>
          <w:szCs w:val="32"/>
        </w:rPr>
        <w:t>市人大常委会认为需要决定的其他重大事项；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十四</w:t>
      </w:r>
      <w:r>
        <w:rPr>
          <w:rFonts w:cs="Adobe 仿宋 Std R;仿宋_GB2312" w:hint="eastAsia" w:ascii="仿宋_GB2312" w:hAnsi="仿宋_GB2312"/>
          <w:szCs w:val="32"/>
        </w:rPr>
        <w:t>)</w:t>
      </w:r>
      <w:r>
        <w:rPr>
          <w:rFonts w:ascii="仿宋_GB2312" w:hAnsi="仿宋_GB2312" w:cs="Adobe 仿宋 Std R;仿宋_GB2312" w:hint="eastAsia"/>
          <w:szCs w:val="32"/>
        </w:rPr>
        <w:t>市人民政府、市高级人民法院、市人民检察院认为需要提请审议、决定的其他重大事项。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第五条</w:t>
      </w:r>
      <w:r>
        <w:rPr>
          <w:rFonts w:ascii="仿宋_GB2312" w:hAnsi="仿宋_GB2312" w:cs="Adobe 仿宋 Std R;仿宋_GB2312" w:hint="eastAsia"/>
          <w:szCs w:val="32"/>
        </w:rPr>
        <w:t>　下列重大事项应当向市人大常委会报告：</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一</w:t>
      </w:r>
      <w:r>
        <w:rPr>
          <w:rFonts w:cs="Adobe 仿宋 Std R;仿宋_GB2312" w:hint="eastAsia" w:ascii="仿宋_GB2312" w:hAnsi="仿宋_GB2312"/>
          <w:szCs w:val="32"/>
        </w:rPr>
        <w:t>)</w:t>
      </w:r>
      <w:r>
        <w:rPr>
          <w:rFonts w:ascii="仿宋_GB2312" w:hAnsi="仿宋_GB2312" w:cs="Adobe 仿宋 Std R;仿宋_GB2312" w:hint="eastAsia"/>
          <w:szCs w:val="32"/>
        </w:rPr>
        <w:t>贯彻实施</w:t>
      </w:r>
      <w:hyperlink r:id="rId5">
        <w:r>
          <w:rPr>
            <w:rStyle w:val="Hyperlink"/>
            <w:rFonts w:hint="eastAsia"/>
          </w:rPr>
          <w:t>宪法</w:t>
        </w:r>
      </w:hyperlink>
      <w:r>
        <w:rPr>
          <w:rFonts w:ascii="仿宋_GB2312" w:hAnsi="仿宋_GB2312" w:cs="Adobe 仿宋 Std R;仿宋_GB2312" w:hint="eastAsia"/>
          <w:szCs w:val="32"/>
        </w:rPr>
        <w:t>、法律、行政法规、地方性法规、全国人民代表大会及其常务委员会以及市人民代表大会及其常务委员会决议、决定的重要情况；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二</w:t>
      </w:r>
      <w:r>
        <w:rPr>
          <w:rFonts w:cs="Adobe 仿宋 Std R;仿宋_GB2312" w:hint="eastAsia" w:ascii="仿宋_GB2312" w:hAnsi="仿宋_GB2312"/>
          <w:szCs w:val="32"/>
        </w:rPr>
        <w:t>)</w:t>
      </w:r>
      <w:r>
        <w:rPr>
          <w:rFonts w:ascii="仿宋_GB2312" w:hAnsi="仿宋_GB2312" w:cs="Adobe 仿宋 Std R;仿宋_GB2312" w:hint="eastAsia"/>
          <w:szCs w:val="32"/>
        </w:rPr>
        <w:t>国民经济和社会发展计划及预算执行情况；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三</w:t>
      </w:r>
      <w:r>
        <w:rPr>
          <w:rFonts w:cs="Adobe 仿宋 Std R;仿宋_GB2312" w:hint="eastAsia" w:ascii="仿宋_GB2312" w:hAnsi="仿宋_GB2312"/>
          <w:szCs w:val="32"/>
        </w:rPr>
        <w:t>)</w:t>
      </w:r>
      <w:r>
        <w:rPr>
          <w:rFonts w:ascii="仿宋_GB2312" w:hAnsi="仿宋_GB2312" w:cs="Adobe 仿宋 Std R;仿宋_GB2312" w:hint="eastAsia"/>
          <w:szCs w:val="32"/>
        </w:rPr>
        <w:t>市级预算执行和其他财政收支的审计工作情况；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四</w:t>
      </w:r>
      <w:r>
        <w:rPr>
          <w:rFonts w:cs="Adobe 仿宋 Std R;仿宋_GB2312" w:hint="eastAsia" w:ascii="仿宋_GB2312" w:hAnsi="仿宋_GB2312"/>
          <w:szCs w:val="32"/>
        </w:rPr>
        <w:t>)</w:t>
      </w:r>
      <w:r>
        <w:rPr>
          <w:rFonts w:ascii="仿宋_GB2312" w:hAnsi="仿宋_GB2312" w:cs="Adobe 仿宋 Std R;仿宋_GB2312" w:hint="eastAsia"/>
          <w:szCs w:val="32"/>
        </w:rPr>
        <w:t>区域经济发展规划和重点专项规划及其实施情况；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五</w:t>
      </w:r>
      <w:r>
        <w:rPr>
          <w:rFonts w:cs="Adobe 仿宋 Std R;仿宋_GB2312" w:hint="eastAsia" w:ascii="仿宋_GB2312" w:hAnsi="仿宋_GB2312"/>
          <w:szCs w:val="32"/>
        </w:rPr>
        <w:t>)</w:t>
      </w:r>
      <w:r>
        <w:rPr>
          <w:rFonts w:ascii="仿宋_GB2312" w:hAnsi="仿宋_GB2312" w:cs="Adobe 仿宋 Std R;仿宋_GB2312" w:hint="eastAsia"/>
          <w:szCs w:val="32"/>
        </w:rPr>
        <w:t>经济结构调整的进展情况；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六</w:t>
      </w:r>
      <w:r>
        <w:rPr>
          <w:rFonts w:cs="Adobe 仿宋 Std R;仿宋_GB2312" w:hint="eastAsia" w:ascii="仿宋_GB2312" w:hAnsi="仿宋_GB2312"/>
          <w:szCs w:val="32"/>
        </w:rPr>
        <w:t>)</w:t>
      </w:r>
      <w:r>
        <w:rPr>
          <w:rFonts w:ascii="仿宋_GB2312" w:hAnsi="仿宋_GB2312" w:cs="Adobe 仿宋 Std R;仿宋_GB2312" w:hint="eastAsia"/>
          <w:szCs w:val="32"/>
        </w:rPr>
        <w:t>国有资产的管理、运营情况；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七</w:t>
      </w:r>
      <w:r>
        <w:rPr>
          <w:rFonts w:cs="Adobe 仿宋 Std R;仿宋_GB2312" w:hint="eastAsia" w:ascii="仿宋_GB2312" w:hAnsi="仿宋_GB2312"/>
          <w:szCs w:val="32"/>
        </w:rPr>
        <w:t>)</w:t>
      </w:r>
      <w:r>
        <w:rPr>
          <w:rFonts w:ascii="仿宋_GB2312" w:hAnsi="仿宋_GB2312" w:cs="Adobe 仿宋 Std R;仿宋_GB2312" w:hint="eastAsia"/>
          <w:szCs w:val="32"/>
        </w:rPr>
        <w:t>预算外资金的使用、管理情况；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八</w:t>
      </w:r>
      <w:r>
        <w:rPr>
          <w:rFonts w:cs="Adobe 仿宋 Std R;仿宋_GB2312" w:hint="eastAsia" w:ascii="仿宋_GB2312" w:hAnsi="仿宋_GB2312"/>
          <w:szCs w:val="32"/>
        </w:rPr>
        <w:t>)</w:t>
      </w:r>
      <w:r>
        <w:rPr>
          <w:rFonts w:ascii="仿宋_GB2312" w:hAnsi="仿宋_GB2312" w:cs="Adobe 仿宋 Std R;仿宋_GB2312" w:hint="eastAsia"/>
          <w:szCs w:val="32"/>
        </w:rPr>
        <w:t>对经济发展、环境和自然资源保护有深远影响的重大建设项目的立项和进展情况；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九</w:t>
      </w:r>
      <w:r>
        <w:rPr>
          <w:rFonts w:cs="Adobe 仿宋 Std R;仿宋_GB2312" w:hint="eastAsia" w:ascii="仿宋_GB2312" w:hAnsi="仿宋_GB2312"/>
          <w:szCs w:val="32"/>
        </w:rPr>
        <w:t>)</w:t>
      </w:r>
      <w:r>
        <w:rPr>
          <w:rFonts w:ascii="仿宋_GB2312" w:hAnsi="仿宋_GB2312" w:cs="Adobe 仿宋 Std R;仿宋_GB2312" w:hint="eastAsia"/>
          <w:szCs w:val="32"/>
        </w:rPr>
        <w:t>农村经济发展、农村重大政策的贯彻实施等方面的重要情况；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w:t>
      </w:r>
      <w:r>
        <w:rPr>
          <w:rFonts w:cs="Adobe 仿宋 Std R;仿宋_GB2312" w:hint="eastAsia" w:ascii="仿宋_GB2312" w:hAnsi="仿宋_GB2312"/>
          <w:szCs w:val="32"/>
        </w:rPr>
        <w:t>)</w:t>
      </w:r>
      <w:r>
        <w:rPr>
          <w:rFonts w:ascii="仿宋_GB2312" w:hAnsi="仿宋_GB2312" w:cs="Adobe 仿宋 Std R;仿宋_GB2312" w:hint="eastAsia"/>
          <w:szCs w:val="32"/>
        </w:rPr>
        <w:t>城市总体规划中的重点专项规划的制定和执行情况；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十一</w:t>
      </w:r>
      <w:r>
        <w:rPr>
          <w:rFonts w:cs="Adobe 仿宋 Std R;仿宋_GB2312" w:hint="eastAsia" w:ascii="仿宋_GB2312" w:hAnsi="仿宋_GB2312"/>
          <w:szCs w:val="32"/>
        </w:rPr>
        <w:t>)</w:t>
      </w:r>
      <w:r>
        <w:rPr>
          <w:rFonts w:ascii="仿宋_GB2312" w:hAnsi="仿宋_GB2312" w:cs="Adobe 仿宋 Std R;仿宋_GB2312" w:hint="eastAsia"/>
          <w:szCs w:val="32"/>
        </w:rPr>
        <w:t>教育、科学、文化、卫生、体育等事业改革和发展的重要情况；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十二</w:t>
      </w:r>
      <w:r>
        <w:rPr>
          <w:rFonts w:cs="Adobe 仿宋 Std R;仿宋_GB2312" w:hint="eastAsia" w:ascii="仿宋_GB2312" w:hAnsi="仿宋_GB2312"/>
          <w:szCs w:val="32"/>
        </w:rPr>
        <w:t>)</w:t>
      </w:r>
      <w:r>
        <w:rPr>
          <w:rFonts w:ascii="仿宋_GB2312" w:hAnsi="仿宋_GB2312" w:cs="Adobe 仿宋 Std R;仿宋_GB2312" w:hint="eastAsia"/>
          <w:szCs w:val="32"/>
        </w:rPr>
        <w:t>直接涉及人民群众切身利益的重大改革方案和措施以及实施情况；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十三</w:t>
      </w:r>
      <w:r>
        <w:rPr>
          <w:rFonts w:cs="Adobe 仿宋 Std R;仿宋_GB2312" w:hint="eastAsia" w:ascii="仿宋_GB2312" w:hAnsi="仿宋_GB2312"/>
          <w:szCs w:val="32"/>
        </w:rPr>
        <w:t>)</w:t>
      </w:r>
      <w:r>
        <w:rPr>
          <w:rFonts w:ascii="仿宋_GB2312" w:hAnsi="仿宋_GB2312" w:cs="Adobe 仿宋 Std R;仿宋_GB2312" w:hint="eastAsia"/>
          <w:szCs w:val="32"/>
        </w:rPr>
        <w:t>有关社会稳定方面的重大事项；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十四</w:t>
      </w:r>
      <w:r>
        <w:rPr>
          <w:rFonts w:cs="Adobe 仿宋 Std R;仿宋_GB2312" w:hint="eastAsia" w:ascii="仿宋_GB2312" w:hAnsi="仿宋_GB2312"/>
          <w:szCs w:val="32"/>
        </w:rPr>
        <w:t>)</w:t>
      </w:r>
      <w:r>
        <w:rPr>
          <w:rFonts w:ascii="仿宋_GB2312" w:hAnsi="仿宋_GB2312" w:cs="Adobe 仿宋 Std R;仿宋_GB2312" w:hint="eastAsia"/>
          <w:szCs w:val="32"/>
        </w:rPr>
        <w:t>给国家、集体财产和人民生命财产造成严重损害的特大安全事故及其他重大事件的处理情况；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十五</w:t>
      </w:r>
      <w:r>
        <w:rPr>
          <w:rFonts w:cs="Adobe 仿宋 Std R;仿宋_GB2312" w:hint="eastAsia" w:ascii="仿宋_GB2312" w:hAnsi="仿宋_GB2312"/>
          <w:szCs w:val="32"/>
        </w:rPr>
        <w:t>)</w:t>
      </w:r>
      <w:r>
        <w:rPr>
          <w:rFonts w:ascii="仿宋_GB2312" w:hAnsi="仿宋_GB2312" w:cs="Adobe 仿宋 Std R;仿宋_GB2312" w:hint="eastAsia"/>
          <w:szCs w:val="32"/>
        </w:rPr>
        <w:t>市人民代表大会选举或市人大常委会任命的人员违法违纪造成重大影响的事件和处理；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十六</w:t>
      </w:r>
      <w:r>
        <w:rPr>
          <w:rFonts w:cs="Adobe 仿宋 Std R;仿宋_GB2312" w:hint="eastAsia" w:ascii="仿宋_GB2312" w:hAnsi="仿宋_GB2312"/>
          <w:szCs w:val="32"/>
        </w:rPr>
        <w:t>)</w:t>
      </w:r>
      <w:r>
        <w:rPr>
          <w:rFonts w:ascii="仿宋_GB2312" w:hAnsi="仿宋_GB2312" w:cs="Adobe 仿宋 Std R;仿宋_GB2312" w:hint="eastAsia"/>
          <w:szCs w:val="32"/>
        </w:rPr>
        <w:t>市人民政府、市高级人民法院、市人民检察院办理市人民代表大会代表议案及建议、批评和意见的情况；</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十七</w:t>
      </w:r>
      <w:r>
        <w:rPr>
          <w:rFonts w:cs="Adobe 仿宋 Std R;仿宋_GB2312" w:hint="eastAsia" w:ascii="仿宋_GB2312" w:hAnsi="仿宋_GB2312"/>
          <w:szCs w:val="32"/>
        </w:rPr>
        <w:t>)</w:t>
      </w:r>
      <w:r>
        <w:rPr>
          <w:rFonts w:ascii="仿宋_GB2312" w:hAnsi="仿宋_GB2312" w:cs="Adobe 仿宋 Std R;仿宋_GB2312" w:hint="eastAsia"/>
          <w:szCs w:val="32"/>
        </w:rPr>
        <w:t>市人大常委会交办的公民控告、申诉和社会反映强烈的重大案件的调查情况和处理；</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十八</w:t>
      </w:r>
      <w:r>
        <w:rPr>
          <w:rFonts w:cs="Adobe 仿宋 Std R;仿宋_GB2312" w:hint="eastAsia" w:ascii="仿宋_GB2312" w:hAnsi="仿宋_GB2312"/>
          <w:szCs w:val="32"/>
        </w:rPr>
        <w:t>)</w:t>
      </w:r>
      <w:r>
        <w:rPr>
          <w:rFonts w:ascii="仿宋_GB2312" w:hAnsi="仿宋_GB2312" w:cs="Adobe 仿宋 Std R;仿宋_GB2312" w:hint="eastAsia"/>
          <w:szCs w:val="32"/>
        </w:rPr>
        <w:t>市人大常委会认为市人民政府、市高级人民法院、市人民检察院需要报告的其他重大事项；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w:t>
      </w:r>
      <w:r>
        <w:rPr>
          <w:rFonts w:cs="Adobe 仿宋 Std R;仿宋_GB2312" w:hint="eastAsia" w:ascii="仿宋_GB2312" w:hAnsi="仿宋_GB2312"/>
          <w:szCs w:val="32"/>
        </w:rPr>
        <w:t>(</w:t>
      </w:r>
      <w:r>
        <w:rPr>
          <w:rFonts w:ascii="仿宋_GB2312" w:hAnsi="仿宋_GB2312" w:cs="Adobe 仿宋 Std R;仿宋_GB2312" w:hint="eastAsia"/>
          <w:szCs w:val="32"/>
        </w:rPr>
        <w:t>十九</w:t>
      </w:r>
      <w:r>
        <w:rPr>
          <w:rFonts w:cs="Adobe 仿宋 Std R;仿宋_GB2312" w:hint="eastAsia" w:ascii="仿宋_GB2312" w:hAnsi="仿宋_GB2312"/>
          <w:szCs w:val="32"/>
        </w:rPr>
        <w:t>)</w:t>
      </w:r>
      <w:r>
        <w:rPr>
          <w:rFonts w:ascii="仿宋_GB2312" w:hAnsi="仿宋_GB2312" w:cs="Adobe 仿宋 Std R;仿宋_GB2312" w:hint="eastAsia"/>
          <w:szCs w:val="32"/>
        </w:rPr>
        <w:t>市人民政府、市高级人民法院、市人民检察院认为需要报告的其他重大事项。</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第六条</w:t>
      </w:r>
      <w:r>
        <w:rPr>
          <w:rFonts w:ascii="仿宋_GB2312" w:hAnsi="仿宋_GB2312" w:cs="Adobe 仿宋 Std R;仿宋_GB2312" w:hint="eastAsia"/>
          <w:szCs w:val="32"/>
        </w:rPr>
        <w:t>　市人大常委会主任会议、市人民政府、市高级人民法院、市人民检察院、市人民代表大会专门委员会以及市人大常委会组成人员五人以上联名，可以向市人大常委会提出有关重大事项的议案和重大事项报告的建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szCs w:val="32"/>
        </w:rPr>
        <w:t>　　重大事项议案和报告建议的提出、处理和市人大常委会讨论、决定重大事项的程序，按照《</w:t>
      </w:r>
      <w:hyperlink r:id="rId6">
        <w:r>
          <w:rPr>
            <w:rStyle w:val="Hyperlink"/>
            <w:rFonts w:hint="eastAsia"/>
          </w:rPr>
          <w:t>天津市人民代表大会常务委员会议事规则</w:t>
        </w:r>
      </w:hyperlink>
      <w:r>
        <w:rPr>
          <w:rFonts w:ascii="仿宋_GB2312" w:hAnsi="仿宋_GB2312" w:cs="Adobe 仿宋 Std R;仿宋_GB2312" w:hint="eastAsia"/>
          <w:szCs w:val="32"/>
        </w:rPr>
        <w:t>》的规定进行。</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第七条</w:t>
      </w:r>
      <w:r>
        <w:rPr>
          <w:rFonts w:ascii="仿宋_GB2312" w:hAnsi="仿宋_GB2312" w:cs="Adobe 仿宋 Std R;仿宋_GB2312" w:hint="eastAsia"/>
          <w:szCs w:val="32"/>
        </w:rPr>
        <w:t>　市人民政府、市高级人民法院、市人民检察院向市人大常委会报告的重大事项，经市人大常委会主任会议决定，可以采取到会报告和书面报告两种形式。</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仿宋_GB2312" w:hAnsi="仿宋_GB2312" w:cs="Adobe 仿宋 Std R;仿宋_GB2312" w:hint="eastAsia"/>
          <w:szCs w:val="32"/>
        </w:rPr>
        <w:t>市人大常委会会议在讨论重大事项议案时，提议案机关或提议案人应当提供必要的附件和参阅材料，提议案机关的主要负责人或提议案人应当到会作出说明，回答市人大常委会组成人员的询问。</w:t>
      </w:r>
    </w:p>
    <w:p>
      <w:pPr>
        <w:pStyle w:val="Normal"/>
        <w:snapToGrid w:val="false"/>
        <w:spacing w:lineRule="exact" w:line="560" w:before="0" w:after="0"/>
        <w:contextualSpacing/>
        <w:rPr>
          <w:rFonts w:ascii="仿宋_GB2312" w:hAnsi="仿宋_GB2312" w:cs="Adobe 仿宋 Std R;仿宋_GB2312"/>
          <w:szCs w:val="32"/>
        </w:rPr>
      </w:pPr>
      <w:r>
        <w:rPr>
          <w:rFonts w:ascii="仿宋_GB2312" w:hAnsi="仿宋_GB2312" w:cs="Adobe 仿宋 Std R;仿宋_GB2312" w:hint="eastAsia"/>
          <w:b/>
          <w:bCs/>
          <w:smallCaps/>
          <w:szCs w:val="32"/>
        </w:rPr>
        <w:t>　　</w:t>
      </w:r>
      <w:r>
        <w:rPr>
          <w:rFonts w:ascii="黑体" w:hAnsi="黑体" w:cs="Adobe 仿宋 Std R;仿宋_GB2312" w:hint="eastAsia" w:eastAsia="黑体"/>
          <w:bCs/>
          <w:smallCaps/>
          <w:szCs w:val="32"/>
        </w:rPr>
        <w:t>第八条</w:t>
      </w:r>
      <w:r>
        <w:rPr>
          <w:rFonts w:ascii="仿宋_GB2312" w:hAnsi="仿宋_GB2312" w:cs="Adobe 仿宋 Std R;仿宋_GB2312" w:hint="eastAsia"/>
          <w:szCs w:val="32"/>
        </w:rPr>
        <w:t>　市人大常委会对重大事项作出决议、决定的，市人民政府、市高级人民法院、市人民检察院必须在市人大常委会规定期限内将执行情况报告市人大常委会。</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第九条</w:t>
      </w:r>
      <w:r>
        <w:rPr>
          <w:rFonts w:ascii="仿宋_GB2312" w:hAnsi="仿宋_GB2312" w:cs="Adobe 仿宋 Std R;仿宋_GB2312" w:hint="eastAsia"/>
          <w:szCs w:val="32"/>
        </w:rPr>
        <w:t>　市人民政府、市高级人民法院、市人民检察院违反本规定的，由市人大常委会责令限期纠正，并视其情况依法追究主要负责人的责任。</w:t>
      </w:r>
    </w:p>
    <w:p>
      <w:pPr>
        <w:pStyle w:val="Normal"/>
        <w:snapToGrid w:val="false"/>
        <w:spacing w:lineRule="exact" w:line="560" w:before="0" w:after="0"/>
        <w:ind w:firstLineChars="200" w:startChars="0" w:start="0" w:endChars="0" w:end="0"/>
        <w:contextualSpacing/>
        <w:rPr>
          <w:rFonts w:ascii="仿宋_GB2312" w:hAnsi="仿宋_GB2312" w:cs="Adobe 仿宋 Std R;仿宋_GB2312"/>
          <w:szCs w:val="32"/>
        </w:rPr>
      </w:pPr>
      <w:r>
        <w:rPr>
          <w:rFonts w:ascii="黑体" w:hAnsi="黑体" w:cs="Adobe 仿宋 Std R;仿宋_GB2312" w:hint="eastAsia" w:eastAsia="黑体"/>
          <w:bCs/>
          <w:smallCaps/>
          <w:szCs w:val="32"/>
        </w:rPr>
        <w:t>第十条</w:t>
      </w:r>
      <w:r>
        <w:rPr>
          <w:rFonts w:ascii="仿宋_GB2312" w:hAnsi="仿宋_GB2312" w:cs="Adobe 仿宋 Std R;仿宋_GB2312" w:hint="eastAsia"/>
          <w:szCs w:val="32"/>
        </w:rPr>
        <w:t>　本规定自</w:t>
      </w:r>
      <w:r>
        <w:rPr>
          <w:rFonts w:cs="Adobe 仿宋 Std R;仿宋_GB2312" w:hint="eastAsia" w:ascii="仿宋_GB2312" w:hAnsi="仿宋_GB2312"/>
          <w:szCs w:val="32"/>
        </w:rPr>
        <w:t>2002</w:t>
      </w:r>
      <w:r>
        <w:rPr>
          <w:rFonts w:ascii="仿宋_GB2312" w:hAnsi="仿宋_GB2312" w:cs="Adobe 仿宋 Std R;仿宋_GB2312" w:hint="eastAsia"/>
          <w:szCs w:val="32"/>
        </w:rPr>
        <w:t>年</w:t>
      </w:r>
      <w:r>
        <w:rPr>
          <w:rFonts w:cs="Adobe 仿宋 Std R;仿宋_GB2312" w:hint="eastAsia" w:ascii="仿宋_GB2312" w:hAnsi="仿宋_GB2312"/>
          <w:szCs w:val="32"/>
        </w:rPr>
        <w:t>12</w:t>
      </w:r>
      <w:r>
        <w:rPr>
          <w:rFonts w:ascii="仿宋_GB2312" w:hAnsi="仿宋_GB2312" w:cs="Adobe 仿宋 Std R;仿宋_GB2312" w:hint="eastAsia"/>
          <w:szCs w:val="32"/>
        </w:rPr>
        <w:t>月</w:t>
      </w:r>
      <w:r>
        <w:rPr>
          <w:rFonts w:cs="Adobe 仿宋 Std R;仿宋_GB2312" w:hint="eastAsia" w:ascii="仿宋_GB2312" w:hAnsi="仿宋_GB2312"/>
          <w:szCs w:val="32"/>
        </w:rPr>
        <w:t>1</w:t>
      </w:r>
      <w:r>
        <w:rPr>
          <w:rFonts w:ascii="仿宋_GB2312" w:hAnsi="仿宋_GB2312" w:cs="Adobe 仿宋 Std R;仿宋_GB2312" w:hint="eastAsia"/>
          <w:szCs w:val="32"/>
        </w:rPr>
        <w:t>日起施行。</w:t>
      </w:r>
    </w:p>
    <w:p>
      <w:pPr>
        <w:pStyle w:val="Style17"/>
        <w:snapToGrid w:val="false"/>
        <w:spacing w:lineRule="exact" w:line="560" w:before="0" w:after="0"/>
        <w:contextualSpacing/>
        <w:jc w:val="center"/>
        <w:rPr>
          <w:rFonts w:ascii="方正小标宋简体" w:hAnsi="方正小标宋简体" w:eastAsia="方正小标宋简体" w:cs="Adobe 仿宋 Std R;仿宋_GB2312"/>
          <w:bCs/>
          <w:smallCaps/>
          <w:sz w:val="44"/>
          <w:szCs w:val="44"/>
        </w:rPr>
      </w:pPr>
      <w:r>
        <w:rPr>
          <w:rFonts w:eastAsia="方正小标宋简体" w:cs="Adobe 仿宋 Std R;仿宋_GB2312" w:ascii="方正小标宋简体" w:hAnsi="方正小标宋简体"/>
          <w:bCs/>
          <w:smallCaps/>
          <w:sz w:val="44"/>
          <w:szCs w:val="44"/>
        </w:rPr>
      </w:r>
    </w:p>
    <w:p>
      <w:pPr>
        <w:pStyle w:val="Normal"/>
        <w:spacing w:lineRule="exact" w:line="560" w:before="0" w:after="0"/>
        <w:contextualSpacing/>
        <w:rPr>
          <w:rFonts w:ascii="仿宋_GB2312" w:hAnsi="仿宋_GB2312" w:eastAsia="方正小标宋简体" w:cs="Arial"/>
          <w:bCs/>
          <w:smallCaps/>
          <w:sz w:val="44"/>
          <w:szCs w:val="32"/>
        </w:rPr>
      </w:pPr>
      <w:r>
        <w:rPr>
          <w:rFonts w:eastAsia="方正小标宋简体" w:cs="Arial" w:ascii="仿宋_GB2312" w:hAnsi="仿宋_GB2312"/>
          <w:bCs/>
          <w:smallCaps/>
          <w:sz w:val="44"/>
          <w:szCs w:val="32"/>
        </w:rPr>
      </w:r>
    </w:p>
    <w:sectPr>
      <w:footerReference w:type="even" r:id="rId7"/>
      <w:footerReference w:type="default" r:id="rId8"/>
      <w:type w:val="nextPage"/>
      <w:pgSz w:w="11906" w:h="16838"/>
      <w:pgMar w:left="1531" w:right="1531" w:gutter="0" w:header="0" w:top="2098" w:footer="1644" w:bottom="1985"/>
      <w:pgNumType w:fmt="decimal"/>
      <w:formProt w:val="false"/>
      <w:textDirection w:val="lrTb"/>
      <w:docGrid w:type="linesAndChar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文星仿宋">
    <w:altName w:val="宋体"/>
    <w:charset w:val="86"/>
    <w:family w:val="auto"/>
    <w:pitch w:val="default"/>
  </w:font>
  <w:font w:name="仿宋_GB2312">
    <w:charset w:val="86"/>
    <w:family w:val="modern"/>
    <w:pitch w:val="default"/>
  </w:font>
  <w:font w:name="宋体">
    <w:charset w:val="86"/>
    <w:family w:val="auto"/>
    <w:pitch w:val="default"/>
  </w:font>
  <w:font w:name="黑体">
    <w:charset w:val="86"/>
    <w:family w:val="auto"/>
    <w:pitch w:val="default"/>
  </w:font>
  <w:font w:name="楷体_GB2312">
    <w:charset w:val="86"/>
    <w:family w:val="modern"/>
    <w:pitch w:val="default"/>
  </w:font>
  <w:font w:name="华文宋体">
    <w:charset w:val="86"/>
    <w:family w:val="auto"/>
    <w:pitch w:val="default"/>
  </w:font>
  <w:font w:name="方正小标宋简体">
    <w:charset w:val="86"/>
    <w:family w:val="script"/>
    <w:pitch w:val="default"/>
  </w:font>
  <w:font w:name="Liberation Sans">
    <w:altName w:val="Arial"/>
    <w:charset w:val="01" w:characterSet="utf-8"/>
    <w:family w:val="swiss"/>
    <w:pitch w:val="variable"/>
  </w:font>
  <w:font w:name="Verdana">
    <w:charset w:val="00" w:characterSet="windows-1252"/>
    <w:family w:val="swiss"/>
    <w:pitch w:val="default"/>
  </w:font>
  <w:font w:name="Tahoma">
    <w:charset w:val="00" w:characterSet="windows-1252"/>
    <w:family w:val="swiss"/>
    <w:pitch w:val="default"/>
  </w:font>
  <w:font w:name="Arial Unicode MS">
    <w:charset w:val="86"/>
    <w:family w:val="swiss"/>
    <w:pitch w:val="default"/>
  </w:font>
  <w:font w:name="Adobe 仿宋 Std R">
    <w:altName w:val="仿宋_GB2312"/>
    <w:charset w:val="86"/>
    <w:family w:val="roma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2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rFonts w:hint="eastAsia"/>
      </w:rPr>
      <w:t>　　　　　　　　　　　　　　　　　　　　　　　　　　　　　　　　　　　　　　　　　</w:t>
    </w: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p>
    <w:pPr>
      <w:pStyle w:val="Footer"/>
      <w:rPr/>
    </w:pPr>
    <w:r>
      <w:rPr/>
    </w:r>
  </w:p>
</w:ftr>
</file>

<file path=word/settings.xml><?xml version="1.0" encoding="utf-8"?>
<w:settings xmlns:w="http://schemas.openxmlformats.org/wordprocessingml/2006/main">
  <w:zoom w:percent="68"/>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CharChar4">
    <w:name w:val="Char Char4"/>
    <w:basedOn w:val="Style14"/>
    <w:qFormat/>
    <w:rPr>
      <w:rFonts w:ascii="文星仿宋;宋体" w:hAnsi="文星仿宋;宋体" w:eastAsia="文星仿宋;宋体" w:cs="文星仿宋;宋体" w:hint="eastAsia"/>
      <w:kern w:val="2"/>
      <w:sz w:val="32"/>
      <w:szCs w:val="24"/>
      <w:lang w:bidi="ar-SA"/>
    </w:rPr>
  </w:style>
  <w:style w:type="character" w:styleId="2CharChar">
    <w:name w:val="样式2 Char Char"/>
    <w:basedOn w:val="Style14"/>
    <w:qFormat/>
    <w:rPr>
      <w:rFonts w:ascii="仿宋_GB2312" w:hAnsi="仿宋_GB2312" w:eastAsia="仿宋_GB2312" w:cs="Times New Roman"/>
      <w:b/>
      <w:bCs/>
      <w:smallCaps/>
      <w:color w:val="000000"/>
      <w:kern w:val="2"/>
      <w:sz w:val="32"/>
      <w:szCs w:val="32"/>
    </w:rPr>
  </w:style>
  <w:style w:type="character" w:styleId="CharChar">
    <w:name w:val="页眉 Char Char"/>
    <w:basedOn w:val="Style14"/>
    <w:qFormat/>
    <w:rPr>
      <w:kern w:val="2"/>
      <w:sz w:val="18"/>
      <w:szCs w:val="18"/>
    </w:rPr>
  </w:style>
  <w:style w:type="character" w:styleId="2Char">
    <w:name w:val="正文文本缩进 2 Char"/>
    <w:basedOn w:val="Style14"/>
    <w:qFormat/>
    <w:rPr>
      <w:rFonts w:ascii="Times New Roman" w:hAnsi="Times New Roman" w:eastAsia="华文仿宋" w:cs="Times New Roman"/>
      <w:kern w:val="2"/>
      <w:sz w:val="32"/>
      <w:szCs w:val="32"/>
    </w:rPr>
  </w:style>
  <w:style w:type="character" w:styleId="Char1">
    <w:name w:val="纯文本 Char1"/>
    <w:basedOn w:val="Style14"/>
    <w:qFormat/>
    <w:rPr>
      <w:rFonts w:ascii="宋体" w:hAnsi="宋体" w:cs="Courier New"/>
      <w:kern w:val="2"/>
      <w:sz w:val="21"/>
      <w:szCs w:val="21"/>
    </w:rPr>
  </w:style>
  <w:style w:type="character" w:styleId="3Char">
    <w:name w:val="标题3 Char"/>
    <w:basedOn w:val="Char1"/>
    <w:qFormat/>
    <w:rPr>
      <w:rFonts w:ascii="黑体" w:hAnsi="黑体" w:eastAsia="黑体" w:cs="宋体"/>
      <w:sz w:val="32"/>
      <w:szCs w:val="32"/>
    </w:rPr>
  </w:style>
  <w:style w:type="character" w:styleId="Strong">
    <w:name w:val="Strong"/>
    <w:basedOn w:val="Style14"/>
    <w:qFormat/>
    <w:rPr>
      <w:b/>
      <w:bCs/>
    </w:rPr>
  </w:style>
  <w:style w:type="character" w:styleId="PageNumber">
    <w:name w:val="page number"/>
    <w:basedOn w:val="Style14"/>
    <w:rPr/>
  </w:style>
  <w:style w:type="character" w:styleId="Emphasis">
    <w:name w:val="Emphasis"/>
    <w:basedOn w:val="Style14"/>
    <w:qFormat/>
    <w:rPr>
      <w:i w:val="false"/>
      <w:iCs w:val="false"/>
      <w:color w:val="CC0000"/>
    </w:rPr>
  </w:style>
  <w:style w:type="character" w:styleId="Hyperlink">
    <w:name w:val="Hyperlink"/>
    <w:basedOn w:val="Style14"/>
    <w:rPr>
      <w:color w:val="0000FF"/>
      <w:u w:val="single"/>
    </w:rPr>
  </w:style>
  <w:style w:type="character" w:styleId="CharChar1">
    <w:name w:val="纯文本 Char Char"/>
    <w:basedOn w:val="Style14"/>
    <w:qFormat/>
    <w:rPr>
      <w:rFonts w:ascii="宋体" w:hAnsi="宋体" w:eastAsia="仿宋_GB2312" w:cs="Courier New"/>
      <w:sz w:val="32"/>
      <w:szCs w:val="32"/>
      <w:lang w:bidi="ar-SA"/>
    </w:rPr>
  </w:style>
  <w:style w:type="character" w:styleId="Char11">
    <w:name w:val="正文文本 Char1"/>
    <w:basedOn w:val="Style14"/>
    <w:qFormat/>
    <w:rPr>
      <w:rFonts w:ascii="Times New Roman" w:hAnsi="Times New Roman" w:eastAsia="文星仿宋;宋体" w:cs="Times New Roman"/>
      <w:kern w:val="2"/>
      <w:sz w:val="32"/>
      <w:szCs w:val="24"/>
    </w:rPr>
  </w:style>
  <w:style w:type="character" w:styleId="Char">
    <w:name w:val="正文文本缩进 Char"/>
    <w:basedOn w:val="Style14"/>
    <w:qFormat/>
    <w:rPr>
      <w:rFonts w:ascii="Times New Roman" w:hAnsi="Times New Roman" w:eastAsia="仿宋_GB2312" w:cs="Times New Roman"/>
      <w:kern w:val="2"/>
      <w:sz w:val="32"/>
      <w:szCs w:val="22"/>
    </w:rPr>
  </w:style>
  <w:style w:type="character" w:styleId="Char2">
    <w:name w:val="普通(网站) Char"/>
    <w:basedOn w:val="Style14"/>
    <w:qFormat/>
    <w:rPr>
      <w:rFonts w:ascii="宋体" w:hAnsi="宋体" w:cs="宋体"/>
      <w:sz w:val="24"/>
      <w:szCs w:val="24"/>
    </w:rPr>
  </w:style>
  <w:style w:type="character" w:styleId="2Char1">
    <w:name w:val="标题2 Char"/>
    <w:basedOn w:val="Char2"/>
    <w:qFormat/>
    <w:rPr>
      <w:rFonts w:ascii="楷体_GB2312" w:hAnsi="楷体_GB2312" w:eastAsia="楷体_GB2312"/>
      <w:bCs/>
      <w:smallCaps/>
      <w:color w:val="000000"/>
      <w:sz w:val="32"/>
      <w:szCs w:val="32"/>
    </w:rPr>
  </w:style>
  <w:style w:type="character" w:styleId="Char3">
    <w:name w:val="纯文本 Char"/>
    <w:basedOn w:val="Style14"/>
    <w:qFormat/>
    <w:rPr>
      <w:rFonts w:ascii="华文宋体" w:hAnsi="华文宋体" w:eastAsia="仿宋_GB2312" w:cs="Courier New"/>
      <w:kern w:val="2"/>
      <w:sz w:val="32"/>
      <w:szCs w:val="21"/>
    </w:rPr>
  </w:style>
  <w:style w:type="character" w:styleId="1CharChar">
    <w:name w:val="样式1 Char Char"/>
    <w:basedOn w:val="Char3"/>
    <w:qFormat/>
    <w:rPr>
      <w:rFonts w:ascii="楷体_GB2312" w:hAnsi="楷体_GB2312" w:eastAsia="楷体_GB2312" w:cs="宋体"/>
      <w:sz w:val="32"/>
      <w:szCs w:val="32"/>
    </w:rPr>
  </w:style>
  <w:style w:type="character" w:styleId="3CharChar">
    <w:name w:val="样式3 Char Char"/>
    <w:basedOn w:val="2CharChar"/>
    <w:qFormat/>
    <w:rPr/>
  </w:style>
  <w:style w:type="character" w:styleId="Char4">
    <w:name w:val="批注框文本 Char"/>
    <w:basedOn w:val="Style14"/>
    <w:qFormat/>
    <w:rPr>
      <w:rFonts w:ascii="Times New Roman" w:hAnsi="Times New Roman" w:eastAsia="仿宋_GB2312" w:cs="Times New Roman"/>
      <w:kern w:val="2"/>
      <w:sz w:val="18"/>
      <w:szCs w:val="18"/>
    </w:rPr>
  </w:style>
  <w:style w:type="character" w:styleId="2CharChar1">
    <w:name w:val="标题2 Char Char"/>
    <w:basedOn w:val="Char2"/>
    <w:qFormat/>
    <w:rPr>
      <w:rFonts w:ascii="楷体_GB2312" w:hAnsi="楷体_GB2312" w:eastAsia="楷体_GB2312"/>
      <w:bCs/>
      <w:smallCaps/>
      <w:color w:val="000000"/>
      <w:sz w:val="32"/>
      <w:szCs w:val="32"/>
    </w:rPr>
  </w:style>
  <w:style w:type="character" w:styleId="CharChar7">
    <w:name w:val="Char Char7"/>
    <w:basedOn w:val="Style14"/>
    <w:qFormat/>
    <w:rPr>
      <w:rFonts w:ascii="宋体" w:hAnsi="宋体" w:eastAsia="宋体" w:cs="Courier New" w:hint="eastAsia"/>
      <w:kern w:val="2"/>
      <w:sz w:val="21"/>
      <w:szCs w:val="21"/>
      <w:lang w:bidi="ar-SA"/>
    </w:rPr>
  </w:style>
  <w:style w:type="character" w:styleId="CharChar8">
    <w:name w:val="Char Char8"/>
    <w:basedOn w:val="Style14"/>
    <w:qFormat/>
    <w:rPr>
      <w:rFonts w:ascii="宋体" w:hAnsi="宋体" w:eastAsia="宋体" w:cs="宋体" w:hint="eastAsia"/>
      <w:sz w:val="24"/>
      <w:szCs w:val="24"/>
      <w:lang w:bidi="ar-SA"/>
    </w:rPr>
  </w:style>
  <w:style w:type="character" w:styleId="1Char">
    <w:name w:val="标题1 Char"/>
    <w:basedOn w:val="Char2"/>
    <w:qFormat/>
    <w:rPr>
      <w:rFonts w:ascii="方正小标宋简体" w:hAnsi="方正小标宋简体" w:eastAsia="方正小标宋简体"/>
      <w:bCs/>
      <w:smallCaps/>
      <w:color w:val="000000"/>
      <w:sz w:val="32"/>
      <w:szCs w:val="44"/>
      <w:lang w:bidi="ar-SA"/>
    </w:rPr>
  </w:style>
  <w:style w:type="character" w:styleId="Char5">
    <w:name w:val="正文文本 Char"/>
    <w:basedOn w:val="Style14"/>
    <w:qFormat/>
    <w:rPr>
      <w:rFonts w:ascii="Times New Roman" w:hAnsi="Times New Roman" w:eastAsia="文星仿宋;宋体" w:cs="Times New Roman"/>
      <w:kern w:val="2"/>
      <w:sz w:val="32"/>
      <w:szCs w:val="24"/>
    </w:rPr>
  </w:style>
  <w:style w:type="character" w:styleId="test1">
    <w:name w:val="test1"/>
    <w:basedOn w:val="Style14"/>
    <w:qFormat/>
    <w:rPr>
      <w:sz w:val="25"/>
      <w:szCs w:val="25"/>
    </w:rPr>
  </w:style>
  <w:style w:type="character" w:styleId="3Char1">
    <w:name w:val="正文文本缩进 3 Char"/>
    <w:basedOn w:val="Style14"/>
    <w:qFormat/>
    <w:rPr>
      <w:rFonts w:ascii="Times New Roman" w:hAnsi="Times New Roman" w:eastAsia="仿宋_GB2312" w:cs="Times New Roman"/>
      <w:kern w:val="2"/>
      <w:sz w:val="16"/>
      <w:szCs w:val="16"/>
    </w:rPr>
  </w:style>
  <w:style w:type="character" w:styleId="Char6">
    <w:name w:val="页眉 Char"/>
    <w:basedOn w:val="Style14"/>
    <w:qFormat/>
    <w:rPr>
      <w:rFonts w:ascii="Times New Roman" w:hAnsi="Times New Roman" w:eastAsia="仿宋_GB2312" w:cs="Times New Roman"/>
      <w:kern w:val="2"/>
      <w:sz w:val="18"/>
      <w:szCs w:val="18"/>
    </w:rPr>
  </w:style>
  <w:style w:type="character" w:styleId="CharChar2">
    <w:name w:val="日期 Char Char"/>
    <w:basedOn w:val="Style14"/>
    <w:qFormat/>
    <w:rPr>
      <w:rFonts w:ascii="仿宋_GB2312" w:hAnsi="仿宋_GB2312" w:eastAsia="仿宋_GB2312"/>
      <w:kern w:val="2"/>
      <w:sz w:val="32"/>
      <w:szCs w:val="32"/>
      <w:lang w:bidi="ar-SA"/>
    </w:rPr>
  </w:style>
  <w:style w:type="character" w:styleId="3CharChar1">
    <w:name w:val="标题3 Char Char"/>
    <w:basedOn w:val="Char3"/>
    <w:qFormat/>
    <w:rPr>
      <w:rFonts w:ascii="黑体" w:hAnsi="黑体" w:eastAsia="黑体" w:cs="宋体"/>
      <w:sz w:val="32"/>
      <w:szCs w:val="32"/>
    </w:rPr>
  </w:style>
  <w:style w:type="character" w:styleId="CharChar3">
    <w:name w:val="正文文本 Char Char"/>
    <w:basedOn w:val="Style14"/>
    <w:qFormat/>
    <w:rPr>
      <w:rFonts w:eastAsia="仿宋_GB2312"/>
      <w:kern w:val="2"/>
      <w:sz w:val="32"/>
      <w:szCs w:val="24"/>
    </w:rPr>
  </w:style>
  <w:style w:type="character" w:styleId="2Char2">
    <w:name w:val="正文文本 2 Char"/>
    <w:basedOn w:val="Style14"/>
    <w:qFormat/>
    <w:rPr>
      <w:rFonts w:eastAsia="仿宋_GB2312"/>
      <w:kern w:val="2"/>
      <w:sz w:val="32"/>
      <w:szCs w:val="24"/>
      <w:lang w:bidi="ar-SA"/>
    </w:rPr>
  </w:style>
  <w:style w:type="character" w:styleId="2Char3">
    <w:name w:val="样式2 Char"/>
    <w:basedOn w:val="Style14"/>
    <w:qFormat/>
    <w:rPr>
      <w:rFonts w:ascii="仿宋_GB2312" w:hAnsi="仿宋_GB2312" w:eastAsia="仿宋_GB2312" w:cs="Times New Roman"/>
      <w:b/>
      <w:bCs/>
      <w:smallCaps/>
      <w:color w:val="000000"/>
      <w:kern w:val="2"/>
      <w:sz w:val="32"/>
      <w:szCs w:val="32"/>
    </w:rPr>
  </w:style>
  <w:style w:type="character" w:styleId="3Char2">
    <w:name w:val="样式3 Char"/>
    <w:basedOn w:val="2Char3"/>
    <w:qFormat/>
    <w:rPr/>
  </w:style>
  <w:style w:type="character" w:styleId="CharChar5">
    <w:name w:val="正文文本缩进 Char Char"/>
    <w:basedOn w:val="Style14"/>
    <w:qFormat/>
    <w:rPr>
      <w:rFonts w:ascii="仿宋_GB2312" w:hAnsi="仿宋_GB2312" w:eastAsia="仿宋_GB2312"/>
      <w:kern w:val="2"/>
      <w:sz w:val="32"/>
      <w:szCs w:val="32"/>
    </w:rPr>
  </w:style>
  <w:style w:type="character" w:styleId="CharChar6">
    <w:name w:val="页脚 Char Char"/>
    <w:basedOn w:val="Style14"/>
    <w:qFormat/>
    <w:rPr>
      <w:rFonts w:eastAsia="仿宋_GB2312"/>
      <w:kern w:val="2"/>
      <w:sz w:val="18"/>
      <w:szCs w:val="18"/>
    </w:rPr>
  </w:style>
  <w:style w:type="character" w:styleId="HTMLCharChar">
    <w:name w:val="HTML 预设格式 Char Char"/>
    <w:basedOn w:val="Style14"/>
    <w:qFormat/>
    <w:rPr>
      <w:rFonts w:ascii="宋体" w:hAnsi="宋体" w:eastAsia="宋体" w:cs="宋体"/>
      <w:sz w:val="24"/>
      <w:szCs w:val="24"/>
      <w:lang w:bidi="ar-SA"/>
    </w:rPr>
  </w:style>
  <w:style w:type="character" w:styleId="3CharChar2">
    <w:name w:val="正文文本缩进 3 Char Char"/>
    <w:basedOn w:val="Style14"/>
    <w:qFormat/>
    <w:rPr>
      <w:rFonts w:eastAsia="仿宋_GB2312"/>
      <w:kern w:val="2"/>
      <w:sz w:val="32"/>
      <w:szCs w:val="24"/>
    </w:rPr>
  </w:style>
  <w:style w:type="character" w:styleId="Char7">
    <w:name w:val="页脚 Char"/>
    <w:basedOn w:val="Style14"/>
    <w:qFormat/>
    <w:rPr>
      <w:rFonts w:ascii="宋体" w:hAnsi="宋体" w:cs="宋体"/>
      <w:sz w:val="18"/>
      <w:szCs w:val="18"/>
    </w:rPr>
  </w:style>
  <w:style w:type="character" w:styleId="1CharChar1">
    <w:name w:val="标题1 Char Char"/>
    <w:basedOn w:val="Char2"/>
    <w:qFormat/>
    <w:rPr>
      <w:rFonts w:ascii="方正小标宋简体" w:hAnsi="方正小标宋简体" w:eastAsia="方正小标宋简体"/>
      <w:bCs/>
      <w:smallCaps/>
      <w:color w:val="000000"/>
      <w:sz w:val="32"/>
      <w:szCs w:val="44"/>
      <w:lang w:bidi="ar-SA"/>
    </w:rPr>
  </w:style>
  <w:style w:type="character" w:styleId="2CharChar2">
    <w:name w:val="正文文本缩进 2 Char Char"/>
    <w:basedOn w:val="Style14"/>
    <w:qFormat/>
    <w:rPr>
      <w:rFonts w:eastAsia="仿宋_GB2312"/>
      <w:b/>
      <w:bCs/>
      <w:kern w:val="2"/>
      <w:sz w:val="32"/>
      <w:szCs w:val="24"/>
    </w:rPr>
  </w:style>
  <w:style w:type="character" w:styleId="Char12">
    <w:name w:val="页脚 Char1"/>
    <w:basedOn w:val="Style14"/>
    <w:qFormat/>
    <w:rPr>
      <w:rFonts w:ascii="宋体" w:hAnsi="宋体" w:cs="宋体"/>
      <w:sz w:val="18"/>
      <w:szCs w:val="18"/>
    </w:rPr>
  </w:style>
  <w:style w:type="character" w:styleId="1Char1">
    <w:name w:val="样式1 Char"/>
    <w:basedOn w:val="Char1"/>
    <w:qFormat/>
    <w:rPr>
      <w:rFonts w:ascii="楷体_GB2312" w:hAnsi="楷体_GB2312" w:eastAsia="楷体_GB2312" w:cs="宋体"/>
      <w:sz w:val="32"/>
      <w:szCs w:val="32"/>
    </w:rPr>
  </w:style>
  <w:style w:type="character" w:styleId="3Char11">
    <w:name w:val="正文文本缩进 3 Char1"/>
    <w:basedOn w:val="Style14"/>
    <w:qFormat/>
    <w:rPr>
      <w:rFonts w:ascii="Times New Roman" w:hAnsi="Times New Roman" w:eastAsia="仿宋_GB2312" w:cs="Times New Roman"/>
      <w:kern w:val="2"/>
      <w:sz w:val="16"/>
      <w:szCs w:val="16"/>
    </w:rPr>
  </w:style>
  <w:style w:type="character" w:styleId="2Char11">
    <w:name w:val="正文文本缩进 2 Char1"/>
    <w:basedOn w:val="Style14"/>
    <w:qFormat/>
    <w:rPr>
      <w:rFonts w:ascii="Times New Roman" w:hAnsi="Times New Roman" w:eastAsia="华文仿宋" w:cs="Times New Roman"/>
      <w:kern w:val="2"/>
      <w:sz w:val="32"/>
      <w:szCs w:val="32"/>
    </w:rPr>
  </w:style>
  <w:style w:type="character" w:styleId="Char13">
    <w:name w:val="正文文本缩进 Char1"/>
    <w:basedOn w:val="Style14"/>
    <w:qFormat/>
    <w:rPr>
      <w:rFonts w:ascii="Times New Roman" w:hAnsi="Times New Roman" w:eastAsia="仿宋_GB2312" w:cs="Times New Roman"/>
      <w:kern w:val="2"/>
      <w:sz w:val="32"/>
      <w:szCs w:val="22"/>
    </w:rPr>
  </w:style>
  <w:style w:type="character" w:styleId="Char8">
    <w:name w:val="日期 Char"/>
    <w:basedOn w:val="Style14"/>
    <w:qFormat/>
    <w:rPr>
      <w:rFonts w:ascii="仿宋_GB2312" w:hAnsi="仿宋_GB2312" w:eastAsia="仿宋_GB2312"/>
      <w:kern w:val="2"/>
      <w:sz w:val="32"/>
      <w:szCs w:val="32"/>
      <w:lang w:bidi="ar-SA"/>
    </w:rPr>
  </w:style>
  <w:style w:type="character" w:styleId="HTMLChar">
    <w:name w:val="HTML 预设格式 Char"/>
    <w:basedOn w:val="Style14"/>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宋体"/>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BodyTextIndent">
    <w:name w:val="Body Text Indent"/>
    <w:basedOn w:val="Normal"/>
    <w:pPr>
      <w:spacing w:before="0" w:after="120"/>
      <w:ind w:firstLineChars="0" w:firstLine="0" w:startChars="200" w:endChars="0" w:end="0"/>
    </w:pPr>
    <w:rPr/>
  </w:style>
  <w:style w:type="paragraph" w:styleId="Style15">
    <w:name w:val="文档结构图"/>
    <w:basedOn w:val="Normal"/>
    <w:qFormat/>
    <w:pPr>
      <w:shd w:fill="000080" w:val="clear"/>
    </w:pPr>
    <w:rPr>
      <w:szCs w:val="24"/>
    </w:rPr>
  </w:style>
  <w:style w:type="paragraph" w:styleId="2">
    <w:name w:val="正文文本 2"/>
    <w:basedOn w:val="Normal"/>
    <w:qFormat/>
    <w:pPr>
      <w:spacing w:lineRule="auto" w:line="480" w:before="0" w:after="120"/>
    </w:pPr>
    <w:rPr>
      <w:szCs w:val="24"/>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Style16">
    <w:name w:val="纯文本"/>
    <w:basedOn w:val="Normal"/>
    <w:qFormat/>
    <w:pPr/>
    <w:rPr>
      <w:rFonts w:ascii="华文宋体" w:hAnsi="华文宋体" w:cs="Courier New"/>
      <w:szCs w:val="21"/>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3">
    <w:name w:val="标题3"/>
    <w:basedOn w:val="Style16"/>
    <w:qFormat/>
    <w:pPr>
      <w:ind w:firstLineChars="200" w:startChars="0" w:start="0" w:endChars="0" w:end="0"/>
      <w:jc w:val="center"/>
    </w:pPr>
    <w:rPr>
      <w:rFonts w:ascii="黑体" w:hAnsi="黑体" w:eastAsia="黑体" w:cs="宋体"/>
      <w:szCs w:val="32"/>
    </w:rPr>
  </w:style>
  <w:style w:type="paragraph" w:styleId="Style17">
    <w:name w:val="普通(网站)"/>
    <w:basedOn w:val="Normal"/>
    <w:qFormat/>
    <w:pPr>
      <w:widowControl/>
      <w:spacing w:before="280" w:after="280"/>
      <w:jc w:val="start"/>
    </w:pPr>
    <w:rPr>
      <w:rFonts w:ascii="宋体" w:hAnsi="宋体" w:cs="宋体"/>
      <w:sz w:val="24"/>
      <w:szCs w:val="24"/>
    </w:rPr>
  </w:style>
  <w:style w:type="paragraph" w:styleId="Style18">
    <w:name w:val="批注框文本"/>
    <w:basedOn w:val="Normal"/>
    <w:qFormat/>
    <w:pPr/>
    <w:rPr>
      <w:sz w:val="18"/>
      <w:szCs w:val="18"/>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19">
    <w:name w:val="日期"/>
    <w:basedOn w:val="Normal"/>
    <w:next w:val="Normal"/>
    <w:qFormat/>
    <w:pPr>
      <w:ind w:firstLineChars="0" w:firstLine="0" w:startChars="2500" w:endChars="0" w:end="0"/>
    </w:pPr>
    <w:rPr>
      <w:rFonts w:ascii="仿宋_GB2312" w:hAnsi="仿宋_GB2312"/>
      <w:szCs w:val="32"/>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31">
    <w:name w:val="正文文本缩进 3"/>
    <w:basedOn w:val="Normal"/>
    <w:qFormat/>
    <w:pPr>
      <w:spacing w:before="0" w:after="120"/>
      <w:ind w:firstLineChars="0" w:firstLine="0" w:startChars="200" w:endChars="0" w:end="0"/>
    </w:pPr>
    <w:rPr>
      <w:sz w:val="16"/>
      <w:szCs w:val="16"/>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1">
    <w:name w:val="样式1"/>
    <w:basedOn w:val="Style16"/>
    <w:qFormat/>
    <w:pPr>
      <w:ind w:firstLineChars="200" w:startChars="0" w:start="0" w:endChars="0" w:end="0"/>
    </w:pPr>
    <w:rPr>
      <w:rFonts w:ascii="楷体_GB2312" w:hAnsi="楷体_GB2312" w:eastAsia="楷体_GB2312" w:cs="宋体"/>
      <w:szCs w:val="32"/>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9">
    <w:name w:val="Char"/>
    <w:basedOn w:val="Normal"/>
    <w:qFormat/>
    <w:pPr/>
    <w:rPr>
      <w:rFonts w:ascii="Tahoma" w:hAnsi="Tahoma" w:eastAsia="宋体" w:cs="Tahoma"/>
      <w:sz w:val="24"/>
      <w:szCs w:val="32"/>
    </w:rPr>
  </w:style>
  <w:style w:type="paragraph" w:styleId="11">
    <w:name w:val="标题1"/>
    <w:basedOn w:val="Style17"/>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22">
    <w:name w:val="样式2"/>
    <w:basedOn w:val="Normal"/>
    <w:qFormat/>
    <w:pPr/>
    <w:rPr>
      <w:rFonts w:ascii="仿宋_GB2312" w:hAnsi="仿宋_GB2312"/>
      <w:b/>
      <w:bCs/>
      <w:smallCaps/>
      <w:color w:val="000000"/>
      <w:szCs w:val="32"/>
    </w:rPr>
  </w:style>
  <w:style w:type="paragraph" w:styleId="32">
    <w:name w:val="样式3"/>
    <w:basedOn w:val="22"/>
    <w:qFormat/>
    <w:pPr/>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Char21">
    <w:name w:val="Char2"/>
    <w:basedOn w:val="Normal"/>
    <w:qFormat/>
    <w:pPr/>
    <w:rPr>
      <w:rFonts w:ascii="Tahoma" w:hAnsi="Tahoma" w:eastAsia="楷体_GB2312" w:cs="Tahoma"/>
      <w:sz w:val="24"/>
      <w:szCs w:val="20"/>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23">
    <w:name w:val="标题2"/>
    <w:basedOn w:val="Style17"/>
    <w:qFormat/>
    <w:pPr>
      <w:widowControl w:val="false"/>
      <w:snapToGrid w:val="false"/>
      <w:jc w:val="center"/>
    </w:pPr>
    <w:rPr>
      <w:rFonts w:ascii="楷体_GB2312" w:hAnsi="楷体_GB2312" w:eastAsia="楷体_GB2312"/>
      <w:bCs/>
      <w:smallCaps/>
      <w:color w:val="000000"/>
      <w:sz w:val="32"/>
      <w:szCs w:val="32"/>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7"/>
    <w:qFormat/>
    <w:pPr>
      <w:widowControl/>
      <w:spacing w:before="280" w:after="280"/>
      <w:jc w:val="start"/>
    </w:pPr>
    <w:rPr>
      <w:rFonts w:ascii="Arial Unicode MS" w:hAnsi="Arial Unicode MS" w:eastAsia="Arial Unicode MS" w:cs="Arial Unicode MS"/>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Style20">
    <w:name w:val="列出段落"/>
    <w:basedOn w:val="Normal"/>
    <w:qFormat/>
    <w:pPr>
      <w:ind w:firstLineChars="200" w:startChars="0" w:start="0" w:endChars="0" w:end="0"/>
    </w:pPr>
    <w:rPr>
      <w:rFonts w:eastAsia="宋体"/>
      <w:sz w:val="21"/>
      <w:szCs w:val="24"/>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javascript:SLC(46441,0)" TargetMode="External"/><Relationship Id="rId3" Type="http://schemas.openxmlformats.org/officeDocument/2006/relationships/hyperlink" Target="javascript:SLC(10944,0)" TargetMode="External"/><Relationship Id="rId4" Type="http://schemas.openxmlformats.org/officeDocument/2006/relationships/hyperlink" Target="javascript:SLC(46441,0)" TargetMode="External"/><Relationship Id="rId5" Type="http://schemas.openxmlformats.org/officeDocument/2006/relationships/hyperlink" Target="javascript:SLC(46441,0)" TargetMode="External"/><Relationship Id="rId6" Type="http://schemas.openxmlformats.org/officeDocument/2006/relationships/hyperlink" Target="javascript:SLC(16819738,0)" TargetMode="Externa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2016-09-14T11:09:00Z</dcterms:created>
  <dc:creator>USER</dc:creator>
  <dc:description/>
  <dc:language>en-US</dc:language>
  <cp:lastModifiedBy>tjrd</cp:lastModifiedBy>
  <cp:lastPrinted>2016-09-14T14:39:00Z</cp:lastPrinted>
  <dcterms:modified xsi:type="dcterms:W3CDTF">2016-12-28T23:02:05Z</dcterms:modified>
  <cp:revision>243</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2052-10.1.0.6135</vt:lpwstr>
  </property>
</Properties>
</file>