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cs="Arial" w:hint="eastAsia"/>
          <w:kern w:val="0"/>
          <w:szCs w:val="32"/>
        </w:rPr>
      </w:pPr>
      <w:r>
        <w:rPr>
          <w:rFonts w:cs="Arial" w:hint="eastAsia" w:ascii="宋体" w:hAnsi="宋体"/>
          <w:kern w:val="0"/>
          <w:szCs w:val="32"/>
        </w:rPr>
      </w:r>
    </w:p>
    <w:p>
      <w:pPr>
        <w:pStyle w:val="Normal"/>
        <w:rPr>
          <w:rFonts w:ascii="宋体" w:hAnsi="宋体" w:cs="Arial" w:hint="eastAsia"/>
          <w:kern w:val="0"/>
          <w:szCs w:val="32"/>
        </w:rPr>
      </w:pPr>
      <w:r>
        <w:rPr>
          <w:rFonts w:cs="Arial" w:hint="eastAsia" w:ascii="宋体" w:hAnsi="宋体"/>
          <w:kern w:val="0"/>
          <w:szCs w:val="32"/>
        </w:rPr>
      </w:r>
    </w:p>
    <w:p>
      <w:pPr>
        <w:pStyle w:val="Normal"/>
        <w:jc w:val="center"/>
        <w:rPr>
          <w:rFonts w:ascii="宋体" w:hAnsi="宋体" w:eastAsia="宋体" w:cs="Arial" w:hint="eastAsia"/>
          <w:bCs/>
          <w:sz w:val="44"/>
          <w:szCs w:val="44"/>
        </w:rPr>
      </w:pPr>
      <w:r>
        <w:rPr>
          <w:rFonts w:ascii="宋体" w:hAnsi="宋体" w:cs="Arial" w:hint="eastAsia" w:eastAsia="宋体"/>
          <w:bCs/>
          <w:sz w:val="44"/>
          <w:szCs w:val="44"/>
        </w:rPr>
        <w:t>天津市促进科技成果转化条例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 w:hAnsi="楷体_GB2312" w:eastAsia="楷体_GB2312" w:cs="Arial" w:hint="eastAsia"/>
          <w:bCs/>
          <w:sz w:val="44"/>
          <w:szCs w:val="44"/>
        </w:rPr>
      </w:pPr>
      <w:r>
        <w:rPr>
          <w:rFonts w:eastAsia="楷体_GB2312" w:cs="Arial" w:hint="eastAsia" w:ascii="楷体_GB2312" w:hAnsi="楷体_GB2312"/>
          <w:bCs/>
          <w:sz w:val="44"/>
          <w:szCs w:val="44"/>
        </w:rPr>
      </w:r>
    </w:p>
    <w:p>
      <w:pPr>
        <w:pStyle w:val="Normal"/>
        <w:tabs>
          <w:tab w:val="clear" w:pos="420"/>
          <w:tab w:val="left" w:pos="1276" w:leader="none"/>
        </w:tabs>
        <w:jc w:val="center"/>
        <w:rPr>
          <w:rFonts w:ascii="楷体_GB2312" w:hAnsi="楷体_GB2312" w:eastAsia="楷体_GB2312" w:hint="eastAsia"/>
        </w:rPr>
      </w:pPr>
      <w:r>
        <w:rPr>
          <w:rFonts w:ascii="楷体_GB2312" w:hAnsi="楷体_GB2312" w:hint="eastAsia" w:eastAsia="楷体_GB2312"/>
        </w:rPr>
        <w:t>（</w:t>
      </w:r>
      <w:r>
        <w:rPr>
          <w:rFonts w:eastAsia="楷体_GB2312" w:hint="eastAsia" w:ascii="楷体_GB2312" w:hAnsi="楷体_GB2312"/>
        </w:rPr>
        <w:t>2017</w:t>
      </w:r>
      <w:r>
        <w:rPr>
          <w:rFonts w:ascii="楷体_GB2312" w:hAnsi="楷体_GB2312" w:hint="eastAsia" w:eastAsia="楷体_GB2312"/>
        </w:rPr>
        <w:t>年</w:t>
      </w:r>
      <w:r>
        <w:rPr>
          <w:rFonts w:eastAsia="楷体_GB2312" w:hint="eastAsia" w:ascii="楷体_GB2312" w:hAnsi="楷体_GB2312"/>
        </w:rPr>
        <w:t>7</w:t>
      </w:r>
      <w:r>
        <w:rPr>
          <w:rFonts w:ascii="楷体_GB2312" w:hAnsi="楷体_GB2312" w:hint="eastAsia" w:eastAsia="楷体_GB2312"/>
        </w:rPr>
        <w:t>月</w:t>
      </w:r>
      <w:r>
        <w:rPr>
          <w:rFonts w:eastAsia="楷体_GB2312" w:hint="eastAsia" w:ascii="楷体_GB2312" w:hAnsi="楷体_GB2312"/>
        </w:rPr>
        <w:t>26</w:t>
      </w:r>
      <w:r>
        <w:rPr>
          <w:rFonts w:ascii="楷体_GB2312" w:hAnsi="楷体_GB2312" w:hint="eastAsia" w:eastAsia="楷体_GB2312"/>
        </w:rPr>
        <w:t>日天津市第十六届人民代表大会常</w:t>
      </w:r>
    </w:p>
    <w:p>
      <w:pPr>
        <w:pStyle w:val="Normal"/>
        <w:tabs>
          <w:tab w:val="clear" w:pos="420"/>
          <w:tab w:val="left" w:pos="1276" w:leader="none"/>
        </w:tabs>
        <w:ind w:firstLineChars="200" w:startChars="0" w:start="0" w:endChars="0" w:end="0"/>
        <w:jc w:val="start"/>
        <w:rPr>
          <w:rFonts w:ascii="楷体_GB2312" w:hAnsi="楷体_GB2312" w:eastAsia="楷体_GB2312" w:hint="eastAsia"/>
        </w:rPr>
      </w:pPr>
      <w:r>
        <w:rPr>
          <w:rFonts w:ascii="楷体_GB2312" w:hAnsi="楷体_GB2312" w:hint="eastAsia" w:eastAsia="楷体_GB2312"/>
        </w:rPr>
        <w:t>务委员会第三十七次会议通过）</w:t>
      </w:r>
    </w:p>
    <w:p>
      <w:pPr>
        <w:pStyle w:val="Normal"/>
        <w:keepNext w:val="false"/>
        <w:keepLines w:val="false"/>
        <w:pageBreakBefore w:val="false"/>
        <w:widowControl w:val="false"/>
        <w:kinsoku w:val="true"/>
        <w:overflowPunct w:val="true"/>
        <w:autoSpaceDE w:val="true"/>
        <w:bidi w:val="0"/>
        <w:spacing w:lineRule="atLeast" w:line="300"/>
        <w:ind w:firstLineChars="0" w:firstLine="0" w:startChars="0" w:start="0" w:endChars="0" w:end="0"/>
        <w:jc w:val="both"/>
        <w:textAlignment w:val="auto"/>
        <w:rPr>
          <w:rFonts w:ascii="楷体_GB2312" w:hAnsi="楷体_GB2312" w:eastAsia="楷体_GB2312" w:hint="eastAsia"/>
        </w:rPr>
      </w:pPr>
      <w:r>
        <w:rPr>
          <w:rFonts w:eastAsia="楷体_GB2312" w:hint="eastAsia" w:ascii="楷体_GB2312" w:hAnsi="楷体_GB2312"/>
        </w:rPr>
      </w:r>
    </w:p>
    <w:p>
      <w:pPr>
        <w:pStyle w:val="Normal"/>
        <w:numPr>
          <w:ilvl w:val="0"/>
          <w:numId w:val="7"/>
        </w:numPr>
        <w:jc w:val="center"/>
        <w:rPr>
          <w:rFonts w:ascii="黑体" w:hAnsi="黑体" w:eastAsia="黑体" w:cs="黑体" w:hint="eastAsia"/>
        </w:rPr>
      </w:pPr>
      <w:r>
        <w:rPr>
          <w:rFonts w:ascii="黑体" w:hAnsi="黑体" w:cs="黑体" w:hint="eastAsia" w:eastAsia="黑体"/>
        </w:rPr>
        <w:t>　总  则</w:t>
      </w:r>
    </w:p>
    <w:p>
      <w:pPr>
        <w:pStyle w:val="Normal"/>
        <w:numPr>
          <w:ilvl w:val="0"/>
          <w:numId w:val="0"/>
        </w:numPr>
        <w:ind w:hanging="0" w:start="0"/>
        <w:jc w:val="both"/>
        <w:rPr>
          <w:rFonts w:ascii="黑体" w:hAnsi="黑体" w:eastAsia="黑体" w:cs="黑体" w:hint="eastAsia"/>
        </w:rPr>
      </w:pPr>
      <w:r>
        <w:rPr>
          <w:rFonts w:eastAsia="黑体" w:cs="黑体" w:hint="eastAsia" w:ascii="黑体" w:hAnsi="黑体"/>
        </w:rPr>
      </w:r>
    </w:p>
    <w:p>
      <w:pPr>
        <w:pStyle w:val="Normal"/>
        <w:ind w:firstLineChars="200" w:startChars="0" w:start="0" w:endChars="0" w:end="0"/>
        <w:rPr/>
      </w:pPr>
      <w:r>
        <w:rPr>
          <w:rFonts w:ascii="黑体" w:hAnsi="黑体" w:cs="黑体" w:hint="eastAsia" w:eastAsia="黑体"/>
        </w:rPr>
        <w:t>第一条</w:t>
      </w:r>
      <w:r>
        <w:rPr>
          <w:rFonts w:hint="eastAsia"/>
        </w:rPr>
        <w:t>　为了加快实施创新驱动发展战略，促进和规范科技成果转化，加速科学技术进步和创新，推动经济建设和社会发展，根据《中华人民共和国促进科技成果转化法》和其他有关法律、行政法规，结合本市实际情况，制定本条例。</w:t>
      </w:r>
    </w:p>
    <w:p>
      <w:pPr>
        <w:pStyle w:val="Normal"/>
        <w:ind w:firstLineChars="200" w:startChars="0" w:start="0" w:endChars="0" w:end="0"/>
        <w:rPr/>
      </w:pPr>
      <w:r>
        <w:rPr>
          <w:rFonts w:ascii="黑体" w:hAnsi="黑体" w:cs="黑体" w:hint="eastAsia" w:eastAsia="黑体"/>
        </w:rPr>
        <w:t>第二条</w:t>
      </w:r>
      <w:r>
        <w:rPr>
          <w:rFonts w:hint="eastAsia"/>
        </w:rPr>
        <w:t>　本市为提高生产力水平而对科技成果所进行的后续试验、开发、应用、推广直至形成新技术、新工艺、新材料、新产品，发展新产业等科技成果转化及相关活动，适用本条例。</w:t>
      </w:r>
    </w:p>
    <w:p>
      <w:pPr>
        <w:pStyle w:val="Normal"/>
        <w:ind w:firstLineChars="200" w:startChars="0" w:start="0" w:endChars="0" w:end="0"/>
        <w:rPr/>
      </w:pPr>
      <w:r>
        <w:rPr>
          <w:rFonts w:ascii="黑体" w:hAnsi="黑体" w:cs="黑体" w:hint="eastAsia" w:eastAsia="黑体"/>
        </w:rPr>
        <w:t>第三条</w:t>
      </w:r>
      <w:r>
        <w:rPr>
          <w:rFonts w:hint="eastAsia"/>
        </w:rPr>
        <w:t>　科技成果转化活动应当遵循市场规律和科技创新规律，发挥企业的主体作用，按照自愿、互利、公平、诚信的原则，实施以增加知识价值为导向的激励政策，依法保障实施科技成果转化各方主体权益，激发全社会创新创业活力。</w:t>
      </w:r>
    </w:p>
    <w:p>
      <w:pPr>
        <w:pStyle w:val="Normal"/>
        <w:ind w:firstLineChars="200" w:startChars="0" w:start="0" w:endChars="0" w:end="0"/>
        <w:jc w:val="start"/>
        <w:rPr>
          <w:rFonts w:hint="eastAsia"/>
        </w:rPr>
      </w:pPr>
      <w:r>
        <w:rPr>
          <w:rFonts w:hint="eastAsia"/>
        </w:rPr>
        <w:t>科技成果转化活动应当有利于提高经济效益、社会效益和合理利用资源、保护环境。</w:t>
      </w:r>
    </w:p>
    <w:p>
      <w:pPr>
        <w:pStyle w:val="Normal"/>
        <w:ind w:firstLineChars="200" w:startChars="0" w:start="0" w:endChars="0" w:end="0"/>
        <w:rPr/>
      </w:pPr>
      <w:r>
        <w:rPr>
          <w:rFonts w:ascii="黑体" w:hAnsi="黑体" w:cs="黑体" w:hint="eastAsia" w:eastAsia="黑体"/>
        </w:rPr>
        <w:t>第四条</w:t>
      </w:r>
      <w:r>
        <w:rPr>
          <w:rFonts w:hint="eastAsia"/>
        </w:rPr>
        <w:t>　市和区人民政府应当加强对科技成果转化工作的领导，将科技成果转化工作纳入国民经济和社会发展规划和年度计划，建立健全科技成果转化市场机制和转化体系</w:t>
      </w:r>
      <w:r>
        <w:rPr>
          <w:rFonts w:ascii="黑体" w:hAnsi="黑体" w:cs="黑体" w:hint="eastAsia" w:eastAsia="黑体"/>
        </w:rPr>
        <w:t>。</w:t>
      </w:r>
    </w:p>
    <w:p>
      <w:pPr>
        <w:pStyle w:val="Normal"/>
        <w:ind w:firstLineChars="200" w:startChars="0" w:start="0" w:endChars="0" w:end="0"/>
        <w:rPr>
          <w:rFonts w:hint="eastAsia"/>
        </w:rPr>
      </w:pPr>
      <w:r>
        <w:rPr>
          <w:rFonts w:hint="eastAsia"/>
        </w:rPr>
        <w:t>本市各级人民政府应当加强科技、财政、投资、税收、人才、产业、金融、政府采购、军民融合、知识产权等政策协同，为科技成果转化创造良好环境。</w:t>
      </w:r>
    </w:p>
    <w:p>
      <w:pPr>
        <w:pStyle w:val="Normal"/>
        <w:ind w:firstLineChars="200" w:startChars="0" w:start="0" w:endChars="0" w:end="0"/>
        <w:rPr/>
      </w:pPr>
      <w:r>
        <w:rPr>
          <w:rFonts w:ascii="黑体" w:hAnsi="黑体" w:cs="黑体" w:hint="eastAsia" w:eastAsia="黑体"/>
        </w:rPr>
        <w:t>第五条</w:t>
      </w:r>
      <w:r>
        <w:rPr>
          <w:rFonts w:hint="eastAsia"/>
        </w:rPr>
        <w:t>　本市鼓励国内外科技成果在本市实施转化，并予以支持。</w:t>
      </w:r>
    </w:p>
    <w:p>
      <w:pPr>
        <w:pStyle w:val="Normal"/>
        <w:ind w:firstLineChars="200" w:startChars="0" w:start="0" w:endChars="0" w:end="0"/>
        <w:rPr>
          <w:rFonts w:hint="eastAsia"/>
        </w:rPr>
      </w:pPr>
      <w:r>
        <w:rPr>
          <w:rFonts w:hint="eastAsia"/>
        </w:rPr>
        <w:t>单位和个人从事科技成果转化活动，依照国家和本市有关规定享受优惠政策。</w:t>
      </w:r>
    </w:p>
    <w:p>
      <w:pPr>
        <w:pStyle w:val="Normal"/>
        <w:ind w:firstLineChars="200" w:startChars="0" w:start="0" w:endChars="0" w:end="0"/>
        <w:rPr/>
      </w:pPr>
      <w:r>
        <w:rPr>
          <w:rFonts w:ascii="黑体" w:hAnsi="黑体" w:cs="黑体" w:hint="eastAsia" w:eastAsia="黑体"/>
        </w:rPr>
        <w:t>第六条</w:t>
      </w:r>
      <w:r>
        <w:rPr>
          <w:rFonts w:hint="eastAsia"/>
        </w:rPr>
        <w:t>　本市积极推进京津冀协同创新发展，加强与京冀科技创新资源的开放共享，共建</w:t>
      </w:r>
      <w:r>
        <w:rPr/>
        <w:t>科技成果转化平台</w:t>
      </w:r>
      <w:r>
        <w:rPr>
          <w:rFonts w:hint="eastAsia"/>
        </w:rPr>
        <w:t>、</w:t>
      </w:r>
      <w:r>
        <w:rPr/>
        <w:t>科技</w:t>
      </w:r>
      <w:r>
        <w:rPr>
          <w:rFonts w:hint="eastAsia"/>
        </w:rPr>
        <w:t>产业</w:t>
      </w:r>
      <w:r>
        <w:rPr/>
        <w:t>园</w:t>
      </w:r>
      <w:r>
        <w:rPr>
          <w:rFonts w:hint="eastAsia"/>
        </w:rPr>
        <w:t>区和</w:t>
      </w:r>
      <w:r>
        <w:rPr/>
        <w:t>技术交易市场联盟</w:t>
      </w:r>
      <w:r>
        <w:rPr>
          <w:rFonts w:hint="eastAsia"/>
        </w:rPr>
        <w:t>、</w:t>
      </w:r>
      <w:r>
        <w:rPr/>
        <w:t>产业技术创新联盟</w:t>
      </w:r>
      <w:r>
        <w:rPr>
          <w:rFonts w:hint="eastAsia"/>
        </w:rPr>
        <w:t>；鼓励企业、研究开发机构和高等院校与京冀等市外创新主体联合建设重点实验室、工程中心等联盟，促进科技成果转化实施。</w:t>
      </w:r>
    </w:p>
    <w:p>
      <w:pPr>
        <w:pStyle w:val="Normal"/>
        <w:jc w:val="center"/>
        <w:rPr>
          <w:rFonts w:cs="黑体"/>
          <w:szCs w:val="32"/>
        </w:rPr>
      </w:pPr>
      <w:r>
        <w:rPr>
          <w:rFonts w:cs="黑体"/>
          <w:szCs w:val="32"/>
        </w:rPr>
      </w:r>
    </w:p>
    <w:p>
      <w:pPr>
        <w:pStyle w:val="Normal"/>
        <w:numPr>
          <w:ilvl w:val="0"/>
          <w:numId w:val="6"/>
        </w:numPr>
        <w:jc w:val="center"/>
        <w:rPr>
          <w:rFonts w:ascii="黑体" w:hAnsi="黑体" w:eastAsia="黑体" w:cs="黑体" w:hint="eastAsia"/>
          <w:szCs w:val="32"/>
        </w:rPr>
      </w:pPr>
      <w:r>
        <w:rPr>
          <w:rFonts w:ascii="黑体" w:hAnsi="黑体" w:cs="黑体" w:hint="eastAsia" w:eastAsia="黑体"/>
          <w:szCs w:val="32"/>
        </w:rPr>
        <w:t>　政府支持和保障</w:t>
      </w:r>
    </w:p>
    <w:p>
      <w:pPr>
        <w:pStyle w:val="Normal"/>
        <w:numPr>
          <w:ilvl w:val="0"/>
          <w:numId w:val="0"/>
        </w:numPr>
        <w:ind w:hanging="0" w:start="0"/>
        <w:jc w:val="both"/>
        <w:rPr>
          <w:rFonts w:ascii="黑体" w:hAnsi="黑体" w:eastAsia="黑体" w:cs="黑体" w:hint="eastAsia"/>
          <w:szCs w:val="32"/>
        </w:rPr>
      </w:pPr>
      <w:r>
        <w:rPr>
          <w:rFonts w:eastAsia="黑体" w:cs="黑体" w:hint="eastAsia" w:ascii="黑体" w:hAnsi="黑体"/>
          <w:szCs w:val="32"/>
        </w:rPr>
      </w:r>
    </w:p>
    <w:p>
      <w:pPr>
        <w:pStyle w:val="Normal"/>
        <w:ind w:firstLineChars="200" w:startChars="0" w:start="0" w:endChars="0" w:end="0"/>
        <w:rPr/>
      </w:pPr>
      <w:r>
        <w:rPr>
          <w:rFonts w:ascii="黑体" w:hAnsi="黑体" w:cs="黑体" w:hint="eastAsia" w:eastAsia="黑体"/>
        </w:rPr>
        <w:t>第七条</w:t>
      </w:r>
      <w:r>
        <w:rPr>
          <w:rFonts w:hint="eastAsia"/>
        </w:rPr>
        <w:t>　市和区人民政府应当对科技成果转化合理安排财政资金投入，积极发挥各类财政资金的引导作用，引导社会资金投入，构建多层次、多渠道投资融资保障体系，推动科技成果转化资金投入的多元化。</w:t>
      </w:r>
    </w:p>
    <w:p>
      <w:pPr>
        <w:pStyle w:val="Normal"/>
        <w:ind w:firstLineChars="200" w:startChars="0" w:start="0" w:endChars="0" w:end="0"/>
        <w:rPr/>
      </w:pPr>
      <w:r>
        <w:rPr>
          <w:rFonts w:ascii="黑体" w:hAnsi="黑体" w:cs="黑体" w:hint="eastAsia" w:eastAsia="黑体"/>
        </w:rPr>
        <w:t>第八条</w:t>
      </w:r>
      <w:r>
        <w:rPr>
          <w:rFonts w:hint="eastAsia"/>
        </w:rPr>
        <w:t>　科学技术行政部门应当组织拟定促进科技成果转化的政策措施，管理、指导、协调、服务本市科技成果转化工作。</w:t>
      </w:r>
    </w:p>
    <w:p>
      <w:pPr>
        <w:pStyle w:val="Normal"/>
        <w:ind w:firstLineChars="200" w:startChars="0" w:start="0" w:endChars="0" w:end="0"/>
        <w:rPr>
          <w:rFonts w:hint="eastAsia"/>
        </w:rPr>
      </w:pPr>
      <w:r>
        <w:rPr>
          <w:rFonts w:hint="eastAsia"/>
        </w:rPr>
        <w:t>发展改革、工业、农业、教育、财政、人力社保、知识产权、金融管理等有关行政部门，在各自职责范围内做好促进科技成果转化工作。</w:t>
      </w:r>
    </w:p>
    <w:p>
      <w:pPr>
        <w:pStyle w:val="Normal"/>
        <w:ind w:firstLineChars="200" w:startChars="0" w:start="0" w:endChars="0" w:end="0"/>
        <w:rPr/>
      </w:pPr>
      <w:r>
        <w:rPr>
          <w:rFonts w:ascii="黑体" w:hAnsi="黑体" w:cs="黑体" w:hint="eastAsia" w:eastAsia="黑体"/>
          <w:szCs w:val="32"/>
        </w:rPr>
        <w:t>第九条　</w:t>
      </w:r>
      <w:r>
        <w:rPr>
          <w:rFonts w:hint="eastAsia"/>
        </w:rPr>
        <w:t>发展改革、工业、农业、教育、科学技术等行政部门，应当改进和完善利用财政资金设立的应用类科技项目和其他相关科技项目的科研组织管理方式，在制定科技规划、计划和编制项目指南时，应当听取相关行业、企业的意见；在组织实施应用类科技项目时，应当明确项目承担者的科技成果转化义务，并将科技成果转化和知识产权创造、运用作为立项和验收的重要内容和依据。</w:t>
      </w:r>
    </w:p>
    <w:p>
      <w:pPr>
        <w:pStyle w:val="Normal"/>
        <w:spacing w:lineRule="exact" w:line="540"/>
        <w:ind w:firstLineChars="200" w:startChars="0" w:start="0" w:endChars="0" w:end="0"/>
        <w:rPr>
          <w:rFonts w:ascii="黑体" w:hAnsi="黑体" w:eastAsia="黑体" w:cs="黑体"/>
          <w:szCs w:val="32"/>
        </w:rPr>
      </w:pPr>
      <w:r>
        <w:rPr>
          <w:rFonts w:ascii="黑体" w:hAnsi="黑体" w:cs="黑体" w:hint="eastAsia" w:eastAsia="黑体"/>
        </w:rPr>
        <w:t>第十条</w:t>
      </w:r>
      <w:r>
        <w:rPr>
          <w:rFonts w:hint="eastAsia"/>
        </w:rPr>
        <w:t>　本市支持天使投资、创业投资等机构投资初创期科技企业和高投入、高风险、高产出的科技成果转化项目。</w:t>
      </w:r>
    </w:p>
    <w:p>
      <w:pPr>
        <w:pStyle w:val="Normal"/>
        <w:ind w:firstLineChars="200" w:startChars="0" w:start="0" w:endChars="0" w:end="0"/>
        <w:rPr/>
      </w:pPr>
      <w:r>
        <w:rPr>
          <w:rFonts w:ascii="黑体" w:hAnsi="黑体" w:cs="黑体" w:hint="eastAsia" w:eastAsia="黑体"/>
        </w:rPr>
        <w:t>第十一条</w:t>
      </w:r>
      <w:r>
        <w:rPr>
          <w:rFonts w:hint="eastAsia"/>
        </w:rPr>
        <w:t>　市和区人民政府应当通过政府采购、研究开发资助、发布产业技术指导目录、示范推广、后补助等方式，优先安排和重点扶持下列科技成果转化项目：</w:t>
      </w:r>
    </w:p>
    <w:p>
      <w:pPr>
        <w:pStyle w:val="Normal"/>
        <w:ind w:firstLineChars="200" w:startChars="0" w:start="0" w:endChars="0" w:end="0"/>
        <w:rPr>
          <w:rFonts w:hint="eastAsia"/>
        </w:rPr>
      </w:pPr>
      <w:r>
        <w:rPr>
          <w:rFonts w:hint="eastAsia"/>
        </w:rPr>
        <w:t>（一）对经济发展和行业技术进步有显著促进作用的；</w:t>
      </w:r>
    </w:p>
    <w:p>
      <w:pPr>
        <w:pStyle w:val="Normal"/>
        <w:ind w:firstLineChars="200" w:startChars="0" w:start="0" w:endChars="0" w:end="0"/>
        <w:rPr>
          <w:rFonts w:hint="eastAsia"/>
        </w:rPr>
      </w:pPr>
      <w:r>
        <w:rPr>
          <w:rFonts w:hint="eastAsia"/>
        </w:rPr>
        <w:t>（二）技术含量高、市场容量大，对形成高新技术产业有明显效果的；</w:t>
      </w:r>
    </w:p>
    <w:p>
      <w:pPr>
        <w:pStyle w:val="Normal"/>
        <w:ind w:firstLineChars="200" w:startChars="0" w:start="0" w:endChars="0" w:end="0"/>
        <w:rPr/>
      </w:pPr>
      <w:r>
        <w:rPr>
          <w:rFonts w:hint="eastAsia"/>
        </w:rPr>
        <w:t>（三）能够改造和</w:t>
      </w:r>
      <w:r>
        <w:rPr/>
        <w:t>替代</w:t>
      </w:r>
      <w:r>
        <w:rPr>
          <w:rFonts w:hint="eastAsia"/>
        </w:rPr>
        <w:t>落后技术、工艺和装备的；</w:t>
      </w:r>
    </w:p>
    <w:p>
      <w:pPr>
        <w:pStyle w:val="Normal"/>
        <w:ind w:firstLineChars="200" w:startChars="0" w:start="0" w:endChars="0" w:end="0"/>
        <w:rPr>
          <w:rFonts w:hint="eastAsia"/>
        </w:rPr>
      </w:pPr>
      <w:r>
        <w:rPr>
          <w:rFonts w:hint="eastAsia"/>
        </w:rPr>
        <w:t>（四）能够合理开发和利用资源、节约能源、降低消耗以及防治环境污染、保护生态、提高应对气候变化和防灾减灾能力的；</w:t>
      </w:r>
    </w:p>
    <w:p>
      <w:pPr>
        <w:pStyle w:val="Normal"/>
        <w:ind w:firstLineChars="200" w:startChars="0" w:start="0" w:endChars="0" w:end="0"/>
        <w:rPr>
          <w:rFonts w:hint="eastAsia"/>
        </w:rPr>
      </w:pPr>
      <w:r>
        <w:rPr>
          <w:rFonts w:hint="eastAsia"/>
        </w:rPr>
        <w:t>（五）能够改善民生和提高公共健康水平的；</w:t>
      </w:r>
    </w:p>
    <w:p>
      <w:pPr>
        <w:pStyle w:val="Normal"/>
        <w:ind w:firstLineChars="200" w:startChars="0" w:start="0" w:endChars="0" w:end="0"/>
        <w:rPr>
          <w:rFonts w:hint="eastAsia"/>
        </w:rPr>
      </w:pPr>
      <w:r>
        <w:rPr>
          <w:rFonts w:hint="eastAsia"/>
        </w:rPr>
        <w:t>（六）能够促进现代农业或者农村经济发展的；</w:t>
      </w:r>
    </w:p>
    <w:p>
      <w:pPr>
        <w:pStyle w:val="Normal"/>
        <w:ind w:firstLineChars="200" w:startChars="0" w:start="0" w:endChars="0" w:end="0"/>
        <w:rPr>
          <w:rFonts w:hint="eastAsia"/>
        </w:rPr>
      </w:pPr>
      <w:r>
        <w:rPr>
          <w:rFonts w:hint="eastAsia"/>
        </w:rPr>
        <w:t>（七）专利技术及其他重大科技成果在本市首次实施转化的；</w:t>
      </w:r>
    </w:p>
    <w:p>
      <w:pPr>
        <w:pStyle w:val="Normal"/>
        <w:ind w:firstLineChars="200" w:startChars="0" w:start="0" w:endChars="0" w:end="0"/>
        <w:rPr>
          <w:rFonts w:hint="eastAsia"/>
        </w:rPr>
      </w:pPr>
      <w:r>
        <w:rPr>
          <w:rFonts w:hint="eastAsia"/>
        </w:rPr>
        <w:t>（八）其他具有显著社会效益的。</w:t>
      </w:r>
    </w:p>
    <w:p>
      <w:pPr>
        <w:pStyle w:val="Normal"/>
        <w:ind w:firstLineChars="200" w:startChars="0" w:start="0" w:endChars="0" w:end="0"/>
        <w:rPr/>
      </w:pPr>
      <w:r>
        <w:rPr>
          <w:rFonts w:ascii="黑体" w:hAnsi="黑体" w:cs="黑体" w:hint="eastAsia" w:eastAsia="黑体"/>
        </w:rPr>
        <w:t>第十二条　</w:t>
      </w:r>
      <w:r>
        <w:rPr>
          <w:rFonts w:hint="eastAsia"/>
        </w:rPr>
        <w:t>本市建立和完善促进科技成果转化的信息系统。</w:t>
      </w:r>
    </w:p>
    <w:p>
      <w:pPr>
        <w:pStyle w:val="Normal"/>
        <w:tabs>
          <w:tab w:val="clear" w:pos="420"/>
          <w:tab w:val="left" w:pos="2552" w:leader="none"/>
        </w:tabs>
        <w:ind w:firstLineChars="200" w:startChars="0" w:start="0" w:endChars="0" w:end="0"/>
        <w:rPr>
          <w:rFonts w:hint="eastAsia"/>
        </w:rPr>
      </w:pPr>
      <w:r>
        <w:rPr>
          <w:rFonts w:hint="eastAsia"/>
        </w:rPr>
        <w:t>市科学技术行政部门应当建立科技成果信息库，向社会公布科技项目实施情况以及科技成果相关信息，提供科技成果信息查询、筛选等公益服务，但不得泄露国家秘密和商业秘密。</w:t>
      </w:r>
    </w:p>
    <w:p>
      <w:pPr>
        <w:pStyle w:val="Normal"/>
        <w:ind w:firstLineChars="200" w:startChars="0" w:start="0" w:endChars="0" w:end="0"/>
        <w:rPr>
          <w:rFonts w:hint="eastAsia"/>
        </w:rPr>
      </w:pPr>
      <w:r>
        <w:rPr>
          <w:rFonts w:hint="eastAsia"/>
        </w:rPr>
        <w:t>市知识产权部门应当完善专利信息服务平台，开展专利信息数据检索、加工和分析，推动专利运用。</w:t>
      </w:r>
    </w:p>
    <w:p>
      <w:pPr>
        <w:pStyle w:val="Normal"/>
        <w:ind w:firstLineChars="200" w:startChars="0" w:start="0" w:endChars="0" w:end="0"/>
        <w:rPr>
          <w:rFonts w:hint="eastAsia"/>
        </w:rPr>
      </w:pPr>
      <w:r>
        <w:rPr>
          <w:rFonts w:hint="eastAsia"/>
        </w:rPr>
        <w:t>市财政部门应当完善行政事业单位资产管理信息系统，规范对科技成果处置、使用和收益管理的统计工作。</w:t>
      </w:r>
    </w:p>
    <w:p>
      <w:pPr>
        <w:pStyle w:val="Normal"/>
        <w:ind w:firstLineChars="200" w:startChars="0" w:start="0" w:endChars="0" w:end="0"/>
        <w:rPr>
          <w:rFonts w:hint="eastAsia"/>
        </w:rPr>
      </w:pPr>
      <w:r>
        <w:rPr>
          <w:rFonts w:hint="eastAsia"/>
        </w:rPr>
        <w:t>科学技术行政部门和其他有关部门，应当为企业获取所需的科技成果信息提供帮助和支持。</w:t>
      </w:r>
    </w:p>
    <w:p>
      <w:pPr>
        <w:pStyle w:val="Normal"/>
        <w:ind w:firstLineChars="200" w:startChars="0" w:start="0" w:endChars="0" w:end="0"/>
        <w:rPr>
          <w:rFonts w:hint="eastAsia"/>
        </w:rPr>
      </w:pPr>
      <w:r>
        <w:rPr>
          <w:rFonts w:ascii="黑体" w:hAnsi="黑体" w:cs="黑体" w:hint="eastAsia" w:eastAsia="黑体"/>
        </w:rPr>
        <w:t>第十三条　</w:t>
      </w:r>
      <w:r>
        <w:rPr>
          <w:rFonts w:hint="eastAsia"/>
        </w:rPr>
        <w:t>利用财政资金设立的研究开发机构、高等院校，应当将科技成果和相关知识产权信息汇交到科技成果信息库。</w:t>
      </w:r>
    </w:p>
    <w:p>
      <w:pPr>
        <w:pStyle w:val="Normal"/>
        <w:ind w:firstLineChars="200" w:startChars="0" w:start="0" w:endChars="0" w:end="0"/>
        <w:rPr>
          <w:rFonts w:hint="eastAsia"/>
        </w:rPr>
      </w:pPr>
      <w:r>
        <w:rPr>
          <w:rFonts w:hint="eastAsia"/>
        </w:rPr>
        <w:t>鼓励利用非财政资金设立的科技项目的承担者，将科技成果和相关知识产权信息汇交到科技成果信息库。</w:t>
      </w:r>
    </w:p>
    <w:p>
      <w:pPr>
        <w:pStyle w:val="Normal"/>
        <w:ind w:firstLineChars="200" w:startChars="0" w:start="0" w:endChars="0" w:end="0"/>
        <w:rPr/>
      </w:pPr>
      <w:r>
        <w:rPr>
          <w:rFonts w:ascii="黑体" w:hAnsi="黑体" w:cs="黑体" w:hint="eastAsia" w:eastAsia="黑体"/>
        </w:rPr>
        <w:t>第十四条　</w:t>
      </w:r>
      <w:r>
        <w:rPr>
          <w:rFonts w:hint="eastAsia"/>
        </w:rPr>
        <w:t>利用财政资金设立的科技项目的承担者，应当按照规定及时向科学技术行政部门提交相关科技报告。</w:t>
      </w:r>
    </w:p>
    <w:p>
      <w:pPr>
        <w:pStyle w:val="Normal"/>
        <w:ind w:firstLineChars="200" w:startChars="0" w:start="0" w:endChars="0" w:end="0"/>
        <w:rPr>
          <w:rFonts w:hint="eastAsia"/>
        </w:rPr>
      </w:pPr>
      <w:r>
        <w:rPr>
          <w:rFonts w:hint="eastAsia"/>
        </w:rPr>
        <w:t>鼓励利用非财政资金设立的科技项目的承担者提交相关科技报告。科学技术行政部门应当提供方便。</w:t>
      </w:r>
    </w:p>
    <w:p>
      <w:pPr>
        <w:pStyle w:val="Normal"/>
        <w:ind w:firstLineChars="200" w:startChars="0" w:start="0" w:endChars="0" w:end="0"/>
        <w:rPr/>
      </w:pPr>
      <w:r>
        <w:rPr>
          <w:rFonts w:ascii="黑体" w:hAnsi="黑体" w:cs="黑体" w:hint="eastAsia" w:eastAsia="黑体"/>
        </w:rPr>
        <w:t>第十五条</w:t>
      </w:r>
      <w:r>
        <w:rPr>
          <w:rFonts w:hint="eastAsia"/>
        </w:rPr>
        <w:t>　本市鼓励农业科研机构、农业企业、农业试验示范单位独立或者与其他单位合作实施农业科技成果转化，为农业生产提供产前、产中、产后综合配套技术服务。</w:t>
      </w:r>
    </w:p>
    <w:p>
      <w:pPr>
        <w:pStyle w:val="Normal"/>
        <w:ind w:firstLineChars="200" w:startChars="0" w:start="0" w:endChars="0" w:end="0"/>
        <w:rPr/>
      </w:pPr>
      <w:r>
        <w:rPr/>
      </w:r>
    </w:p>
    <w:p>
      <w:pPr>
        <w:pStyle w:val="Normal"/>
        <w:numPr>
          <w:ilvl w:val="0"/>
          <w:numId w:val="5"/>
        </w:numPr>
        <w:jc w:val="center"/>
        <w:rPr>
          <w:rFonts w:ascii="黑体" w:hAnsi="黑体" w:eastAsia="黑体" w:cs="黑体" w:hint="eastAsia"/>
        </w:rPr>
      </w:pPr>
      <w:r>
        <w:rPr>
          <w:rFonts w:ascii="黑体" w:hAnsi="黑体" w:cs="黑体" w:hint="eastAsia" w:eastAsia="黑体"/>
        </w:rPr>
        <w:t>　研究开发机构和高等院校</w:t>
      </w:r>
    </w:p>
    <w:p>
      <w:pPr>
        <w:pStyle w:val="Normal"/>
        <w:numPr>
          <w:ilvl w:val="0"/>
          <w:numId w:val="0"/>
        </w:numPr>
        <w:ind w:hanging="0" w:start="0"/>
        <w:jc w:val="both"/>
        <w:rPr>
          <w:rFonts w:ascii="黑体" w:hAnsi="黑体" w:eastAsia="黑体" w:cs="黑体" w:hint="eastAsia"/>
        </w:rPr>
      </w:pPr>
      <w:r>
        <w:rPr>
          <w:rFonts w:eastAsia="黑体" w:cs="黑体" w:hint="eastAsia" w:ascii="黑体" w:hAnsi="黑体"/>
        </w:rPr>
      </w:r>
    </w:p>
    <w:p>
      <w:pPr>
        <w:pStyle w:val="Normal"/>
        <w:ind w:firstLineChars="200" w:startChars="0" w:start="0" w:endChars="0" w:end="0"/>
        <w:rPr/>
      </w:pPr>
      <w:r>
        <w:rPr>
          <w:rFonts w:ascii="黑体" w:hAnsi="黑体" w:cs="黑体" w:hint="eastAsia" w:eastAsia="黑体"/>
        </w:rPr>
        <w:t>第十六条</w:t>
      </w:r>
      <w:r>
        <w:rPr>
          <w:rFonts w:hint="eastAsia"/>
        </w:rPr>
        <w:t>　研究开发机构、高等院校应当完善科技成果转化管理制度，优化科技成果转化流程，加强科技成果转化工作的专业化建设。</w:t>
      </w:r>
    </w:p>
    <w:p>
      <w:pPr>
        <w:pStyle w:val="Normal"/>
        <w:ind w:firstLineChars="200" w:startChars="0" w:start="0" w:endChars="0" w:end="0"/>
        <w:rPr/>
      </w:pPr>
      <w:r>
        <w:rPr>
          <w:rFonts w:ascii="黑体" w:hAnsi="黑体" w:cs="黑体" w:hint="eastAsia" w:eastAsia="黑体"/>
        </w:rPr>
        <w:t>第十七条</w:t>
      </w:r>
      <w:r>
        <w:rPr>
          <w:rFonts w:hint="eastAsia"/>
        </w:rPr>
        <w:t>　利用财政资金设立的研究开发机构、高等院校中的科技人员经单位同意，可以采取离岗、兼职、到企业挂职或者在岗创业等方式从事科技成果转化活动。</w:t>
      </w:r>
    </w:p>
    <w:p>
      <w:pPr>
        <w:pStyle w:val="Normal"/>
        <w:ind w:firstLineChars="200" w:startChars="0" w:start="0" w:endChars="0" w:end="0"/>
        <w:rPr>
          <w:rFonts w:hint="eastAsia"/>
        </w:rPr>
      </w:pPr>
      <w:r>
        <w:rPr>
          <w:rFonts w:hint="eastAsia"/>
        </w:rPr>
        <w:t>科技人员离岗创业的，应当与单位签订离岗协议，对离岗创业事项、离岗期限、工资福利、社会保险、收益分配、成果归属等进行约定。</w:t>
      </w:r>
    </w:p>
    <w:p>
      <w:pPr>
        <w:pStyle w:val="Normal"/>
        <w:ind w:firstLineChars="200" w:startChars="0" w:start="0" w:endChars="0" w:end="0"/>
        <w:rPr>
          <w:rFonts w:hint="eastAsia"/>
        </w:rPr>
      </w:pPr>
      <w:r>
        <w:rPr>
          <w:rFonts w:hint="eastAsia"/>
        </w:rPr>
        <w:t>科技人员兼职或者在岗创业期间，应当完成本职工作，履行岗位职责，就兼职期限、保密、知识产权保护、收益分配、后续成果归属等与单位进行约定。</w:t>
      </w:r>
    </w:p>
    <w:p>
      <w:pPr>
        <w:pStyle w:val="Normal"/>
        <w:ind w:firstLineChars="200" w:startChars="0" w:start="0" w:endChars="0" w:end="0"/>
        <w:rPr>
          <w:rFonts w:hint="eastAsia"/>
        </w:rPr>
      </w:pPr>
      <w:r>
        <w:rPr>
          <w:rFonts w:hint="eastAsia"/>
        </w:rPr>
        <w:t>科技人员兼职或者离岗从事科技成果转化活动期间，不得损害或者侵占本单位合法权益。</w:t>
      </w:r>
    </w:p>
    <w:p>
      <w:pPr>
        <w:pStyle w:val="Normal"/>
        <w:ind w:firstLineChars="200" w:startChars="0" w:start="0" w:endChars="0" w:end="0"/>
        <w:rPr/>
      </w:pPr>
      <w:r>
        <w:rPr>
          <w:rFonts w:ascii="黑体" w:hAnsi="黑体" w:cs="黑体" w:hint="eastAsia" w:eastAsia="黑体"/>
        </w:rPr>
        <w:t>第十八条　</w:t>
      </w:r>
      <w:r>
        <w:rPr>
          <w:rFonts w:hint="eastAsia"/>
        </w:rPr>
        <w:t>研究开发机构、高等院校可以设置一定比例的流动岗位，引进有创新实践经验的企业家和企业科技人员兼职从事教学和</w:t>
      </w:r>
      <w:r>
        <w:rPr/>
        <w:t>科研</w:t>
      </w:r>
      <w:r>
        <w:rPr>
          <w:rFonts w:hint="eastAsia"/>
        </w:rPr>
        <w:t>工作。</w:t>
      </w:r>
    </w:p>
    <w:p>
      <w:pPr>
        <w:pStyle w:val="Normal"/>
        <w:ind w:firstLineChars="200" w:startChars="0" w:start="0" w:endChars="0" w:end="0"/>
        <w:rPr/>
      </w:pPr>
      <w:r>
        <w:rPr>
          <w:rFonts w:ascii="黑体" w:hAnsi="黑体" w:cs="黑体" w:hint="eastAsia" w:eastAsia="黑体"/>
        </w:rPr>
        <w:t>第十九条</w:t>
      </w:r>
      <w:r>
        <w:rPr>
          <w:rFonts w:hint="eastAsia"/>
        </w:rPr>
        <w:t>　研究开发机构、高等院校的主管部门以及财政、科学技术等相关行政部门，应当建立有利于促进科技成果转化的绩效考核评价体系，将科技成果转化情况作为对研究开发机构、高等院校考核评价、科研资金支持的重要内容和依据，并对科技成果转化绩效突出的相关单位加大科研资金支持。</w:t>
      </w:r>
    </w:p>
    <w:p>
      <w:pPr>
        <w:pStyle w:val="Normal"/>
        <w:ind w:firstLineChars="200" w:startChars="0" w:start="0" w:endChars="0" w:end="0"/>
        <w:rPr>
          <w:rFonts w:hint="eastAsia"/>
        </w:rPr>
      </w:pPr>
      <w:r>
        <w:rPr>
          <w:rFonts w:hint="eastAsia"/>
        </w:rPr>
        <w:t>研究开发机构、高等院校应当将科技成果转化的产值、利润等经济效益和吸纳就业、节约资源、保护环境等社会效益，作为科技人员职称评聘的重要内容。</w:t>
      </w:r>
    </w:p>
    <w:p>
      <w:pPr>
        <w:pStyle w:val="Normal"/>
        <w:ind w:firstLineChars="200" w:startChars="0" w:start="0" w:endChars="0" w:end="0"/>
        <w:rPr>
          <w:rFonts w:hint="eastAsia"/>
        </w:rPr>
      </w:pPr>
      <w:r>
        <w:rPr>
          <w:rFonts w:hint="eastAsia"/>
        </w:rPr>
        <w:t>在科技成果转化中做出重大贡献的科技人员，可以直接申报高级职称。</w:t>
      </w:r>
    </w:p>
    <w:p>
      <w:pPr>
        <w:pStyle w:val="Normal"/>
        <w:ind w:firstLineChars="200" w:startChars="0" w:start="0" w:endChars="0" w:end="0"/>
        <w:rPr/>
      </w:pPr>
      <w:r>
        <w:rPr>
          <w:rFonts w:ascii="黑体" w:hAnsi="黑体" w:cs="黑体" w:hint="eastAsia" w:eastAsia="黑体"/>
        </w:rPr>
        <w:t>第二十条</w:t>
      </w:r>
      <w:r>
        <w:rPr>
          <w:rFonts w:hint="eastAsia"/>
        </w:rPr>
        <w:t>　利用财政资金设立的研究开发机构、高等院校对其持有的科技成果，可以自主决定采取转让、许可或者作价投资等方式实施转化。</w:t>
      </w:r>
    </w:p>
    <w:p>
      <w:pPr>
        <w:pStyle w:val="Normal"/>
        <w:ind w:firstLineChars="200" w:startChars="0" w:start="0" w:endChars="0" w:end="0"/>
        <w:rPr/>
      </w:pPr>
      <w:r>
        <w:rPr>
          <w:rFonts w:ascii="黑体" w:hAnsi="黑体" w:cs="黑体" w:hint="eastAsia" w:eastAsia="黑体"/>
        </w:rPr>
        <w:t>第二十一条</w:t>
      </w:r>
      <w:r>
        <w:rPr>
          <w:rFonts w:hint="eastAsia"/>
        </w:rPr>
        <w:t>　利用财政资金设立的研究开发机构、高等院校转移其持有的科技成果，应当通过协议定价、在技术交易市场挂牌交易、拍卖等方式确定价格。通过协议定价的，应当在本单位公示科技成果名称、拟交易价格。公示时间不少于十五日。</w:t>
      </w:r>
    </w:p>
    <w:p>
      <w:pPr>
        <w:pStyle w:val="Normal"/>
        <w:ind w:firstLineChars="200" w:startChars="0" w:start="0" w:endChars="0" w:end="0"/>
        <w:rPr/>
      </w:pPr>
      <w:r>
        <w:rPr>
          <w:rFonts w:ascii="黑体" w:hAnsi="黑体" w:cs="黑体" w:hint="eastAsia" w:eastAsia="黑体"/>
        </w:rPr>
        <w:t>第二十二条</w:t>
      </w:r>
      <w:r>
        <w:rPr>
          <w:rFonts w:hint="eastAsia"/>
        </w:rPr>
        <w:t>　利用财政资金设立的研究开发机构、高等院校转化科技成果所获得的收入全部留归本单位，由本</w:t>
      </w:r>
      <w:r>
        <w:rPr/>
        <w:t>单位按照国家</w:t>
      </w:r>
      <w:r>
        <w:rPr>
          <w:rFonts w:hint="eastAsia"/>
        </w:rPr>
        <w:t>和本市有关</w:t>
      </w:r>
      <w:r>
        <w:rPr/>
        <w:t>规定</w:t>
      </w:r>
      <w:r>
        <w:rPr>
          <w:rFonts w:hint="eastAsia"/>
        </w:rPr>
        <w:t>管理</w:t>
      </w:r>
      <w:r>
        <w:rPr/>
        <w:t>和使用</w:t>
      </w:r>
      <w:r>
        <w:rPr>
          <w:rFonts w:hint="eastAsia"/>
        </w:rPr>
        <w:t>。</w:t>
      </w:r>
    </w:p>
    <w:p>
      <w:pPr>
        <w:pStyle w:val="Normal"/>
        <w:ind w:firstLineChars="200" w:startChars="0" w:start="0" w:endChars="0" w:end="0"/>
        <w:rPr/>
      </w:pPr>
      <w:r>
        <w:rPr>
          <w:rFonts w:ascii="黑体" w:hAnsi="黑体" w:cs="黑体" w:hint="eastAsia" w:eastAsia="黑体"/>
        </w:rPr>
        <w:t>第二十三条</w:t>
      </w:r>
      <w:r>
        <w:rPr>
          <w:rFonts w:hint="eastAsia"/>
        </w:rPr>
        <w:t>　职务科技成果转化后，科技成果完成单位应当按照本单位的规定或者与科技人员的约定，对完成、转化该项科技成果做出重要贡献的人员给予奖励和报酬。单位未规定、也未与科技人员约定的，按照下列标准执行：</w:t>
      </w:r>
    </w:p>
    <w:p>
      <w:pPr>
        <w:pStyle w:val="Normal"/>
        <w:ind w:firstLineChars="200" w:startChars="0" w:start="0" w:endChars="0" w:end="0"/>
        <w:rPr/>
      </w:pPr>
      <w:r>
        <w:rPr>
          <w:rFonts w:hint="eastAsia"/>
        </w:rPr>
        <w:t>（一）将该项职务科技成果转让、许可给他人实施的，从转让、许可收入扣除相关税费、科技成果维护费、交易过程中的评估费、鉴定费等直接费用后的净收入中</w:t>
      </w:r>
      <w:r>
        <w:rPr/>
        <w:t>，</w:t>
      </w:r>
      <w:r>
        <w:rPr>
          <w:rFonts w:hint="eastAsia"/>
        </w:rPr>
        <w:t>提取不低于百分之五十的比例；</w:t>
      </w:r>
    </w:p>
    <w:p>
      <w:pPr>
        <w:pStyle w:val="Normal"/>
        <w:ind w:firstLineChars="200" w:startChars="0" w:start="0" w:endChars="0" w:end="0"/>
        <w:rPr/>
      </w:pPr>
      <w:r>
        <w:rPr>
          <w:rFonts w:hint="eastAsia"/>
        </w:rPr>
        <w:t>（二）以该项职务科技成果作价投资的，从作价投资取得的股份或者出资比例中</w:t>
      </w:r>
      <w:r>
        <w:rPr/>
        <w:t>，</w:t>
      </w:r>
      <w:r>
        <w:rPr>
          <w:rFonts w:hint="eastAsia"/>
        </w:rPr>
        <w:t>提取不低于百分之五十的比例；</w:t>
      </w:r>
    </w:p>
    <w:p>
      <w:pPr>
        <w:pStyle w:val="Normal"/>
        <w:ind w:firstLineChars="200" w:startChars="0" w:start="0" w:endChars="0" w:end="0"/>
        <w:rPr/>
      </w:pPr>
      <w:r>
        <w:rPr>
          <w:rFonts w:hint="eastAsia"/>
        </w:rPr>
        <w:t>（三）将该项职务科技成果自行实施或者与他人合作实施的，应当在实施转化成功投产后连续三至五年，每年从实施该项科技成果的营业利润中</w:t>
      </w:r>
      <w:r>
        <w:rPr/>
        <w:t>，</w:t>
      </w:r>
      <w:r>
        <w:rPr>
          <w:rFonts w:hint="eastAsia"/>
        </w:rPr>
        <w:t>提取不低于百分之五的比例。</w:t>
      </w:r>
    </w:p>
    <w:p>
      <w:pPr>
        <w:pStyle w:val="Normal"/>
        <w:ind w:firstLineChars="200" w:startChars="0" w:start="0" w:endChars="0" w:end="0"/>
        <w:rPr>
          <w:rFonts w:hint="eastAsia"/>
        </w:rPr>
      </w:pPr>
      <w:r>
        <w:rPr>
          <w:rFonts w:hint="eastAsia"/>
        </w:rPr>
        <w:t>科技成果完成单位在前款规定比例的基础上，根据科技成果转化实际情况，可以自主提高奖励和报酬比例。</w:t>
      </w:r>
    </w:p>
    <w:p>
      <w:pPr>
        <w:pStyle w:val="Normal"/>
        <w:ind w:firstLineChars="200" w:startChars="0" w:start="0" w:endChars="0" w:end="0"/>
        <w:rPr/>
      </w:pPr>
      <w:r>
        <w:rPr>
          <w:rFonts w:ascii="黑体" w:hAnsi="黑体" w:cs="黑体" w:hint="eastAsia" w:eastAsia="黑体"/>
        </w:rPr>
        <w:t>第二十四条　</w:t>
      </w:r>
      <w:r>
        <w:rPr>
          <w:rFonts w:hint="eastAsia"/>
        </w:rPr>
        <w:t>利用财政资金设立的研究开发机构、高等院校依照本条例规定，对完成、转化职务科技成果做出重要贡献的人员给予奖励和报酬的支出，纳入本单位统一管理，但不纳入当年本单位绩效工资总额。</w:t>
      </w:r>
    </w:p>
    <w:p>
      <w:pPr>
        <w:pStyle w:val="Normal"/>
        <w:ind w:firstLineChars="200" w:startChars="0" w:start="0" w:endChars="0" w:end="0"/>
        <w:rPr>
          <w:rFonts w:hint="eastAsia"/>
        </w:rPr>
      </w:pPr>
      <w:r>
        <w:rPr>
          <w:rFonts w:hint="eastAsia"/>
        </w:rPr>
        <w:t>国有企业依照本条例规定，对完成、转化职务科技成果做出重要贡献的人员给予奖励和报酬的支出，计入当年本单位工资总额，但不受当年本单位工资总额限制，不纳入本单位工资总额基数。</w:t>
      </w:r>
    </w:p>
    <w:p>
      <w:pPr>
        <w:pStyle w:val="Normal"/>
        <w:ind w:firstLineChars="200" w:startChars="0" w:start="0" w:endChars="0" w:end="0"/>
        <w:rPr>
          <w:rFonts w:hint="eastAsia"/>
        </w:rPr>
      </w:pPr>
      <w:r>
        <w:rPr>
          <w:rFonts w:ascii="黑体" w:hAnsi="黑体" w:cs="黑体" w:hint="eastAsia" w:eastAsia="黑体"/>
        </w:rPr>
        <w:t>第二十五条　</w:t>
      </w:r>
      <w:r>
        <w:rPr>
          <w:rFonts w:hint="eastAsia"/>
        </w:rPr>
        <w:t>单位对</w:t>
      </w:r>
      <w:r>
        <w:rPr/>
        <w:t>在</w:t>
      </w:r>
      <w:r>
        <w:rPr>
          <w:rFonts w:hint="eastAsia"/>
        </w:rPr>
        <w:t>研究开发</w:t>
      </w:r>
      <w:r>
        <w:rPr/>
        <w:t>和科技成果转化</w:t>
      </w:r>
      <w:r>
        <w:rPr>
          <w:rFonts w:hint="eastAsia"/>
        </w:rPr>
        <w:t>项目</w:t>
      </w:r>
      <w:r>
        <w:rPr/>
        <w:t>中</w:t>
      </w:r>
      <w:r>
        <w:rPr>
          <w:rFonts w:hint="eastAsia"/>
        </w:rPr>
        <w:t>做出</w:t>
      </w:r>
      <w:r>
        <w:rPr/>
        <w:t>主要贡献的人员</w:t>
      </w:r>
      <w:r>
        <w:rPr>
          <w:rFonts w:hint="eastAsia"/>
        </w:rPr>
        <w:t>给予</w:t>
      </w:r>
      <w:r>
        <w:rPr/>
        <w:t>奖励的份额</w:t>
      </w:r>
      <w:r>
        <w:rPr>
          <w:rFonts w:hint="eastAsia"/>
        </w:rPr>
        <w:t>，应当不</w:t>
      </w:r>
      <w:r>
        <w:rPr/>
        <w:t>低于</w:t>
      </w:r>
      <w:r>
        <w:rPr>
          <w:rFonts w:hint="eastAsia"/>
        </w:rPr>
        <w:t>该项目</w:t>
      </w:r>
      <w:r>
        <w:rPr/>
        <w:t>奖励总额</w:t>
      </w:r>
      <w:r>
        <w:rPr>
          <w:rFonts w:hint="eastAsia"/>
        </w:rPr>
        <w:t>的百分之五十</w:t>
      </w:r>
      <w:r>
        <w:rPr/>
        <w:t>。</w:t>
      </w:r>
    </w:p>
    <w:p>
      <w:pPr>
        <w:pStyle w:val="Normal"/>
        <w:ind w:firstLineChars="200" w:startChars="0" w:start="0" w:endChars="0" w:end="0"/>
        <w:rPr/>
      </w:pPr>
      <w:r>
        <w:rPr>
          <w:rFonts w:ascii="黑体" w:hAnsi="黑体" w:cs="黑体" w:hint="eastAsia" w:eastAsia="黑体"/>
        </w:rPr>
        <w:t>第二十六</w:t>
      </w:r>
      <w:r>
        <w:rPr>
          <w:rFonts w:ascii="黑体" w:hAnsi="黑体" w:cs="黑体" w:eastAsia="黑体"/>
        </w:rPr>
        <w:t>条</w:t>
      </w:r>
      <w:r>
        <w:rPr>
          <w:rFonts w:hint="eastAsia"/>
        </w:rPr>
        <w:t>　在利用财政资金设立的研究开发机构、高等院校中担任领导职务的科技人员，是科技成果的主要完成人或者对科技成果转化做出重要贡献的，可以按照有关规定获得科技成果转化的现金、股权等奖励或者报酬。研究开发机构、高等院校应当将其获得奖励和报酬的情况在本单位公示。</w:t>
      </w:r>
    </w:p>
    <w:p>
      <w:pPr>
        <w:pStyle w:val="Normal"/>
        <w:ind w:firstLineChars="200" w:startChars="0" w:start="0" w:endChars="0" w:end="0"/>
        <w:rPr/>
      </w:pPr>
      <w:r>
        <w:rPr>
          <w:rFonts w:ascii="黑体" w:hAnsi="黑体" w:cs="黑体" w:hint="eastAsia" w:eastAsia="黑体"/>
        </w:rPr>
        <w:t>第二十七条</w:t>
      </w:r>
      <w:r>
        <w:rPr>
          <w:rFonts w:hint="eastAsia"/>
        </w:rPr>
        <w:t>　利用财政资金设立的研究开发机构、高等院校和国有企业在实施科技成果转化过程中，通过协议定价、在技术交易市场挂牌交易、拍卖等方式确定科技成果价格后市场价格发生变化的，或者以科技成果对外投资实施转化发生亏损的，其决策程序符合法律、法规、规章规定，且勤勉尽责，未牟取私利的，对单位负责人不作负面评价，免除相关决策责任。</w:t>
      </w:r>
    </w:p>
    <w:p>
      <w:pPr>
        <w:pStyle w:val="Normal"/>
        <w:ind w:firstLineChars="200" w:startChars="0" w:start="0" w:endChars="0" w:end="0"/>
        <w:rPr/>
      </w:pPr>
      <w:r>
        <w:rPr>
          <w:rFonts w:ascii="黑体" w:hAnsi="黑体" w:cs="黑体" w:hint="eastAsia" w:eastAsia="黑体"/>
        </w:rPr>
        <w:t>第二十八条</w:t>
      </w:r>
      <w:r>
        <w:rPr>
          <w:rFonts w:hint="eastAsia"/>
        </w:rPr>
        <w:t>　利用财政资金设立的研究开发机构、高等院校应当按照有关规定，在每年第一季度末向其主管部门提交本单位上年度科技成果转化情况报告，说明本单位依法取得的科技成果数量、实施转化情况以及相关收入分配情况，该主管部门审核后按照要求报送市财政部门和市科学技术行政部门。</w:t>
      </w:r>
    </w:p>
    <w:p>
      <w:pPr>
        <w:pStyle w:val="Normal"/>
        <w:ind w:firstLineChars="200" w:startChars="0" w:start="0" w:endChars="0" w:end="0"/>
        <w:rPr/>
      </w:pPr>
      <w:r>
        <w:rPr/>
      </w:r>
    </w:p>
    <w:p>
      <w:pPr>
        <w:pStyle w:val="Normal"/>
        <w:numPr>
          <w:ilvl w:val="0"/>
          <w:numId w:val="4"/>
        </w:numPr>
        <w:jc w:val="center"/>
        <w:rPr>
          <w:rFonts w:ascii="黑体" w:hAnsi="黑体" w:eastAsia="黑体" w:cs="黑体" w:hint="eastAsia"/>
        </w:rPr>
      </w:pPr>
      <w:r>
        <w:rPr>
          <w:rFonts w:ascii="黑体" w:hAnsi="黑体" w:cs="黑体" w:hint="eastAsia" w:eastAsia="黑体"/>
        </w:rPr>
        <w:t>　企业主体</w:t>
      </w:r>
    </w:p>
    <w:p>
      <w:pPr>
        <w:pStyle w:val="Normal"/>
        <w:numPr>
          <w:ilvl w:val="0"/>
          <w:numId w:val="0"/>
        </w:numPr>
        <w:ind w:hanging="0" w:start="0"/>
        <w:jc w:val="both"/>
        <w:rPr>
          <w:rFonts w:ascii="黑体" w:hAnsi="黑体" w:eastAsia="黑体" w:cs="黑体" w:hint="eastAsia"/>
        </w:rPr>
      </w:pPr>
      <w:r>
        <w:rPr>
          <w:rFonts w:eastAsia="黑体" w:cs="黑体" w:hint="eastAsia" w:ascii="黑体" w:hAnsi="黑体"/>
        </w:rPr>
      </w:r>
    </w:p>
    <w:p>
      <w:pPr>
        <w:pStyle w:val="Normal"/>
        <w:ind w:firstLineChars="200" w:startChars="0" w:start="0" w:endChars="0" w:end="0"/>
        <w:rPr/>
      </w:pPr>
      <w:r>
        <w:rPr>
          <w:rFonts w:ascii="黑体" w:hAnsi="黑体" w:cs="黑体" w:hint="eastAsia" w:eastAsia="黑体"/>
        </w:rPr>
        <w:t>第二十九条　</w:t>
      </w:r>
      <w:r>
        <w:rPr>
          <w:rFonts w:hint="eastAsia"/>
        </w:rPr>
        <w:t>本市鼓励企业在研究开发方向选择、项目实施和成果应用等方面发挥主体作用，支持企业加大研发投入，建立技术研发机构，开展关键、核心技术研发，承接转化国内外科技成果。</w:t>
      </w:r>
    </w:p>
    <w:p>
      <w:pPr>
        <w:pStyle w:val="Normal"/>
        <w:ind w:firstLineChars="200" w:startChars="0" w:start="0" w:endChars="0" w:end="0"/>
        <w:rPr>
          <w:rFonts w:hint="eastAsia"/>
        </w:rPr>
      </w:pPr>
      <w:r>
        <w:rPr>
          <w:rFonts w:ascii="黑体" w:hAnsi="黑体" w:cs="黑体" w:hint="eastAsia" w:eastAsia="黑体"/>
        </w:rPr>
        <w:t>第三十条</w:t>
      </w:r>
      <w:r>
        <w:rPr>
          <w:rFonts w:hint="eastAsia"/>
        </w:rPr>
        <w:t>　本市支持企业加大对科技成果转化的投入，有下列情形之一的，市和区人民政府按照本市有关规定给予财政资金资助、奖励、补贴等政策支持：</w:t>
      </w:r>
    </w:p>
    <w:p>
      <w:pPr>
        <w:pStyle w:val="Normal"/>
        <w:ind w:firstLineChars="200" w:startChars="0" w:start="0" w:endChars="0" w:end="0"/>
        <w:rPr>
          <w:rFonts w:hint="eastAsia"/>
        </w:rPr>
      </w:pPr>
      <w:r>
        <w:rPr>
          <w:rFonts w:hint="eastAsia"/>
        </w:rPr>
        <w:t>（一）承接转化重大创新项目；</w:t>
      </w:r>
    </w:p>
    <w:p>
      <w:pPr>
        <w:pStyle w:val="Normal"/>
        <w:ind w:firstLineChars="200" w:startChars="0" w:start="0" w:endChars="0" w:end="0"/>
        <w:rPr>
          <w:rFonts w:hint="eastAsia"/>
        </w:rPr>
      </w:pPr>
      <w:r>
        <w:rPr>
          <w:rFonts w:hint="eastAsia"/>
        </w:rPr>
        <w:t>（二）承接转化科技成果形成的重点新产品；</w:t>
      </w:r>
    </w:p>
    <w:p>
      <w:pPr>
        <w:pStyle w:val="Normal"/>
        <w:ind w:firstLineChars="200" w:startChars="0" w:start="0" w:endChars="0" w:end="0"/>
        <w:rPr>
          <w:rFonts w:hint="eastAsia"/>
        </w:rPr>
      </w:pPr>
      <w:r>
        <w:rPr>
          <w:rFonts w:hint="eastAsia"/>
        </w:rPr>
        <w:t>（三）与研究开发机构、高等院校合作转化科技成果；</w:t>
      </w:r>
    </w:p>
    <w:p>
      <w:pPr>
        <w:pStyle w:val="Normal"/>
        <w:ind w:firstLineChars="200" w:startChars="0" w:start="0" w:endChars="0" w:end="0"/>
        <w:rPr>
          <w:rFonts w:hint="eastAsia"/>
        </w:rPr>
      </w:pPr>
      <w:r>
        <w:rPr>
          <w:rFonts w:hint="eastAsia"/>
        </w:rPr>
        <w:t>（四）自建或者与研究开发机构、高等院校合作建立重点实验室、工程实验室、工程中心、研发中心、研究院等创新机构；</w:t>
      </w:r>
    </w:p>
    <w:p>
      <w:pPr>
        <w:pStyle w:val="Normal"/>
        <w:ind w:firstLineChars="200" w:startChars="0" w:start="0" w:endChars="0" w:end="0"/>
        <w:rPr>
          <w:rFonts w:hint="eastAsia"/>
        </w:rPr>
      </w:pPr>
      <w:r>
        <w:rPr>
          <w:rFonts w:hint="eastAsia"/>
        </w:rPr>
        <w:t>（五）自建或者与研究开发机构、高等院校合作建立中间试验、工业性试验等科技成果转化平台。</w:t>
      </w:r>
    </w:p>
    <w:p>
      <w:pPr>
        <w:pStyle w:val="Normal"/>
        <w:ind w:firstLineChars="200" w:startChars="0" w:start="0" w:endChars="0" w:end="0"/>
        <w:rPr>
          <w:rFonts w:hint="eastAsia"/>
        </w:rPr>
      </w:pPr>
      <w:r>
        <w:rPr>
          <w:rFonts w:ascii="黑体" w:hAnsi="黑体" w:cs="黑体" w:hint="eastAsia" w:eastAsia="黑体"/>
        </w:rPr>
        <w:t>第三十一条</w:t>
      </w:r>
      <w:r>
        <w:rPr>
          <w:rFonts w:hint="eastAsia"/>
        </w:rPr>
        <w:t>　本市鼓励各类企业发挥自身优势，利用老旧厂房、闲置房屋、商业设施等建设众创空间，制定有利于促进科技成果转化的人事管理制度；支持国有企业职工通过兼职或者离岗创业从事科技成果转化活动。</w:t>
      </w:r>
    </w:p>
    <w:p>
      <w:pPr>
        <w:pStyle w:val="Normal"/>
        <w:ind w:firstLineChars="200" w:startChars="0" w:start="0" w:endChars="0" w:end="0"/>
        <w:rPr/>
      </w:pPr>
      <w:r>
        <w:rPr>
          <w:rFonts w:ascii="黑体" w:hAnsi="黑体" w:cs="黑体" w:hint="eastAsia" w:eastAsia="黑体"/>
        </w:rPr>
        <w:t>第三十二条　</w:t>
      </w:r>
      <w:r>
        <w:rPr>
          <w:rFonts w:hint="eastAsia"/>
        </w:rPr>
        <w:t>本市鼓励企业建立并完善科技成果转化的奖励机制，利用股权出售、股权奖励、股票期权、项目收益分红、岗位分红等方式激励科技人员开展科技成果转化。</w:t>
      </w:r>
    </w:p>
    <w:p>
      <w:pPr>
        <w:pStyle w:val="Normal"/>
        <w:ind w:firstLineChars="200" w:startChars="0" w:start="0" w:endChars="0" w:end="0"/>
        <w:rPr/>
      </w:pPr>
      <w:r>
        <w:rPr>
          <w:rFonts w:ascii="黑体" w:hAnsi="黑体" w:cs="黑体" w:hint="eastAsia" w:eastAsia="黑体"/>
        </w:rPr>
        <w:t>第三十三条　</w:t>
      </w:r>
      <w:r>
        <w:rPr>
          <w:rFonts w:hint="eastAsia"/>
        </w:rPr>
        <w:t>企业为采用新技术、新工艺、新材料、新服务和生产新产品，可以委托专业服务机构征集其所需的科技成果或者征寻科技成果转化的合作者。</w:t>
      </w:r>
    </w:p>
    <w:p>
      <w:pPr>
        <w:pStyle w:val="Normal"/>
        <w:ind w:firstLineChars="200" w:startChars="0" w:start="0" w:endChars="0" w:end="0"/>
        <w:rPr/>
      </w:pPr>
      <w:r>
        <w:rPr>
          <w:rFonts w:ascii="黑体" w:hAnsi="黑体" w:cs="黑体" w:hint="eastAsia" w:eastAsia="黑体"/>
        </w:rPr>
        <w:t>第三十四条</w:t>
      </w:r>
      <w:r>
        <w:rPr>
          <w:rFonts w:hint="eastAsia"/>
        </w:rPr>
        <w:t>　本市鼓励企业与研究开发机构、高等院校构建产学研联合体，形成优势互补、利益共享、风险分担的产学研相结合的市场化协同创新机制，通过企业创新联盟、博士后工作站等产学研合作方式，共同开展研究开发、成果应用与推广、标准研究与制定等活动。</w:t>
      </w:r>
    </w:p>
    <w:p>
      <w:pPr>
        <w:pStyle w:val="Normal"/>
        <w:ind w:firstLineChars="200" w:startChars="0" w:start="0" w:endChars="0" w:end="0"/>
        <w:rPr/>
      </w:pPr>
      <w:r>
        <w:rPr>
          <w:rFonts w:ascii="黑体" w:hAnsi="黑体" w:cs="黑体" w:hint="eastAsia" w:eastAsia="黑体"/>
        </w:rPr>
        <w:t>第三十五条</w:t>
      </w:r>
      <w:r>
        <w:rPr>
          <w:rFonts w:hint="eastAsia"/>
        </w:rPr>
        <w:t>　本市鼓励各类金融机构开展知识产权质押贷款、股权质押贷款等贷款业务，推进面向科技企业的股权投资和信贷投放相结合的投贷联动，为科技成果转化提供金融支持。</w:t>
      </w:r>
    </w:p>
    <w:p>
      <w:pPr>
        <w:pStyle w:val="Normal"/>
        <w:ind w:firstLineChars="200" w:startChars="0" w:start="0" w:endChars="0" w:end="0"/>
        <w:rPr>
          <w:rFonts w:hint="eastAsia"/>
        </w:rPr>
      </w:pPr>
      <w:r>
        <w:rPr>
          <w:rFonts w:hint="eastAsia"/>
        </w:rPr>
        <w:t>市知识产权等部门对企业的知识产权质押贷款给予政策支持。市科学技术行政部门组织建设科技金融对接平台，为科技企业融资提供服务。</w:t>
      </w:r>
    </w:p>
    <w:p>
      <w:pPr>
        <w:pStyle w:val="Normal"/>
        <w:ind w:firstLineChars="200" w:startChars="0" w:start="0" w:endChars="0" w:end="0"/>
        <w:rPr/>
      </w:pPr>
      <w:r>
        <w:rPr>
          <w:rFonts w:ascii="黑体" w:hAnsi="黑体" w:cs="黑体" w:hint="eastAsia" w:eastAsia="黑体"/>
        </w:rPr>
        <w:t>第三十六条</w:t>
      </w:r>
      <w:r>
        <w:rPr>
          <w:rFonts w:hint="eastAsia"/>
        </w:rPr>
        <w:t>　本市鼓励保险机构开发涉及技术转移、自主研发、知识产权等领域的关键设备研发、研发中断、产品质量保证、新产品试用等专属保险产品，推进面向科技企业的保投联动，为科技成果转化提供支持。</w:t>
      </w:r>
    </w:p>
    <w:p>
      <w:pPr>
        <w:pStyle w:val="Normal"/>
        <w:ind w:firstLineChars="200" w:startChars="0" w:start="0" w:endChars="0" w:end="0"/>
        <w:rPr/>
      </w:pPr>
      <w:r>
        <w:rPr>
          <w:rFonts w:ascii="黑体" w:hAnsi="黑体" w:cs="黑体" w:hint="eastAsia" w:eastAsia="黑体"/>
        </w:rPr>
        <w:t>第三十七条　</w:t>
      </w:r>
      <w:r>
        <w:rPr>
          <w:rFonts w:hint="eastAsia"/>
        </w:rPr>
        <w:t>本市通过设立政策性担保资金等方式，支持担保机构为科技企业实施科技成果转化提供贷款担保。</w:t>
      </w:r>
    </w:p>
    <w:p>
      <w:pPr>
        <w:pStyle w:val="Normal"/>
        <w:ind w:firstLineChars="200" w:startChars="0" w:start="0" w:endChars="0" w:end="0"/>
        <w:rPr/>
      </w:pPr>
      <w:r>
        <w:rPr>
          <w:rFonts w:ascii="黑体" w:hAnsi="黑体" w:cs="黑体" w:hint="eastAsia" w:eastAsia="黑体"/>
        </w:rPr>
        <w:t>第三十八条</w:t>
      </w:r>
      <w:r>
        <w:rPr>
          <w:rFonts w:hint="eastAsia"/>
        </w:rPr>
        <w:t>　本市支持科技企业利用多层次资本市场直接融资，促进科技企业改制上市、挂牌交易，鼓励符合条件的上市科技企业通过增发股份、定向收购等方式扩大资本规模，支持科技企业利用债务融资工具进行科技成果转化的项目融资。</w:t>
      </w:r>
    </w:p>
    <w:p>
      <w:pPr>
        <w:pStyle w:val="Normal"/>
        <w:ind w:firstLineChars="200" w:startChars="0" w:start="0" w:endChars="0" w:end="0"/>
        <w:rPr/>
      </w:pPr>
      <w:r>
        <w:rPr/>
      </w:r>
    </w:p>
    <w:p>
      <w:pPr>
        <w:pStyle w:val="Normal"/>
        <w:numPr>
          <w:ilvl w:val="0"/>
          <w:numId w:val="3"/>
        </w:numPr>
        <w:jc w:val="center"/>
        <w:rPr>
          <w:rFonts w:ascii="黑体" w:hAnsi="黑体" w:eastAsia="黑体" w:cs="黑体" w:hint="eastAsia"/>
        </w:rPr>
      </w:pPr>
      <w:r>
        <w:rPr>
          <w:rFonts w:ascii="黑体" w:hAnsi="黑体" w:cs="黑体" w:hint="eastAsia" w:eastAsia="黑体"/>
        </w:rPr>
        <w:t>　技术交易和服务</w:t>
      </w:r>
    </w:p>
    <w:p>
      <w:pPr>
        <w:pStyle w:val="Normal"/>
        <w:numPr>
          <w:ilvl w:val="0"/>
          <w:numId w:val="0"/>
        </w:numPr>
        <w:ind w:hanging="0" w:start="0"/>
        <w:jc w:val="both"/>
        <w:rPr>
          <w:rFonts w:ascii="黑体" w:hAnsi="黑体" w:eastAsia="黑体" w:cs="黑体" w:hint="eastAsia"/>
        </w:rPr>
      </w:pPr>
      <w:r>
        <w:rPr>
          <w:rFonts w:eastAsia="黑体" w:cs="黑体" w:hint="eastAsia" w:ascii="黑体" w:hAnsi="黑体"/>
        </w:rPr>
      </w:r>
    </w:p>
    <w:p>
      <w:pPr>
        <w:pStyle w:val="Normal"/>
        <w:ind w:firstLineChars="200" w:startChars="0" w:start="0" w:endChars="0" w:end="0"/>
        <w:rPr/>
      </w:pPr>
      <w:r>
        <w:rPr>
          <w:rFonts w:ascii="黑体" w:hAnsi="黑体" w:cs="黑体" w:hint="eastAsia" w:eastAsia="黑体"/>
        </w:rPr>
        <w:t>第三十九条</w:t>
      </w:r>
      <w:r>
        <w:rPr>
          <w:rFonts w:hint="eastAsia"/>
        </w:rPr>
        <w:t>　市和区人民政府应当鼓励设立各类科技成果转化专业服务机构，培育和发展技术交易市场，为科技成果转化提供下列服务：</w:t>
      </w:r>
    </w:p>
    <w:p>
      <w:pPr>
        <w:pStyle w:val="Normal"/>
        <w:ind w:firstLineChars="200" w:startChars="0" w:start="0" w:endChars="0" w:end="0"/>
        <w:rPr>
          <w:rFonts w:hint="eastAsia"/>
        </w:rPr>
      </w:pPr>
      <w:r>
        <w:rPr>
          <w:rFonts w:hint="eastAsia"/>
        </w:rPr>
        <w:t>（一）科技成果信息的搜集、筛选、分析、加工；</w:t>
      </w:r>
    </w:p>
    <w:p>
      <w:pPr>
        <w:pStyle w:val="Normal"/>
        <w:ind w:firstLineChars="200" w:startChars="0" w:start="0" w:endChars="0" w:end="0"/>
        <w:rPr>
          <w:rFonts w:hint="eastAsia"/>
        </w:rPr>
      </w:pPr>
      <w:r>
        <w:rPr>
          <w:rFonts w:hint="eastAsia"/>
        </w:rPr>
        <w:t>（二）科技成果的交易代理；</w:t>
      </w:r>
    </w:p>
    <w:p>
      <w:pPr>
        <w:pStyle w:val="Normal"/>
        <w:ind w:firstLineChars="200" w:startChars="0" w:start="0" w:endChars="0" w:end="0"/>
        <w:rPr>
          <w:rFonts w:hint="eastAsia"/>
        </w:rPr>
      </w:pPr>
      <w:r>
        <w:rPr>
          <w:rFonts w:hint="eastAsia"/>
        </w:rPr>
        <w:t>（三）科技成果的价值评估；</w:t>
      </w:r>
    </w:p>
    <w:p>
      <w:pPr>
        <w:pStyle w:val="Normal"/>
        <w:ind w:firstLineChars="200" w:startChars="0" w:start="0" w:endChars="0" w:end="0"/>
        <w:rPr>
          <w:rFonts w:hint="eastAsia"/>
        </w:rPr>
      </w:pPr>
      <w:r>
        <w:rPr>
          <w:rFonts w:hint="eastAsia"/>
        </w:rPr>
        <w:t>（四）科技成果转化人才培训；</w:t>
      </w:r>
    </w:p>
    <w:p>
      <w:pPr>
        <w:pStyle w:val="Normal"/>
        <w:ind w:firstLineChars="200" w:startChars="0" w:start="0" w:endChars="0" w:end="0"/>
        <w:rPr>
          <w:rFonts w:hint="eastAsia"/>
        </w:rPr>
      </w:pPr>
      <w:r>
        <w:rPr>
          <w:rFonts w:hint="eastAsia"/>
        </w:rPr>
        <w:t>（五）科技创业孵化服务；</w:t>
      </w:r>
    </w:p>
    <w:p>
      <w:pPr>
        <w:pStyle w:val="Normal"/>
        <w:ind w:firstLineChars="200" w:startChars="0" w:start="0" w:endChars="0" w:end="0"/>
        <w:rPr>
          <w:rFonts w:hint="eastAsia"/>
        </w:rPr>
      </w:pPr>
      <w:r>
        <w:rPr>
          <w:rFonts w:hint="eastAsia"/>
        </w:rPr>
        <w:t>（六）科技成果转化的其他服务。</w:t>
      </w:r>
    </w:p>
    <w:p>
      <w:pPr>
        <w:pStyle w:val="Normal"/>
        <w:ind w:firstLineChars="200" w:startChars="0" w:start="0" w:endChars="0" w:end="0"/>
        <w:rPr/>
      </w:pPr>
      <w:r>
        <w:rPr>
          <w:rFonts w:ascii="黑体" w:hAnsi="黑体" w:cs="黑体" w:hint="eastAsia" w:eastAsia="黑体"/>
        </w:rPr>
        <w:t>第四十条　</w:t>
      </w:r>
      <w:r>
        <w:rPr>
          <w:rFonts w:hint="eastAsia"/>
        </w:rPr>
        <w:t>本市支持创办以科技成果转化为主要内容、专业服务水平高、创新资源配置优、产业辐射带动作用强的科技企业孵化机构。</w:t>
      </w:r>
    </w:p>
    <w:p>
      <w:pPr>
        <w:pStyle w:val="Normal"/>
        <w:ind w:firstLineChars="200" w:startChars="0" w:start="0" w:endChars="0" w:end="0"/>
        <w:rPr>
          <w:rFonts w:hint="eastAsia"/>
        </w:rPr>
      </w:pPr>
      <w:r>
        <w:rPr>
          <w:rFonts w:hint="eastAsia"/>
        </w:rPr>
        <w:t>科技企业孵化机构应当加强服务设施和功能建设，为初创期科技企业科技成果转化提供管理运营、技术研发、检测检验、管理咨询等服务。</w:t>
      </w:r>
    </w:p>
    <w:p>
      <w:pPr>
        <w:pStyle w:val="Normal"/>
        <w:ind w:firstLineChars="200" w:startChars="0" w:start="0" w:endChars="0" w:end="0"/>
        <w:rPr/>
      </w:pPr>
      <w:r>
        <w:rPr>
          <w:rFonts w:ascii="黑体" w:hAnsi="黑体" w:cs="黑体" w:hint="eastAsia" w:eastAsia="黑体"/>
        </w:rPr>
        <w:t>第四十一条</w:t>
      </w:r>
      <w:r>
        <w:rPr>
          <w:rFonts w:hint="eastAsia"/>
        </w:rPr>
        <w:t>　技术交易活动应当有利于加速科技成果的转化、应用和推广，遵守法律、法规和有关规定，不得损害国家利益和社会公共利益。</w:t>
      </w:r>
    </w:p>
    <w:p>
      <w:pPr>
        <w:pStyle w:val="Normal"/>
        <w:ind w:firstLineChars="200" w:startChars="0" w:start="0" w:endChars="0" w:end="0"/>
        <w:rPr/>
      </w:pPr>
      <w:r>
        <w:rPr>
          <w:rFonts w:ascii="黑体" w:hAnsi="黑体" w:cs="黑体" w:hint="eastAsia" w:eastAsia="黑体"/>
        </w:rPr>
        <w:t>第四十二条</w:t>
      </w:r>
      <w:r>
        <w:rPr>
          <w:rFonts w:hint="eastAsia"/>
        </w:rPr>
        <w:t>　在技术交易活动中，禁止下列行为：</w:t>
      </w:r>
    </w:p>
    <w:p>
      <w:pPr>
        <w:pStyle w:val="Normal"/>
        <w:ind w:firstLineChars="200" w:startChars="0" w:start="0" w:endChars="0" w:end="0"/>
        <w:rPr>
          <w:rFonts w:hint="eastAsia"/>
        </w:rPr>
      </w:pPr>
      <w:r>
        <w:rPr>
          <w:rFonts w:hint="eastAsia"/>
        </w:rPr>
        <w:t>（一）侵犯他人知识产权、技术权益；</w:t>
      </w:r>
    </w:p>
    <w:p>
      <w:pPr>
        <w:pStyle w:val="Normal"/>
        <w:ind w:firstLineChars="200" w:startChars="0" w:start="0" w:endChars="0" w:end="0"/>
        <w:rPr>
          <w:rFonts w:hint="eastAsia"/>
        </w:rPr>
      </w:pPr>
      <w:r>
        <w:rPr>
          <w:rFonts w:hint="eastAsia"/>
        </w:rPr>
        <w:t>（二）窃取、泄露他人技术秘密；</w:t>
      </w:r>
    </w:p>
    <w:p>
      <w:pPr>
        <w:pStyle w:val="Normal"/>
        <w:ind w:firstLineChars="200" w:startChars="0" w:start="0" w:endChars="0" w:end="0"/>
        <w:rPr>
          <w:rFonts w:hint="eastAsia"/>
        </w:rPr>
      </w:pPr>
      <w:r>
        <w:rPr>
          <w:rFonts w:hint="eastAsia"/>
        </w:rPr>
        <w:t>（三）假冒专利技术；</w:t>
      </w:r>
    </w:p>
    <w:p>
      <w:pPr>
        <w:pStyle w:val="Normal"/>
        <w:ind w:firstLineChars="200" w:startChars="0" w:start="0" w:endChars="0" w:end="0"/>
        <w:rPr>
          <w:rFonts w:hint="eastAsia"/>
        </w:rPr>
      </w:pPr>
      <w:r>
        <w:rPr>
          <w:rFonts w:hint="eastAsia"/>
        </w:rPr>
        <w:t>（四）做虚假广告、宣传；</w:t>
      </w:r>
    </w:p>
    <w:p>
      <w:pPr>
        <w:pStyle w:val="Normal"/>
        <w:ind w:firstLineChars="200" w:startChars="0" w:start="0" w:endChars="0" w:end="0"/>
        <w:rPr>
          <w:rFonts w:hint="eastAsia"/>
        </w:rPr>
      </w:pPr>
      <w:r>
        <w:rPr>
          <w:rFonts w:hint="eastAsia"/>
        </w:rPr>
        <w:t>（五）串通招标、投标；</w:t>
      </w:r>
    </w:p>
    <w:p>
      <w:pPr>
        <w:pStyle w:val="Normal"/>
        <w:ind w:firstLineChars="200" w:startChars="0" w:start="0" w:endChars="0" w:end="0"/>
        <w:rPr>
          <w:rFonts w:hint="eastAsia"/>
        </w:rPr>
      </w:pPr>
      <w:r>
        <w:rPr>
          <w:rFonts w:hint="eastAsia"/>
        </w:rPr>
        <w:t>（六）以欺骗、胁迫等手段签订技术合同；</w:t>
      </w:r>
    </w:p>
    <w:p>
      <w:pPr>
        <w:pStyle w:val="Normal"/>
        <w:ind w:firstLineChars="200" w:startChars="0" w:start="0" w:endChars="0" w:end="0"/>
        <w:rPr>
          <w:rFonts w:hint="eastAsia"/>
        </w:rPr>
      </w:pPr>
      <w:r>
        <w:rPr>
          <w:rFonts w:hint="eastAsia"/>
        </w:rPr>
        <w:t>（七）国家法律、法规禁止的其他行为。</w:t>
      </w:r>
    </w:p>
    <w:p>
      <w:pPr>
        <w:pStyle w:val="Normal"/>
        <w:ind w:firstLineChars="200" w:startChars="0" w:start="0" w:endChars="0" w:end="0"/>
        <w:rPr/>
      </w:pPr>
      <w:r>
        <w:rPr>
          <w:rFonts w:ascii="黑体" w:hAnsi="黑体" w:cs="黑体" w:hint="eastAsia" w:eastAsia="黑体"/>
        </w:rPr>
        <w:t>第四十三条</w:t>
      </w:r>
      <w:r>
        <w:rPr>
          <w:rFonts w:hint="eastAsia"/>
        </w:rPr>
        <w:t>　从事技术交易的，应当按照《中华人民共和国合同法》的相关规定订立技术合同。</w:t>
      </w:r>
    </w:p>
    <w:p>
      <w:pPr>
        <w:pStyle w:val="Normal"/>
        <w:ind w:firstLineChars="200" w:startChars="0" w:start="0" w:endChars="0" w:end="0"/>
        <w:rPr>
          <w:rFonts w:hint="eastAsia"/>
        </w:rPr>
      </w:pPr>
      <w:r>
        <w:rPr>
          <w:rFonts w:hint="eastAsia"/>
        </w:rPr>
        <w:t>技术合同签订后需要进行认定登记的，技术开发合同的研究开发人、技术转让合同的让与人、技术咨询和技术服务合同的受托人应当向所在地的技术合同登记机构提出认定登记申请。</w:t>
      </w:r>
    </w:p>
    <w:p>
      <w:pPr>
        <w:pStyle w:val="Normal"/>
        <w:ind w:firstLineChars="200" w:startChars="0" w:start="0" w:endChars="0" w:end="0"/>
        <w:rPr/>
      </w:pPr>
      <w:r>
        <w:rPr>
          <w:rFonts w:ascii="黑体" w:hAnsi="黑体" w:cs="黑体" w:hint="eastAsia" w:eastAsia="黑体"/>
        </w:rPr>
        <w:t>第四十四条　</w:t>
      </w:r>
      <w:r>
        <w:rPr>
          <w:rFonts w:hint="eastAsia"/>
        </w:rPr>
        <w:t>合作进行科技成果转化的各方，应当就保守技术秘密达成协议。当事人不得违反协议或者违反权利人有关保守技术秘密的要求，披露或者允许他人使用该项技术。</w:t>
      </w:r>
    </w:p>
    <w:p>
      <w:pPr>
        <w:pStyle w:val="Normal"/>
        <w:ind w:firstLineChars="200" w:startChars="0" w:start="0" w:endChars="0" w:end="0"/>
        <w:rPr/>
      </w:pPr>
      <w:r>
        <w:rPr/>
      </w:r>
    </w:p>
    <w:p>
      <w:pPr>
        <w:pStyle w:val="Normal"/>
        <w:numPr>
          <w:ilvl w:val="0"/>
          <w:numId w:val="2"/>
        </w:numPr>
        <w:jc w:val="center"/>
        <w:rPr>
          <w:rFonts w:ascii="黑体" w:hAnsi="黑体" w:eastAsia="黑体" w:cs="黑体" w:hint="eastAsia"/>
        </w:rPr>
      </w:pPr>
      <w:r>
        <w:rPr>
          <w:rFonts w:ascii="黑体" w:hAnsi="黑体" w:cs="黑体" w:hint="eastAsia" w:eastAsia="黑体"/>
        </w:rPr>
        <w:t>　法律责任</w:t>
      </w:r>
    </w:p>
    <w:p>
      <w:pPr>
        <w:pStyle w:val="Normal"/>
        <w:numPr>
          <w:ilvl w:val="0"/>
          <w:numId w:val="0"/>
        </w:numPr>
        <w:ind w:hanging="0" w:start="0"/>
        <w:jc w:val="both"/>
        <w:rPr>
          <w:rFonts w:ascii="黑体" w:hAnsi="黑体" w:eastAsia="黑体" w:cs="黑体" w:hint="eastAsia"/>
        </w:rPr>
      </w:pPr>
      <w:r>
        <w:rPr>
          <w:rFonts w:eastAsia="黑体" w:cs="黑体" w:hint="eastAsia" w:ascii="黑体" w:hAnsi="黑体"/>
        </w:rPr>
      </w:r>
    </w:p>
    <w:p>
      <w:pPr>
        <w:pStyle w:val="Normal"/>
        <w:ind w:firstLineChars="200" w:startChars="0" w:start="0" w:endChars="0" w:end="0"/>
        <w:jc w:val="start"/>
        <w:rPr/>
      </w:pPr>
      <w:r>
        <w:rPr>
          <w:rFonts w:ascii="黑体" w:hAnsi="黑体" w:cs="黑体" w:hint="eastAsia" w:eastAsia="黑体"/>
        </w:rPr>
        <w:t>第四十五条　</w:t>
      </w:r>
      <w:r>
        <w:rPr>
          <w:rFonts w:hint="eastAsia"/>
        </w:rPr>
        <w:t>违反本条例规定的行为，相关法律、法规已有规定的，从其规定。</w:t>
      </w:r>
    </w:p>
    <w:p>
      <w:pPr>
        <w:pStyle w:val="Normal"/>
        <w:ind w:firstLineChars="200" w:startChars="0" w:start="0" w:endChars="0" w:end="0"/>
        <w:rPr/>
      </w:pPr>
      <w:r>
        <w:rPr>
          <w:rFonts w:ascii="黑体" w:hAnsi="黑体" w:cs="黑体" w:hint="eastAsia" w:eastAsia="黑体"/>
        </w:rPr>
        <w:t>第四十六条　</w:t>
      </w:r>
      <w:r>
        <w:rPr>
          <w:rFonts w:hint="eastAsia"/>
        </w:rPr>
        <w:t>违反本条例规定，利用财政资金设立的科技项目的承担者无正当理由未提交科技报告、未汇交科技成果及相关知识产权信息，或者未按照规定时间开展科技成果转化工作的，由政府有关主管部门、管理机构责令改正；情节严重的，追缴财政资金，予以通报批评、记入科研诚信档案，并禁止其在规定期限内承担利用财政资金设立的科技项目。</w:t>
      </w:r>
    </w:p>
    <w:p>
      <w:pPr>
        <w:pStyle w:val="Normal"/>
        <w:ind w:firstLineChars="200" w:startChars="0" w:start="0" w:endChars="0" w:end="0"/>
        <w:rPr/>
      </w:pPr>
      <w:r>
        <w:rPr>
          <w:rFonts w:ascii="黑体" w:hAnsi="黑体" w:cs="黑体" w:hint="eastAsia" w:eastAsia="黑体"/>
        </w:rPr>
        <w:t>第四十七条　</w:t>
      </w:r>
      <w:r>
        <w:rPr>
          <w:rFonts w:hint="eastAsia"/>
        </w:rPr>
        <w:t>单位和个人在技术交易活动中，违反本条例第四十二条规定的，由有关部门依法处理；构成犯罪的，依法追究刑事责任。</w:t>
      </w:r>
    </w:p>
    <w:p>
      <w:pPr>
        <w:pStyle w:val="Normal"/>
        <w:ind w:firstLineChars="200" w:startChars="0" w:start="0" w:endChars="0" w:end="0"/>
        <w:rPr/>
      </w:pPr>
      <w:r>
        <w:rPr>
          <w:rFonts w:ascii="黑体" w:hAnsi="黑体" w:cs="黑体" w:hint="eastAsia" w:eastAsia="黑体"/>
        </w:rPr>
        <w:t>第四十八条　</w:t>
      </w:r>
      <w:r>
        <w:rPr>
          <w:rFonts w:hint="eastAsia"/>
        </w:rPr>
        <w:t>科学技术等相关行政部门及其工作人员，在科技成果转化活动中玩忽职守、滥用职权、徇私舞弊或者有其他失职、渎职行为的，由任免机关或者监察机关对直接负责的主管人员和其他直接责任人员依法给予处分；构成犯罪的，依法追究刑事责任。</w:t>
      </w:r>
    </w:p>
    <w:p>
      <w:pPr>
        <w:pStyle w:val="Normal"/>
        <w:jc w:val="center"/>
        <w:rPr>
          <w:rFonts w:ascii="黑体" w:hAnsi="黑体" w:eastAsia="黑体" w:cs="黑体"/>
        </w:rPr>
      </w:pPr>
      <w:r>
        <w:rPr>
          <w:rFonts w:eastAsia="黑体" w:cs="黑体" w:ascii="黑体" w:hAnsi="黑体"/>
        </w:rPr>
      </w:r>
    </w:p>
    <w:p>
      <w:pPr>
        <w:pStyle w:val="Normal"/>
        <w:numPr>
          <w:ilvl w:val="0"/>
          <w:numId w:val="1"/>
        </w:numPr>
        <w:jc w:val="center"/>
        <w:rPr>
          <w:rFonts w:ascii="黑体" w:hAnsi="黑体" w:eastAsia="黑体" w:cs="黑体" w:hint="eastAsia"/>
        </w:rPr>
      </w:pPr>
      <w:r>
        <w:rPr>
          <w:rFonts w:ascii="黑体" w:hAnsi="黑体" w:cs="黑体" w:hint="eastAsia" w:eastAsia="黑体"/>
        </w:rPr>
        <w:t>　附  则</w:t>
      </w:r>
    </w:p>
    <w:p>
      <w:pPr>
        <w:pStyle w:val="Normal"/>
        <w:numPr>
          <w:ilvl w:val="0"/>
          <w:numId w:val="0"/>
        </w:numPr>
        <w:ind w:hanging="0" w:start="0"/>
        <w:jc w:val="both"/>
        <w:rPr>
          <w:rFonts w:ascii="黑体" w:hAnsi="黑体" w:eastAsia="黑体" w:cs="黑体" w:hint="eastAsia"/>
        </w:rPr>
      </w:pPr>
      <w:r>
        <w:rPr>
          <w:rFonts w:eastAsia="黑体" w:cs="黑体" w:hint="eastAsia" w:ascii="黑体" w:hAnsi="黑体"/>
        </w:rPr>
      </w:r>
    </w:p>
    <w:p>
      <w:pPr>
        <w:pStyle w:val="Normal"/>
        <w:ind w:firstLineChars="200" w:startChars="0" w:start="0" w:endChars="0" w:end="0"/>
        <w:rPr>
          <w:rFonts w:ascii="仿宋_GB2312" w:hAnsi="仿宋_GB2312" w:eastAsia="仿宋_GB2312" w:cs="仿宋_GB2312" w:hint="eastAsia"/>
        </w:rPr>
      </w:pPr>
      <w:r>
        <w:rPr>
          <w:rFonts w:ascii="黑体" w:hAnsi="黑体" w:cs="黑体" w:hint="eastAsia" w:eastAsia="黑体"/>
        </w:rPr>
        <w:t>第四十九条　</w:t>
      </w:r>
      <w:r>
        <w:rPr>
          <w:rFonts w:ascii="仿宋_GB2312" w:hAnsi="仿宋_GB2312" w:cs="仿宋_GB2312" w:hint="eastAsia"/>
        </w:rPr>
        <w:t>本条例自</w:t>
      </w:r>
      <w:r>
        <w:rPr>
          <w:rFonts w:eastAsia="仿宋_GB2312" w:cs="仿宋_GB2312" w:hint="eastAsia" w:ascii="仿宋_GB2312" w:hAnsi="仿宋_GB2312"/>
        </w:rPr>
        <w:t>2017</w:t>
      </w:r>
      <w:r>
        <w:rPr>
          <w:rFonts w:ascii="仿宋_GB2312" w:hAnsi="仿宋_GB2312" w:cs="仿宋_GB2312" w:hint="eastAsia"/>
        </w:rPr>
        <w:t>年</w:t>
      </w:r>
      <w:r>
        <w:rPr>
          <w:rFonts w:eastAsia="仿宋_GB2312" w:cs="仿宋_GB2312" w:hint="eastAsia" w:ascii="仿宋_GB2312" w:hAnsi="仿宋_GB2312"/>
        </w:rPr>
        <w:t>9</w:t>
      </w:r>
      <w:r>
        <w:rPr>
          <w:rFonts w:ascii="仿宋_GB2312" w:hAnsi="仿宋_GB2312" w:cs="仿宋_GB2312" w:hint="eastAsia"/>
        </w:rPr>
        <w:t>月</w:t>
      </w:r>
      <w:r>
        <w:rPr>
          <w:rFonts w:eastAsia="仿宋_GB2312" w:cs="仿宋_GB2312" w:hint="eastAsia" w:ascii="仿宋_GB2312" w:hAnsi="仿宋_GB2312"/>
        </w:rPr>
        <w:t>1</w:t>
      </w:r>
      <w:r>
        <w:rPr>
          <w:rFonts w:ascii="仿宋_GB2312" w:hAnsi="仿宋_GB2312" w:cs="仿宋_GB2312" w:hint="eastAsia"/>
        </w:rPr>
        <w:t>日起施行。</w:t>
      </w:r>
      <w:r>
        <w:rPr>
          <w:rFonts w:eastAsia="仿宋_GB2312" w:cs="仿宋_GB2312" w:hint="eastAsia" w:ascii="仿宋_GB2312" w:hAnsi="仿宋_GB2312"/>
        </w:rPr>
        <w:t>1998</w:t>
      </w:r>
      <w:r>
        <w:rPr>
          <w:rFonts w:ascii="仿宋_GB2312" w:hAnsi="仿宋_GB2312" w:cs="仿宋_GB2312" w:hint="eastAsia"/>
        </w:rPr>
        <w:t>年</w:t>
      </w:r>
      <w:r>
        <w:rPr>
          <w:rFonts w:eastAsia="仿宋_GB2312" w:cs="仿宋_GB2312" w:hint="eastAsia" w:ascii="仿宋_GB2312" w:hAnsi="仿宋_GB2312"/>
        </w:rPr>
        <w:t>4</w:t>
      </w:r>
      <w:r>
        <w:rPr>
          <w:rFonts w:ascii="仿宋_GB2312" w:hAnsi="仿宋_GB2312" w:cs="仿宋_GB2312" w:hint="eastAsia"/>
        </w:rPr>
        <w:t>月</w:t>
      </w:r>
      <w:r>
        <w:rPr>
          <w:rFonts w:eastAsia="仿宋_GB2312" w:cs="仿宋_GB2312" w:hint="eastAsia" w:ascii="仿宋_GB2312" w:hAnsi="仿宋_GB2312"/>
        </w:rPr>
        <w:t>14</w:t>
      </w:r>
      <w:r>
        <w:rPr>
          <w:rFonts w:ascii="仿宋_GB2312" w:hAnsi="仿宋_GB2312" w:cs="仿宋_GB2312" w:hint="eastAsia"/>
        </w:rPr>
        <w:t>日天津市第十二届人民代表大会常务委员会第四十一次会议通过、</w:t>
      </w:r>
      <w:r>
        <w:rPr>
          <w:rFonts w:eastAsia="仿宋_GB2312" w:cs="仿宋_GB2312" w:hint="eastAsia" w:ascii="仿宋_GB2312" w:hAnsi="仿宋_GB2312"/>
        </w:rPr>
        <w:t>2001</w:t>
      </w:r>
      <w:r>
        <w:rPr>
          <w:rFonts w:ascii="仿宋_GB2312" w:hAnsi="仿宋_GB2312" w:cs="仿宋_GB2312" w:hint="eastAsia"/>
        </w:rPr>
        <w:t>年</w:t>
      </w:r>
      <w:r>
        <w:rPr>
          <w:rFonts w:eastAsia="仿宋_GB2312" w:cs="仿宋_GB2312" w:hint="eastAsia" w:ascii="仿宋_GB2312" w:hAnsi="仿宋_GB2312"/>
        </w:rPr>
        <w:t>12</w:t>
      </w:r>
      <w:r>
        <w:rPr>
          <w:rFonts w:ascii="仿宋_GB2312" w:hAnsi="仿宋_GB2312" w:cs="仿宋_GB2312" w:hint="eastAsia"/>
        </w:rPr>
        <w:t>月</w:t>
      </w:r>
      <w:r>
        <w:rPr>
          <w:rFonts w:eastAsia="仿宋_GB2312" w:cs="仿宋_GB2312" w:hint="eastAsia" w:ascii="仿宋_GB2312" w:hAnsi="仿宋_GB2312"/>
        </w:rPr>
        <w:t>28</w:t>
      </w:r>
      <w:r>
        <w:rPr>
          <w:rFonts w:ascii="仿宋_GB2312" w:hAnsi="仿宋_GB2312" w:cs="仿宋_GB2312" w:hint="eastAsia"/>
        </w:rPr>
        <w:t>日天津市第十三届人民代表大会常务委员会第二十九次会议和</w:t>
      </w:r>
      <w:r>
        <w:rPr>
          <w:rFonts w:eastAsia="仿宋_GB2312" w:cs="仿宋_GB2312" w:hint="eastAsia" w:ascii="仿宋_GB2312" w:hAnsi="仿宋_GB2312"/>
        </w:rPr>
        <w:t>2016</w:t>
      </w:r>
      <w:r>
        <w:rPr>
          <w:rFonts w:ascii="仿宋_GB2312" w:hAnsi="仿宋_GB2312" w:cs="仿宋_GB2312" w:hint="eastAsia"/>
        </w:rPr>
        <w:t>年</w:t>
      </w:r>
      <w:r>
        <w:rPr>
          <w:rFonts w:eastAsia="仿宋_GB2312" w:cs="仿宋_GB2312" w:hint="eastAsia" w:ascii="仿宋_GB2312" w:hAnsi="仿宋_GB2312"/>
        </w:rPr>
        <w:t>3</w:t>
      </w:r>
      <w:r>
        <w:rPr>
          <w:rFonts w:ascii="仿宋_GB2312" w:hAnsi="仿宋_GB2312" w:cs="仿宋_GB2312" w:hint="eastAsia"/>
        </w:rPr>
        <w:t>月</w:t>
      </w:r>
      <w:r>
        <w:rPr>
          <w:rFonts w:eastAsia="仿宋_GB2312" w:cs="仿宋_GB2312" w:hint="eastAsia" w:ascii="仿宋_GB2312" w:hAnsi="仿宋_GB2312"/>
        </w:rPr>
        <w:t>30</w:t>
      </w:r>
      <w:r>
        <w:rPr>
          <w:rFonts w:ascii="仿宋_GB2312" w:hAnsi="仿宋_GB2312" w:cs="仿宋_GB2312" w:hint="eastAsia"/>
        </w:rPr>
        <w:t>日天津市第十六届人民代表大会常务委员会第二十五次会议修正的《天津市促进科技成果转化条例》和</w:t>
      </w:r>
      <w:r>
        <w:rPr>
          <w:rFonts w:eastAsia="仿宋_GB2312" w:cs="仿宋_GB2312" w:hint="eastAsia" w:ascii="仿宋_GB2312" w:hAnsi="仿宋_GB2312"/>
        </w:rPr>
        <w:t>2000</w:t>
      </w:r>
      <w:r>
        <w:rPr>
          <w:rFonts w:ascii="仿宋_GB2312" w:hAnsi="仿宋_GB2312" w:cs="仿宋_GB2312" w:hint="eastAsia"/>
        </w:rPr>
        <w:t>年</w:t>
      </w:r>
      <w:r>
        <w:rPr>
          <w:rFonts w:eastAsia="仿宋_GB2312" w:cs="仿宋_GB2312" w:hint="eastAsia" w:ascii="仿宋_GB2312" w:hAnsi="仿宋_GB2312"/>
        </w:rPr>
        <w:t>11</w:t>
      </w:r>
      <w:r>
        <w:rPr>
          <w:rFonts w:ascii="仿宋_GB2312" w:hAnsi="仿宋_GB2312" w:cs="仿宋_GB2312" w:hint="eastAsia"/>
        </w:rPr>
        <w:t>月</w:t>
      </w:r>
      <w:r>
        <w:rPr>
          <w:rFonts w:eastAsia="仿宋_GB2312" w:cs="仿宋_GB2312" w:hint="eastAsia" w:ascii="仿宋_GB2312" w:hAnsi="仿宋_GB2312"/>
        </w:rPr>
        <w:t>8</w:t>
      </w:r>
      <w:r>
        <w:rPr>
          <w:rFonts w:ascii="仿宋_GB2312" w:hAnsi="仿宋_GB2312" w:cs="仿宋_GB2312" w:hint="eastAsia"/>
        </w:rPr>
        <w:t>日天津市第十三届人民代表大会常务委员会第二十次会议通过、</w:t>
      </w:r>
      <w:r>
        <w:rPr>
          <w:rFonts w:eastAsia="仿宋_GB2312" w:cs="仿宋_GB2312" w:hint="eastAsia" w:ascii="仿宋_GB2312" w:hAnsi="仿宋_GB2312"/>
        </w:rPr>
        <w:t>2004</w:t>
      </w:r>
      <w:r>
        <w:rPr>
          <w:rFonts w:ascii="仿宋_GB2312" w:hAnsi="仿宋_GB2312" w:cs="仿宋_GB2312" w:hint="eastAsia"/>
        </w:rPr>
        <w:t>年</w:t>
      </w:r>
      <w:r>
        <w:rPr>
          <w:rFonts w:eastAsia="仿宋_GB2312" w:cs="仿宋_GB2312" w:hint="eastAsia" w:ascii="仿宋_GB2312" w:hAnsi="仿宋_GB2312"/>
        </w:rPr>
        <w:t>11</w:t>
      </w:r>
      <w:r>
        <w:rPr>
          <w:rFonts w:ascii="仿宋_GB2312" w:hAnsi="仿宋_GB2312" w:cs="仿宋_GB2312" w:hint="eastAsia"/>
        </w:rPr>
        <w:t>月</w:t>
      </w:r>
      <w:r>
        <w:rPr>
          <w:rFonts w:eastAsia="仿宋_GB2312" w:cs="仿宋_GB2312" w:hint="eastAsia" w:ascii="仿宋_GB2312" w:hAnsi="仿宋_GB2312"/>
        </w:rPr>
        <w:t>12</w:t>
      </w:r>
      <w:r>
        <w:rPr>
          <w:rFonts w:ascii="仿宋_GB2312" w:hAnsi="仿宋_GB2312" w:cs="仿宋_GB2312" w:hint="eastAsia"/>
        </w:rPr>
        <w:t>日天津市第十四届人民代表大会常务委员会第十五次会议修正的《天津市促进技术交易条例》同时废止。</w:t>
      </w:r>
    </w:p>
    <w:p>
      <w:pPr>
        <w:pStyle w:val="Normal"/>
        <w:keepNext w:val="false"/>
        <w:keepLines w:val="false"/>
        <w:pageBreakBefore w:val="false"/>
        <w:widowControl w:val="false"/>
        <w:kinsoku w:val="true"/>
        <w:overflowPunct w:val="true"/>
        <w:autoSpaceDE w:val="true"/>
        <w:bidi w:val="0"/>
        <w:spacing w:lineRule="atLeast" w:line="300"/>
        <w:ind w:firstLineChars="150" w:startChars="0" w:start="0" w:endChars="0" w:end="0"/>
        <w:textAlignment w:val="auto"/>
        <w:rPr>
          <w:rFonts w:ascii="Times New Roman" w:hAnsi="Times New Roman" w:eastAsia="仿宋_GB2312" w:cs="仿宋_GB2312" w:hint="eastAsia"/>
          <w:kern w:val="0"/>
          <w:szCs w:val="32"/>
          <w:bdr w:val="single" w:sz="4" w:space="0" w:color="000000"/>
        </w:rPr>
      </w:pPr>
      <w:r>
        <w:rPr>
          <w:rFonts w:eastAsia="仿宋_GB2312" w:cs="仿宋_GB2312" w:hint="eastAsia"/>
          <w:kern w:val="0"/>
          <w:szCs w:val="32"/>
          <w:bdr w:val="single" w:sz="4" w:space="0" w:color="000000"/>
        </w:rPr>
      </w:r>
    </w:p>
    <w:p>
      <w:pPr>
        <w:pStyle w:val="Normal"/>
        <w:keepNext w:val="false"/>
        <w:keepLines w:val="false"/>
        <w:pageBreakBefore w:val="false"/>
        <w:widowControl w:val="false"/>
        <w:kinsoku w:val="true"/>
        <w:overflowPunct w:val="true"/>
        <w:autoSpaceDE w:val="true"/>
        <w:bidi w:val="0"/>
        <w:spacing w:lineRule="atLeast" w:line="300"/>
        <w:ind w:firstLineChars="0" w:firstLine="0" w:startChars="0" w:start="0" w:endChars="0" w:end="0"/>
        <w:textAlignment w:val="auto"/>
        <w:rPr>
          <w:rFonts w:ascii="黑体" w:hAnsi="黑体" w:eastAsia="黑体" w:cs="宋体" w:hint="eastAsia"/>
          <w:kern w:val="0"/>
          <w:szCs w:val="32"/>
          <w:bdr w:val="single" w:sz="4" w:space="0" w:color="000000"/>
        </w:rPr>
      </w:pPr>
      <w:r>
        <w:rPr>
          <w:rFonts w:eastAsia="黑体" w:cs="宋体" w:hint="eastAsia" w:ascii="黑体" w:hAnsi="黑体"/>
          <w:kern w:val="0"/>
          <w:szCs w:val="32"/>
          <w:bdr w:val="single" w:sz="4" w:space="0" w:color="000000"/>
        </w:rPr>
      </w:r>
    </w:p>
    <w:sectPr>
      <w:footerReference w:type="default" r:id="rId2"/>
      <w:type w:val="nextPage"/>
      <w:pgSz w:w="11906" w:h="16838"/>
      <w:pgMar w:left="1800" w:right="1466"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ˎ̥">
    <w:altName w:val="Arial Unicode MS"/>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14</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11.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14</w:t>
                    </w:r>
                    <w: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7"/>
      <w:numFmt w:val="taiwaneseCountingThousand"/>
      <w:suff w:val="nothing"/>
      <w:lvlText w:val="第%1章"/>
      <w:lvlJc w:val="start"/>
      <w:pPr>
        <w:tabs>
          <w:tab w:val="num" w:pos="0"/>
        </w:tabs>
        <w:ind w:start="0" w:hanging="0"/>
      </w:pPr>
    </w:lvl>
  </w:abstractNum>
  <w:abstractNum w:abstractNumId="2">
    <w:lvl w:ilvl="0">
      <w:start w:val="6"/>
      <w:numFmt w:val="taiwaneseCountingThousand"/>
      <w:suff w:val="nothing"/>
      <w:lvlText w:val="第%1章"/>
      <w:lvlJc w:val="start"/>
      <w:pPr>
        <w:tabs>
          <w:tab w:val="num" w:pos="0"/>
        </w:tabs>
        <w:ind w:start="0" w:hanging="0"/>
      </w:pPr>
    </w:lvl>
  </w:abstractNum>
  <w:abstractNum w:abstractNumId="3">
    <w:lvl w:ilvl="0">
      <w:start w:val="5"/>
      <w:numFmt w:val="taiwaneseCountingThousand"/>
      <w:suff w:val="nothing"/>
      <w:lvlText w:val="第%1章"/>
      <w:lvlJc w:val="start"/>
      <w:pPr>
        <w:tabs>
          <w:tab w:val="num" w:pos="0"/>
        </w:tabs>
        <w:ind w:start="0" w:hanging="0"/>
      </w:pPr>
    </w:lvl>
  </w:abstractNum>
  <w:abstractNum w:abstractNumId="4">
    <w:lvl w:ilvl="0">
      <w:start w:val="4"/>
      <w:numFmt w:val="taiwaneseCountingThousand"/>
      <w:suff w:val="nothing"/>
      <w:lvlText w:val="第%1章"/>
      <w:lvlJc w:val="start"/>
      <w:pPr>
        <w:tabs>
          <w:tab w:val="num" w:pos="0"/>
        </w:tabs>
        <w:ind w:start="0" w:hanging="0"/>
      </w:pPr>
    </w:lvl>
  </w:abstractNum>
  <w:abstractNum w:abstractNumId="5">
    <w:lvl w:ilvl="0">
      <w:start w:val="3"/>
      <w:numFmt w:val="taiwaneseCountingThousand"/>
      <w:suff w:val="nothing"/>
      <w:lvlText w:val="第%1章"/>
      <w:lvlJc w:val="start"/>
      <w:pPr>
        <w:tabs>
          <w:tab w:val="num" w:pos="0"/>
        </w:tabs>
        <w:ind w:start="0" w:hanging="0"/>
      </w:pPr>
    </w:lvl>
  </w:abstractNum>
  <w:abstractNum w:abstractNumId="6">
    <w:lvl w:ilvl="0">
      <w:start w:val="2"/>
      <w:numFmt w:val="taiwaneseCountingThousand"/>
      <w:suff w:val="nothing"/>
      <w:lvlText w:val="第%1章"/>
      <w:lvlJc w:val="start"/>
      <w:pPr>
        <w:tabs>
          <w:tab w:val="num" w:pos="0"/>
        </w:tabs>
        <w:ind w:start="0" w:hanging="0"/>
      </w:pPr>
    </w:lvl>
  </w:abstractNum>
  <w:abstractNum w:abstractNumId="7">
    <w:lvl w:ilvl="0">
      <w:start w:val="1"/>
      <w:numFmt w:val="taiwaneseCountingThousand"/>
      <w:suff w:val="nothing"/>
      <w:lvlText w:val="第%1章"/>
      <w:lvlJc w:val="start"/>
      <w:pPr>
        <w:tabs>
          <w:tab w:val="num" w:pos="0"/>
        </w:tabs>
        <w:ind w:start="0" w:hanging="0"/>
      </w:p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Hyperlink">
    <w:name w:val="Hyperlink"/>
    <w:rPr>
      <w:rFonts w:ascii="ˎ̥;Arial Unicode MS" w:hAnsi="ˎ̥;Arial Unicode MS" w:cs="ˎ̥;Arial Unicode MS"/>
      <w:strike w:val="false"/>
      <w:dstrike w:val="false"/>
      <w:color w:val="0404B3"/>
      <w:sz w:val="18"/>
      <w:szCs w:val="18"/>
      <w:u w:val="none"/>
    </w:rPr>
  </w:style>
  <w:style w:type="character" w:styleId="PageNumber">
    <w:name w:val="page number"/>
    <w:basedOn w:val="Style14"/>
    <w:rPr/>
  </w:style>
  <w:style w:type="character" w:styleId="CharChar2">
    <w:name w:val=" Char Char2"/>
    <w:qFormat/>
    <w:rPr>
      <w:rFonts w:ascii="宋体" w:hAnsi="宋体" w:cs="Courier New"/>
      <w:kern w:val="2"/>
      <w:sz w:val="21"/>
      <w:szCs w:val="21"/>
    </w:rPr>
  </w:style>
  <w:style w:type="character" w:styleId="CharChar">
    <w:name w:val=" Char Char"/>
    <w:qFormat/>
    <w:rPr>
      <w:rFonts w:eastAsia="仿宋_GB2312"/>
      <w:kern w:val="2"/>
      <w:sz w:val="18"/>
      <w:szCs w:val="18"/>
    </w:rPr>
  </w:style>
  <w:style w:type="character" w:styleId="CharChar1">
    <w:name w:val=" Char Char1"/>
    <w:qFormat/>
    <w:rPr>
      <w:rFonts w:eastAsia="仿宋_GB2312"/>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style>
  <w:style w:type="paragraph" w:styleId="Style16">
    <w:name w:val="纯文本"/>
    <w:basedOn w:val="Normal"/>
    <w:qFormat/>
    <w:pPr/>
    <w:rPr>
      <w:rFonts w:ascii="宋体" w:hAnsi="宋体" w:eastAsia="宋体" w:cs="Courier New"/>
      <w:sz w:val="21"/>
      <w:szCs w:val="21"/>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列出段落"/>
    <w:basedOn w:val="Normal"/>
    <w:qFormat/>
    <w:pPr>
      <w:ind w:firstLineChars="200" w:startChars="0" w:start="0" w:endChars="0" w:end="0"/>
    </w:pPr>
    <w:rPr>
      <w:rFonts w:ascii="Calibri" w:hAnsi="Calibri" w:eastAsia="宋体" w:cs="Calibri"/>
      <w:sz w:val="21"/>
      <w:szCs w:val="22"/>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2017-01-11T10:38:00Z</dcterms:created>
  <dc:creator>lenovo</dc:creator>
  <dc:description/>
  <dc:language>en-US</dc:language>
  <cp:lastModifiedBy>tjrd</cp:lastModifiedBy>
  <cp:lastPrinted>2017-01-11T11:31:00Z</cp:lastPrinted>
  <dcterms:modified xsi:type="dcterms:W3CDTF">2017-08-07T15:46:41Z</dcterms:modified>
  <cp:revision>4</cp:revision>
  <dc:subject/>
  <dc:title>备案报告电子报备标准</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2052-10.1.0.6690</vt:lpwstr>
  </property>
</Properties>
</file>