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20"/>
        <w:jc w:val="center"/>
        <w:textAlignment w:val="auto"/>
        <w:rPr>
          <w:rFonts w:ascii="宋体" w:hAnsi="宋体" w:eastAsia="宋体" w:cs="宋体" w:hint="eastAsia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天津市人民代表大会常务委员会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20"/>
        <w:jc w:val="center"/>
        <w:textAlignment w:val="auto"/>
        <w:rPr>
          <w:rFonts w:ascii="宋体" w:hAnsi="宋体" w:eastAsia="宋体" w:cs="宋体" w:hint="eastAsia"/>
          <w:spacing w:val="-4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关于授权</w:t>
      </w:r>
      <w:r>
        <w:rPr>
          <w:rFonts w:ascii="宋体" w:hAnsi="宋体" w:cs="宋体" w:hint="eastAsia" w:eastAsia="宋体"/>
          <w:spacing w:val="-8"/>
          <w:sz w:val="44"/>
          <w:szCs w:val="44"/>
        </w:rPr>
        <w:t>市人民政府为保障冬奥会</w:t>
      </w:r>
      <w:r>
        <w:rPr>
          <w:rFonts w:ascii="宋体" w:hAnsi="宋体" w:cs="宋体" w:hint="eastAsia" w:eastAsia="宋体"/>
          <w:spacing w:val="-4"/>
          <w:sz w:val="44"/>
          <w:szCs w:val="44"/>
        </w:rPr>
        <w:t>举办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720"/>
        <w:jc w:val="center"/>
        <w:textAlignment w:val="auto"/>
        <w:rPr>
          <w:rFonts w:ascii="宋体" w:hAnsi="宋体" w:eastAsia="宋体" w:cs="宋体" w:hint="eastAsia"/>
          <w:spacing w:val="-4"/>
          <w:sz w:val="44"/>
          <w:szCs w:val="44"/>
        </w:rPr>
      </w:pPr>
      <w:r>
        <w:rPr>
          <w:rFonts w:ascii="宋体" w:hAnsi="宋体" w:cs="宋体" w:hint="eastAsia" w:eastAsia="宋体"/>
          <w:spacing w:val="-4"/>
          <w:sz w:val="44"/>
          <w:szCs w:val="44"/>
        </w:rPr>
        <w:t>规定临时性行政措施的决定</w:t>
      </w:r>
    </w:p>
    <w:p>
      <w:pPr>
        <w:pStyle w:val="Normal"/>
        <w:spacing w:lineRule="exact" w:line="550"/>
        <w:jc w:val="center"/>
        <w:rPr>
          <w:rFonts w:ascii="仿宋_GB2312" w:hAnsi="仿宋_GB2312" w:eastAsia="仿宋_GB2312" w:cs="仿宋_GB2312" w:hint="eastAsia"/>
          <w:spacing w:val="-4"/>
          <w:sz w:val="32"/>
          <w:szCs w:val="32"/>
        </w:rPr>
      </w:pPr>
      <w:r>
        <w:rPr>
          <w:rFonts w:eastAsia="仿宋_GB2312" w:cs="仿宋_GB2312" w:hint="eastAsia" w:ascii="仿宋_GB2312" w:hAnsi="仿宋_GB2312"/>
          <w:spacing w:val="-4"/>
          <w:sz w:val="32"/>
          <w:szCs w:val="32"/>
        </w:rPr>
      </w:r>
    </w:p>
    <w:p>
      <w:pPr>
        <w:pStyle w:val="Normal"/>
        <w:spacing w:lineRule="exact" w:line="550"/>
        <w:ind w:firstLineChars="200" w:startChars="0" w:start="0" w:endChars="0" w:end="0"/>
        <w:jc w:val="both"/>
        <w:rPr>
          <w:rFonts w:ascii="楷体_GB2312" w:hAnsi="楷体_GB2312" w:eastAsia="楷体_GB2312" w:cs="楷体_GB2312" w:hint="eastAsia"/>
          <w:sz w:val="32"/>
          <w:szCs w:val="32"/>
        </w:rPr>
      </w:pPr>
      <w:r>
        <w:rPr>
          <w:rFonts w:ascii="楷体_GB2312" w:hAnsi="楷体_GB2312" w:cs="楷体_GB2312" w:hint="eastAsia" w:eastAsia="楷体_GB2312"/>
          <w:sz w:val="32"/>
          <w:szCs w:val="32"/>
        </w:rPr>
        <w:t>（</w:t>
      </w:r>
      <w:r>
        <w:rPr>
          <w:rFonts w:eastAsia="楷体_GB2312" w:cs="楷体_GB2312" w:hint="eastAsia" w:ascii="楷体_GB2312" w:hAnsi="楷体_GB2312"/>
          <w:sz w:val="32"/>
          <w:szCs w:val="32"/>
        </w:rPr>
        <w:t>2021</w:t>
      </w:r>
      <w:r>
        <w:rPr>
          <w:rFonts w:ascii="楷体_GB2312" w:hAnsi="楷体_GB2312" w:cs="楷体_GB2312" w:hint="eastAsia" w:eastAsia="楷体_GB2312"/>
          <w:sz w:val="32"/>
          <w:szCs w:val="32"/>
        </w:rPr>
        <w:t>年</w:t>
      </w:r>
      <w:r>
        <w:rPr>
          <w:rFonts w:eastAsia="楷体_GB2312" w:cs="楷体_GB2312" w:hint="eastAsia" w:ascii="楷体_GB2312" w:hAnsi="楷体_GB2312"/>
          <w:sz w:val="32"/>
          <w:szCs w:val="32"/>
        </w:rPr>
        <w:t>7</w:t>
      </w:r>
      <w:r>
        <w:rPr>
          <w:rFonts w:ascii="楷体_GB2312" w:hAnsi="楷体_GB2312" w:cs="楷体_GB2312" w:hint="eastAsia" w:eastAsia="楷体_GB2312"/>
          <w:sz w:val="32"/>
          <w:szCs w:val="32"/>
        </w:rPr>
        <w:t>月</w:t>
      </w:r>
      <w:r>
        <w:rPr>
          <w:rFonts w:eastAsia="楷体_GB2312" w:cs="楷体_GB2312" w:hint="eastAsia" w:ascii="楷体_GB2312" w:hAnsi="楷体_GB2312"/>
          <w:sz w:val="32"/>
          <w:szCs w:val="32"/>
        </w:rPr>
        <w:t>30</w:t>
      </w:r>
      <w:r>
        <w:rPr>
          <w:rFonts w:ascii="楷体_GB2312" w:hAnsi="楷体_GB2312" w:cs="楷体_GB2312" w:hint="eastAsia" w:eastAsia="楷体_GB2312"/>
          <w:sz w:val="32"/>
          <w:szCs w:val="32"/>
        </w:rPr>
        <w:t>日天津市第十七届人民代表大会常务委员会第二十八次会议通过）</w:t>
      </w:r>
    </w:p>
    <w:p>
      <w:pPr>
        <w:pStyle w:val="Normal"/>
        <w:spacing w:lineRule="exact" w:line="550"/>
        <w:jc w:val="center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仿宋_GB2312" w:hAnsi="仿宋_GB2312" w:cs="仿宋_GB2312" w:hint="eastAsia"/>
          <w:sz w:val="32"/>
          <w:szCs w:val="32"/>
          <w:u w:val="none"/>
        </w:rPr>
        <w:t>北京</w:t>
      </w:r>
      <w:r>
        <w:rPr>
          <w:rFonts w:eastAsia="仿宋_GB2312" w:cs="仿宋_GB2312" w:hint="eastAsia" w:ascii="仿宋_GB2312" w:hAnsi="仿宋_GB2312"/>
          <w:sz w:val="32"/>
          <w:szCs w:val="32"/>
          <w:u w:val="none"/>
        </w:rPr>
        <w:t>2022</w:t>
      </w:r>
      <w:r>
        <w:rPr>
          <w:rFonts w:ascii="仿宋_GB2312" w:hAnsi="仿宋_GB2312" w:cs="仿宋_GB2312" w:hint="eastAsia"/>
          <w:sz w:val="32"/>
          <w:szCs w:val="32"/>
          <w:u w:val="none"/>
        </w:rPr>
        <w:t>年</w:t>
      </w:r>
      <w:r>
        <w:rPr>
          <w:rFonts w:ascii="Times New Roman" w:hAnsi="Times New Roman" w:cs="Times New Roman"/>
          <w:sz w:val="32"/>
          <w:szCs w:val="32"/>
          <w:u w:val="none"/>
        </w:rPr>
        <w:t>冬奥会</w:t>
      </w:r>
      <w:r>
        <w:rPr>
          <w:rFonts w:cs="Times New Roman" w:hint="eastAsia"/>
          <w:sz w:val="32"/>
          <w:szCs w:val="32"/>
          <w:u w:val="none"/>
        </w:rPr>
        <w:t>和</w:t>
      </w:r>
      <w:r>
        <w:rPr>
          <w:rFonts w:ascii="Times New Roman" w:hAnsi="Times New Roman" w:cs="Times New Roman"/>
          <w:sz w:val="32"/>
          <w:szCs w:val="32"/>
          <w:u w:val="none"/>
        </w:rPr>
        <w:t>冬残奥会（统称冬奥会）</w:t>
      </w:r>
      <w:r>
        <w:rPr>
          <w:rFonts w:ascii="Times New Roman" w:hAnsi="Times New Roman" w:cs="Times New Roman" w:hint="eastAsia"/>
          <w:sz w:val="32"/>
          <w:szCs w:val="32"/>
          <w:u w:val="none"/>
        </w:rPr>
        <w:t>是党和国家的一件大事，是实施京津冀协同发展战略的重要举措。</w:t>
      </w:r>
      <w:r>
        <w:rPr>
          <w:rFonts w:ascii="Times New Roman" w:hAnsi="Times New Roman" w:cs="Times New Roman" w:hint="eastAsia"/>
          <w:sz w:val="32"/>
          <w:szCs w:val="32"/>
        </w:rPr>
        <w:t>为了保障冬奥会筹备和举办工作顺利进行，市第十</w:t>
      </w:r>
      <w:r>
        <w:rPr>
          <w:rFonts w:cs="Times New Roman" w:hint="eastAsia"/>
          <w:sz w:val="32"/>
          <w:szCs w:val="32"/>
        </w:rPr>
        <w:t>七</w:t>
      </w:r>
      <w:r>
        <w:rPr>
          <w:rFonts w:ascii="Times New Roman" w:hAnsi="Times New Roman" w:cs="Times New Roman" w:hint="eastAsia"/>
          <w:sz w:val="32"/>
          <w:szCs w:val="32"/>
        </w:rPr>
        <w:t>届人民代表大会常务委员会第</w:t>
      </w:r>
      <w:r>
        <w:rPr>
          <w:rFonts w:ascii="Times New Roman" w:hAnsi="Times New Roman" w:cs="Times New Roman" w:hint="eastAsia"/>
          <w:sz w:val="32"/>
          <w:szCs w:val="32"/>
        </w:rPr>
        <w:t>二十八</w:t>
      </w:r>
      <w:r>
        <w:rPr>
          <w:rFonts w:ascii="Times New Roman" w:hAnsi="Times New Roman" w:cs="Times New Roman" w:hint="eastAsia"/>
          <w:sz w:val="32"/>
          <w:szCs w:val="32"/>
        </w:rPr>
        <w:t>次会议决定：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一</w:t>
      </w:r>
      <w:r>
        <w:rPr>
          <w:rFonts w:ascii="Times New Roman" w:hAnsi="Times New Roman" w:cs="Times New Roman"/>
          <w:sz w:val="32"/>
          <w:szCs w:val="32"/>
        </w:rPr>
        <w:t>、</w:t>
      </w:r>
      <w:r>
        <w:rPr>
          <w:rFonts w:ascii="Times New Roman" w:hAnsi="Times New Roman" w:cs="Times New Roman" w:hint="eastAsia"/>
          <w:sz w:val="32"/>
          <w:szCs w:val="32"/>
        </w:rPr>
        <w:t>在冬奥会筹备和举办期间，市人民政府</w:t>
      </w:r>
      <w:r>
        <w:rPr>
          <w:rFonts w:ascii="Times New Roman" w:hAnsi="Times New Roman" w:cs="Times New Roman"/>
          <w:sz w:val="32"/>
          <w:szCs w:val="32"/>
        </w:rPr>
        <w:t>在不与法律、行政法规相抵触</w:t>
      </w:r>
      <w:r>
        <w:rPr>
          <w:rFonts w:ascii="Times New Roman" w:hAnsi="Times New Roman" w:cs="Times New Roman" w:hint="eastAsia"/>
          <w:sz w:val="32"/>
          <w:szCs w:val="32"/>
        </w:rPr>
        <w:t>，</w:t>
      </w:r>
      <w:r>
        <w:rPr>
          <w:rFonts w:ascii="Times New Roman" w:hAnsi="Times New Roman" w:cs="Times New Roman"/>
          <w:sz w:val="32"/>
          <w:szCs w:val="32"/>
        </w:rPr>
        <w:t>不与</w:t>
      </w:r>
      <w:r>
        <w:rPr>
          <w:rFonts w:ascii="Times New Roman" w:hAnsi="Times New Roman" w:cs="Times New Roman" w:hint="eastAsia"/>
          <w:sz w:val="32"/>
          <w:szCs w:val="32"/>
        </w:rPr>
        <w:t>本市地方性法规基本原则相违背的前提下，</w:t>
      </w:r>
      <w:r>
        <w:rPr>
          <w:rFonts w:ascii="Times New Roman" w:hAnsi="Times New Roman" w:cs="Times New Roman"/>
          <w:sz w:val="32"/>
          <w:szCs w:val="32"/>
        </w:rPr>
        <w:t>根据必要、适度</w:t>
      </w:r>
      <w:r>
        <w:rPr>
          <w:rFonts w:ascii="Times New Roman" w:hAnsi="Times New Roman" w:cs="Times New Roman" w:hint="eastAsia"/>
          <w:sz w:val="32"/>
          <w:szCs w:val="32"/>
        </w:rPr>
        <w:t>的</w:t>
      </w:r>
      <w:r>
        <w:rPr>
          <w:rFonts w:ascii="Times New Roman" w:hAnsi="Times New Roman" w:cs="Times New Roman"/>
          <w:sz w:val="32"/>
          <w:szCs w:val="32"/>
        </w:rPr>
        <w:t>原则，</w:t>
      </w:r>
      <w:r>
        <w:rPr>
          <w:rFonts w:cs="Times New Roman" w:hint="eastAsia"/>
          <w:sz w:val="32"/>
          <w:szCs w:val="32"/>
        </w:rPr>
        <w:t>可以</w:t>
      </w:r>
      <w:r>
        <w:rPr>
          <w:rFonts w:ascii="Times New Roman" w:hAnsi="Times New Roman" w:cs="Times New Roman" w:hint="eastAsia"/>
          <w:sz w:val="32"/>
          <w:szCs w:val="32"/>
        </w:rPr>
        <w:t>通过制定政府规章或者发布决定的</w:t>
      </w:r>
      <w:r>
        <w:rPr>
          <w:rFonts w:ascii="Times New Roman" w:hAnsi="Times New Roman" w:cs="Times New Roman"/>
          <w:sz w:val="32"/>
          <w:szCs w:val="32"/>
        </w:rPr>
        <w:t>形式</w:t>
      </w:r>
      <w:r>
        <w:rPr>
          <w:rFonts w:ascii="Times New Roman" w:hAnsi="Times New Roman" w:cs="Times New Roman" w:hint="eastAsia"/>
          <w:sz w:val="32"/>
          <w:szCs w:val="32"/>
        </w:rPr>
        <w:t>，</w:t>
      </w:r>
      <w:r>
        <w:rPr>
          <w:rFonts w:ascii="Times New Roman" w:hAnsi="Times New Roman" w:cs="Times New Roman"/>
          <w:sz w:val="32"/>
          <w:szCs w:val="32"/>
        </w:rPr>
        <w:t>在</w:t>
      </w:r>
      <w:r>
        <w:rPr>
          <w:rFonts w:ascii="Times New Roman" w:hAnsi="Times New Roman" w:cs="Times New Roman" w:hint="eastAsia"/>
          <w:kern w:val="0"/>
          <w:sz w:val="32"/>
          <w:szCs w:val="32"/>
        </w:rPr>
        <w:t>环境保护、公共安全、公共卫生、道路交通</w:t>
      </w:r>
      <w:r>
        <w:rPr>
          <w:rFonts w:ascii="Times New Roman" w:hAnsi="Times New Roman" w:cs="Times New Roman" w:hint="eastAsia"/>
          <w:sz w:val="32"/>
          <w:szCs w:val="32"/>
        </w:rPr>
        <w:t>等领域规定临时性行政措施并组织实施。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 w:hint="eastAsia"/>
          <w:sz w:val="32"/>
          <w:szCs w:val="32"/>
        </w:rPr>
        <w:t>二</w:t>
      </w:r>
      <w:r>
        <w:rPr>
          <w:rFonts w:ascii="Times New Roman" w:hAnsi="Times New Roman" w:cs="Times New Roman"/>
          <w:sz w:val="32"/>
          <w:szCs w:val="32"/>
        </w:rPr>
        <w:t>、</w:t>
      </w:r>
      <w:r>
        <w:rPr>
          <w:rFonts w:ascii="Times New Roman" w:hAnsi="Times New Roman" w:cs="Times New Roman" w:hint="eastAsia"/>
          <w:sz w:val="32"/>
          <w:szCs w:val="32"/>
        </w:rPr>
        <w:t>根据</w:t>
      </w:r>
      <w:r>
        <w:rPr>
          <w:rFonts w:ascii="Times New Roman" w:hAnsi="Times New Roman" w:cs="Times New Roman"/>
          <w:sz w:val="32"/>
          <w:szCs w:val="32"/>
        </w:rPr>
        <w:t>本决定</w:t>
      </w:r>
      <w:r>
        <w:rPr>
          <w:rFonts w:ascii="Times New Roman" w:hAnsi="Times New Roman" w:cs="Times New Roman" w:hint="eastAsia"/>
          <w:sz w:val="32"/>
          <w:szCs w:val="32"/>
        </w:rPr>
        <w:t>制定的政府规章或者发布的决定，依法报市人民代表大会常务委员会</w:t>
      </w:r>
      <w:r>
        <w:rPr>
          <w:rFonts w:ascii="Times New Roman" w:hAnsi="Times New Roman" w:cs="Times New Roman"/>
          <w:sz w:val="32"/>
          <w:szCs w:val="32"/>
        </w:rPr>
        <w:t>备案。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200" w:startChars="0" w:start="0" w:endChars="0" w:end="0"/>
        <w:textAlignment w:val="auto"/>
        <w:rPr/>
      </w:pPr>
      <w:r>
        <w:rPr>
          <w:rFonts w:ascii="Times New Roman" w:hAnsi="Times New Roman" w:cs="Times New Roman" w:hint="eastAsia"/>
          <w:sz w:val="32"/>
          <w:szCs w:val="32"/>
        </w:rPr>
        <w:t>三</w:t>
      </w:r>
      <w:r>
        <w:rPr>
          <w:rFonts w:ascii="Times New Roman" w:hAnsi="Times New Roman" w:cs="Times New Roman"/>
          <w:sz w:val="32"/>
          <w:szCs w:val="32"/>
        </w:rPr>
        <w:t>、本决定自公布之日起施行</w:t>
      </w:r>
      <w:r>
        <w:rPr>
          <w:rFonts w:ascii="Times New Roman" w:hAnsi="Times New Roman" w:cs="Times New Roman" w:hint="eastAsia"/>
          <w:sz w:val="32"/>
          <w:szCs w:val="32"/>
        </w:rPr>
        <w:t>，</w:t>
      </w:r>
      <w:r>
        <w:rPr>
          <w:rFonts w:ascii="Times New Roman" w:hAnsi="Times New Roman" w:cs="Times New Roman"/>
          <w:sz w:val="32"/>
          <w:szCs w:val="32"/>
        </w:rPr>
        <w:t>有效期限至</w:t>
      </w:r>
      <w:r>
        <w:rPr>
          <w:rFonts w:ascii="Times New Roman" w:hAnsi="Times New Roman" w:cs="Times New Roman" w:hint="eastAsia"/>
          <w:kern w:val="0"/>
          <w:sz w:val="32"/>
          <w:szCs w:val="32"/>
        </w:rPr>
        <w:t>冬奥会闭幕之日后十五日</w:t>
      </w:r>
      <w:r>
        <w:rPr>
          <w:rFonts w:ascii="Times New Roman" w:hAnsi="Times New Roman" w:cs="Times New Roman" w:hint="eastAsia"/>
          <w:sz w:val="32"/>
          <w:szCs w:val="32"/>
        </w:rPr>
        <w:t>。</w:t>
      </w:r>
    </w:p>
    <w:sectPr>
      <w:type w:val="nextPage"/>
      <w:pgSz w:w="11906" w:h="16838"/>
      <w:pgMar w:left="1531" w:right="1531" w:gutter="0" w:header="0" w:top="2098" w:footer="0" w:bottom="1984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Tahoma">
    <w:altName w:val="Ubuntu"/>
    <w:charset w:val="00" w:characterSet="windows-1252"/>
    <w:family w:val="swiss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rFonts w:eastAsia="仿宋_GB2312"/>
      <w:kern w:val="2"/>
      <w:sz w:val="18"/>
      <w:szCs w:val="18"/>
    </w:rPr>
  </w:style>
  <w:style w:type="character" w:styleId="Char1">
    <w:name w:val="页脚 Char"/>
    <w:qFormat/>
    <w:rPr>
      <w:rFonts w:eastAsia="仿宋_GB2312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 w:eastAsia="仿宋_GB2312"/>
    </w:rPr>
  </w:style>
  <w:style w:type="paragraph" w:styleId="Char2">
    <w:name w:val="Char"/>
    <w:basedOn w:val="Normal"/>
    <w:qFormat/>
    <w:pPr/>
    <w:rPr>
      <w:rFonts w:ascii="Tahoma;Ubuntu" w:hAnsi="Tahoma;Ubuntu" w:eastAsia="宋体" w:cs="Tahoma;Ubuntu"/>
      <w:sz w:val="24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2009-11-21T00:28:00Z</dcterms:created>
  <dc:creator>Windows Xp</dc:creator>
  <dc:description/>
  <dc:language>en-US</dc:language>
  <cp:lastModifiedBy>kylin</cp:lastModifiedBy>
  <cp:lastPrinted>2016-07-30T03:36:00Z</cp:lastPrinted>
  <dcterms:modified xsi:type="dcterms:W3CDTF">2021-08-10T01:18:46Z</dcterms:modified>
  <cp:revision>74</cp:revision>
  <dc:subject/>
  <dc:title>天津市人民代表大会常务委员会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2052-10.8.0.7149</vt:lpwstr>
  </property>
</Properties>
</file>