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宋体" w:hAnsi="宋体" w:eastAsia="宋体" w:cs="宋体" w:hint="eastAsia"/>
        </w:rPr>
      </w:pPr>
      <w:r>
        <w:rPr>
          <w:rFonts w:eastAsia="宋体" w:cs="宋体" w:hint="eastAsia" w:ascii="宋体" w:hAnsi="宋体"/>
        </w:rPr>
      </w:r>
    </w:p>
    <w:p>
      <w:pPr>
        <w:pStyle w:val="BodyText"/>
        <w:rPr>
          <w:rFonts w:ascii="宋体" w:hAnsi="宋体" w:eastAsia="宋体" w:cs="宋体" w:hint="eastAsia"/>
        </w:rPr>
      </w:pPr>
      <w:r>
        <w:rPr>
          <w:rFonts w:eastAsia="宋体" w:cs="宋体" w:hint="eastAsia" w:ascii="宋体" w:hAnsi="宋体"/>
        </w:rPr>
      </w:r>
    </w:p>
    <w:p>
      <w:pPr>
        <w:pStyle w:val="Normal"/>
        <w:jc w:val="center"/>
        <w:rPr>
          <w:rFonts w:ascii="宋体" w:hAnsi="宋体" w:eastAsia="宋体" w:cs="Arial;Times New Roman" w:hint="eastAsia"/>
          <w:bCs/>
          <w:sz w:val="44"/>
          <w:szCs w:val="44"/>
        </w:rPr>
      </w:pPr>
      <w:r>
        <w:rPr>
          <w:rFonts w:ascii="宋体" w:hAnsi="宋体" w:cs="Arial;Times New Roman" w:hint="eastAsia" w:eastAsia="宋体"/>
          <w:bCs/>
          <w:sz w:val="44"/>
          <w:szCs w:val="44"/>
        </w:rPr>
        <w:t>天津市平安建设条例</w:t>
      </w:r>
    </w:p>
    <w:p>
      <w:pPr>
        <w:pStyle w:val="Normal"/>
        <w:keepNext w:val="false"/>
        <w:keepLines w:val="false"/>
        <w:pageBreakBefore w:val="false"/>
        <w:widowControl w:val="false"/>
        <w:kinsoku w:val="true"/>
        <w:overflowPunct w:val="true"/>
        <w:autoSpaceDE w:val="true"/>
        <w:bidi w:val="0"/>
        <w:snapToGrid w:val="true"/>
        <w:spacing w:lineRule="exact" w:line="500"/>
        <w:jc w:val="center"/>
        <w:textAlignment w:val="auto"/>
        <w:rPr>
          <w:rFonts w:ascii="方正小标宋简体" w:hAnsi="方正小标宋简体" w:eastAsia="方正小标宋简体" w:cs="Arial;Times New Roman" w:hint="eastAsia"/>
          <w:bCs/>
          <w:sz w:val="36"/>
          <w:szCs w:val="36"/>
        </w:rPr>
      </w:pPr>
      <w:r>
        <w:rPr>
          <w:rFonts w:eastAsia="方正小标宋简体" w:cs="Arial;Times New Roman" w:hint="eastAsia" w:ascii="方正小标宋简体" w:hAnsi="方正小标宋简体"/>
          <w:bCs/>
          <w:sz w:val="36"/>
          <w:szCs w:val="36"/>
        </w:rPr>
      </w:r>
    </w:p>
    <w:p>
      <w:pPr>
        <w:pStyle w:val="BodyText"/>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楷体_GB2312" w:hAnsi="楷体_GB2312" w:eastAsia="楷体_GB2312"/>
          <w:color w:val="000000"/>
        </w:rPr>
      </w:pPr>
      <w:r>
        <w:rPr>
          <w:rFonts w:hint="eastAsia" w:eastAsia="楷体_GB2312"/>
          <w:szCs w:val="32"/>
        </w:rPr>
        <w:t>（</w:t>
      </w:r>
      <w:r>
        <w:rPr>
          <w:rFonts w:eastAsia="楷体_GB2312" w:ascii="楷体_GB2312" w:hAnsi="楷体_GB2312"/>
          <w:color w:val="000000"/>
        </w:rPr>
        <w:t>20</w:t>
      </w:r>
      <w:r>
        <w:rPr>
          <w:rFonts w:eastAsia="楷体_GB2312" w:hint="eastAsia" w:ascii="楷体_GB2312" w:hAnsi="楷体_GB2312"/>
          <w:color w:val="000000"/>
        </w:rPr>
        <w:t>22</w:t>
      </w:r>
      <w:r>
        <w:rPr>
          <w:rFonts w:ascii="楷体_GB2312" w:hAnsi="楷体_GB2312" w:hint="eastAsia" w:eastAsia="楷体_GB2312"/>
        </w:rPr>
        <w:t>年</w:t>
      </w:r>
      <w:r>
        <w:rPr>
          <w:rFonts w:eastAsia="楷体_GB2312" w:hint="eastAsia" w:ascii="楷体_GB2312" w:hAnsi="楷体_GB2312"/>
        </w:rPr>
        <w:t>7</w:t>
      </w:r>
      <w:r>
        <w:rPr>
          <w:rFonts w:ascii="楷体_GB2312" w:hAnsi="楷体_GB2312" w:hint="eastAsia" w:eastAsia="楷体_GB2312"/>
        </w:rPr>
        <w:t>月</w:t>
      </w:r>
      <w:r>
        <w:rPr>
          <w:rFonts w:eastAsia="楷体_GB2312" w:ascii="楷体_GB2312" w:hAnsi="楷体_GB2312"/>
          <w:lang w:val="en"/>
        </w:rPr>
        <w:t>27</w:t>
      </w:r>
      <w:r>
        <w:rPr>
          <w:rFonts w:ascii="楷体_GB2312" w:hAnsi="楷体_GB2312" w:hint="eastAsia" w:eastAsia="楷体_GB2312"/>
        </w:rPr>
        <w:t>日</w:t>
      </w:r>
      <w:r>
        <w:rPr>
          <w:rFonts w:ascii="楷体_GB2312" w:hAnsi="楷体_GB2312" w:eastAsia="楷体_GB2312"/>
        </w:rPr>
        <w:t>天津</w:t>
      </w:r>
      <w:r>
        <w:rPr>
          <w:rFonts w:ascii="楷体_GB2312" w:hAnsi="楷体_GB2312" w:eastAsia="楷体_GB2312"/>
          <w:color w:val="000000"/>
        </w:rPr>
        <w:t>市第十七届</w:t>
      </w:r>
    </w:p>
    <w:p>
      <w:pPr>
        <w:pStyle w:val="BodyText"/>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方正小标宋简体" w:hAnsi="方正小标宋简体" w:eastAsia="方正小标宋简体" w:hint="eastAsia"/>
          <w:sz w:val="32"/>
          <w:szCs w:val="32"/>
        </w:rPr>
      </w:pPr>
      <w:r>
        <w:rPr>
          <w:rFonts w:ascii="楷体_GB2312" w:hAnsi="楷体_GB2312" w:eastAsia="楷体_GB2312"/>
          <w:color w:val="000000"/>
        </w:rPr>
        <w:t>人民代表大会常务委员会第</w:t>
      </w:r>
      <w:r>
        <w:rPr>
          <w:rFonts w:ascii="楷体_GB2312" w:hAnsi="楷体_GB2312" w:hint="eastAsia" w:eastAsia="楷体_GB2312"/>
          <w:color w:val="000000"/>
        </w:rPr>
        <w:t>三十六</w:t>
      </w:r>
      <w:r>
        <w:rPr>
          <w:rFonts w:ascii="楷体_GB2312" w:hAnsi="楷体_GB2312" w:eastAsia="楷体_GB2312"/>
          <w:color w:val="000000"/>
        </w:rPr>
        <w:t>次会议</w:t>
      </w:r>
      <w:r>
        <w:rPr>
          <w:rFonts w:ascii="楷体_GB2312" w:hAnsi="楷体_GB2312" w:cs="宋体" w:hint="eastAsia" w:eastAsia="楷体_GB2312"/>
          <w:bCs/>
          <w:smallCaps/>
          <w:szCs w:val="32"/>
        </w:rPr>
        <w:t>通过</w:t>
      </w:r>
      <w:r>
        <w:rPr>
          <w:rFonts w:ascii="楷体_GB2312" w:hAnsi="楷体_GB2312" w:hint="eastAsia" w:eastAsia="楷体_GB2312"/>
          <w:color w:val="000000"/>
        </w:rPr>
        <w:t>）</w:t>
      </w:r>
    </w:p>
    <w:p>
      <w:pPr>
        <w:pStyle w:val="Normal"/>
        <w:keepNext w:val="false"/>
        <w:keepLines w:val="false"/>
        <w:pageBreakBefore w:val="false"/>
        <w:widowControl w:val="false"/>
        <w:kinsoku w:val="true"/>
        <w:overflowPunct w:val="true"/>
        <w:autoSpaceDE w:val="true"/>
        <w:bidi w:val="0"/>
        <w:snapToGrid w:val="true"/>
        <w:spacing w:lineRule="exact" w:line="500"/>
        <w:jc w:val="center"/>
        <w:textAlignment w:val="auto"/>
        <w:rPr>
          <w:rFonts w:ascii="楷体_GB2312" w:hAnsi="楷体_GB2312" w:eastAsia="楷体_GB2312" w:cs="Calibri;DejaVu Sans" w:hint="eastAsia"/>
          <w:color w:val="000000"/>
          <w:sz w:val="32"/>
          <w:szCs w:val="22"/>
          <w:highlight w:val="none"/>
        </w:rPr>
      </w:pPr>
      <w:r>
        <w:rPr>
          <w:rFonts w:eastAsia="楷体_GB2312" w:cs="Calibri;DejaVu Sans" w:hint="eastAsia" w:ascii="楷体_GB2312" w:hAnsi="楷体_GB2312"/>
          <w:color w:val="000000"/>
          <w:sz w:val="32"/>
          <w:szCs w:val="22"/>
        </w:rPr>
      </w:r>
    </w:p>
    <w:p>
      <w:pPr>
        <w:pStyle w:val="Normal"/>
        <w:keepNext w:val="false"/>
        <w:keepLines w:val="false"/>
        <w:pageBreakBefore w:val="false"/>
        <w:kinsoku w:val="true"/>
        <w:overflowPunct w:val="true"/>
        <w:autoSpaceDE w:val="true"/>
        <w:bidi w:val="0"/>
        <w:snapToGrid w:val="true"/>
        <w:spacing w:lineRule="auto" w:line="240"/>
        <w:jc w:val="center"/>
        <w:rPr>
          <w:rFonts w:ascii="楷体_GB2312" w:hAnsi="楷体_GB2312" w:eastAsia="楷体_GB2312" w:cs="Calibri;DejaVu Sans"/>
          <w:color w:val="000000"/>
          <w:szCs w:val="22"/>
          <w:highlight w:val="none"/>
        </w:rPr>
      </w:pPr>
      <w:r>
        <w:rPr>
          <w:rFonts w:ascii="楷体_GB2312" w:hAnsi="楷体_GB2312" w:cs="Calibri;DejaVu Sans" w:hint="eastAsia" w:eastAsia="楷体_GB2312"/>
          <w:color w:val="000000"/>
          <w:szCs w:val="2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Calibri;DejaVu Sans" w:hint="eastAsia"/>
          <w:color w:val="000000"/>
          <w:szCs w:val="22"/>
          <w:highlight w:val="none"/>
        </w:rPr>
      </w:pPr>
      <w:r>
        <w:rPr>
          <w:rFonts w:ascii="楷体_GB2312" w:hAnsi="楷体_GB2312" w:cs="Calibri;DejaVu Sans" w:hint="eastAsia" w:eastAsia="楷体_GB2312"/>
          <w:color w:val="000000"/>
          <w:szCs w:val="2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Calibri;DejaVu Sans" w:hint="eastAsia"/>
          <w:color w:val="000000"/>
          <w:szCs w:val="22"/>
          <w:highlight w:val="none"/>
        </w:rPr>
      </w:pPr>
      <w:r>
        <w:rPr>
          <w:rFonts w:ascii="楷体_GB2312" w:hAnsi="楷体_GB2312" w:cs="Calibri;DejaVu Sans" w:hint="eastAsia" w:eastAsia="楷体_GB2312"/>
          <w:color w:val="000000"/>
          <w:szCs w:val="22"/>
        </w:rPr>
        <w:t>第二章  共同治理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Calibri;DejaVu Sans" w:hint="eastAsia"/>
          <w:color w:val="000000"/>
          <w:szCs w:val="22"/>
          <w:highlight w:val="none"/>
        </w:rPr>
      </w:pPr>
      <w:r>
        <w:rPr>
          <w:rFonts w:ascii="楷体_GB2312" w:hAnsi="楷体_GB2312" w:cs="Calibri;DejaVu Sans" w:hint="eastAsia" w:eastAsia="楷体_GB2312"/>
          <w:color w:val="000000"/>
          <w:szCs w:val="22"/>
        </w:rPr>
        <w:t>第三章  政治安全维护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Calibri;DejaVu Sans" w:hint="eastAsia"/>
          <w:color w:val="000000"/>
          <w:szCs w:val="22"/>
          <w:highlight w:val="none"/>
        </w:rPr>
      </w:pPr>
      <w:r>
        <w:rPr>
          <w:rFonts w:ascii="楷体_GB2312" w:hAnsi="楷体_GB2312" w:cs="Calibri;DejaVu Sans" w:hint="eastAsia" w:eastAsia="楷体_GB2312"/>
          <w:color w:val="000000"/>
          <w:szCs w:val="22"/>
        </w:rPr>
        <w:t>第四章  社会风险防范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Calibri;DejaVu Sans" w:hint="eastAsia"/>
          <w:color w:val="000000"/>
          <w:szCs w:val="22"/>
          <w:highlight w:val="none"/>
        </w:rPr>
      </w:pPr>
      <w:r>
        <w:rPr>
          <w:rFonts w:ascii="楷体_GB2312" w:hAnsi="楷体_GB2312" w:cs="Calibri;DejaVu Sans" w:hint="eastAsia" w:eastAsia="楷体_GB2312"/>
          <w:color w:val="000000"/>
          <w:szCs w:val="22"/>
        </w:rPr>
        <w:t>第五章  公共安全保障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Calibri;DejaVu Sans" w:hint="eastAsia"/>
          <w:color w:val="000000"/>
          <w:szCs w:val="22"/>
          <w:highlight w:val="none"/>
        </w:rPr>
      </w:pPr>
      <w:r>
        <w:rPr>
          <w:rFonts w:ascii="楷体_GB2312" w:hAnsi="楷体_GB2312" w:cs="Calibri;DejaVu Sans" w:hint="eastAsia" w:eastAsia="楷体_GB2312"/>
          <w:color w:val="000000"/>
          <w:szCs w:val="22"/>
        </w:rPr>
        <w:t>第六章  保障与监督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Calibri;DejaVu Sans" w:hint="eastAsia"/>
          <w:color w:val="000000"/>
          <w:szCs w:val="22"/>
          <w:highlight w:val="none"/>
        </w:rPr>
      </w:pPr>
      <w:r>
        <w:rPr>
          <w:rFonts w:ascii="楷体_GB2312" w:hAnsi="楷体_GB2312" w:cs="Calibri;DejaVu Sans" w:hint="eastAsia" w:eastAsia="楷体_GB2312"/>
          <w:color w:val="000000"/>
          <w:szCs w:val="22"/>
        </w:rPr>
        <w:t>第七章  附则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480"/>
        <w:ind w:firstLineChars="200" w:startChars="0" w:start="0" w:endChars="0" w:end="0"/>
        <w:jc w:val="center"/>
        <w:textAlignment w:val="auto"/>
        <w:outlineLvl w:val="0"/>
        <w:rPr>
          <w:rFonts w:ascii="宋体" w:hAnsi="宋体" w:eastAsia="宋体" w:cs="宋体" w:hint="eastAsia"/>
          <w:b w:val="false"/>
          <w:bCs w:val="false"/>
          <w:color w:val="000000"/>
          <w:sz w:val="32"/>
          <w:szCs w:val="32"/>
          <w:highlight w:val="none"/>
        </w:rPr>
      </w:pPr>
      <w:r>
        <w:rPr>
          <w:rFonts w:eastAsia="宋体" w:cs="宋体" w:hint="eastAsia" w:ascii="宋体" w:hAnsi="宋体"/>
          <w:b w:val="false"/>
          <w:bCs w:val="false"/>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jc w:val="center"/>
        <w:outlineLvl w:val="0"/>
        <w:rPr>
          <w:rFonts w:ascii="黑体" w:hAnsi="黑体" w:eastAsia="黑体"/>
          <w:b w:val="false"/>
          <w:bCs w:val="false"/>
          <w:color w:val="000000"/>
          <w:sz w:val="32"/>
          <w:szCs w:val="32"/>
          <w:highlight w:val="none"/>
        </w:rPr>
      </w:pPr>
      <w:r>
        <w:rPr>
          <w:rFonts w:ascii="黑体" w:hAnsi="黑体" w:hint="eastAsia" w:eastAsia="黑体"/>
          <w:b w:val="false"/>
          <w:bCs w:val="false"/>
          <w:color w:val="000000"/>
          <w:sz w:val="32"/>
          <w:szCs w:val="32"/>
        </w:rPr>
        <w:t>第</w:t>
      </w:r>
      <w:r>
        <w:rPr>
          <w:rFonts w:ascii="黑体" w:hAnsi="黑体" w:eastAsia="黑体"/>
          <w:b w:val="false"/>
          <w:bCs w:val="false"/>
          <w:color w:val="000000"/>
          <w:sz w:val="32"/>
          <w:szCs w:val="32"/>
        </w:rPr>
        <w:t>一</w:t>
      </w:r>
      <w:r>
        <w:rPr>
          <w:rFonts w:ascii="黑体" w:hAnsi="黑体" w:hint="eastAsia" w:eastAsia="黑体"/>
          <w:b w:val="false"/>
          <w:bCs w:val="false"/>
          <w:color w:val="000000"/>
          <w:sz w:val="32"/>
          <w:szCs w:val="32"/>
        </w:rPr>
        <w:t>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宋体" w:hAnsi="宋体" w:eastAsia="宋体" w:cs="宋体" w:hint="eastAsia"/>
          <w:b w:val="false"/>
          <w:bCs w:val="false"/>
          <w:color w:val="000000"/>
          <w:sz w:val="32"/>
          <w:szCs w:val="32"/>
          <w:highlight w:val="none"/>
        </w:rPr>
      </w:pPr>
      <w:r>
        <w:rPr>
          <w:rFonts w:eastAsia="宋体" w:cs="宋体" w:hint="eastAsia" w:ascii="宋体" w:hAnsi="宋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eastAsia="仿宋_GB2312" w:hint="eastAsia"/>
          <w:b w:val="false"/>
          <w:bCs w:val="false"/>
          <w:color w:val="000000"/>
          <w:position w:val="0"/>
          <w:sz w:val="32"/>
          <w:szCs w:val="32"/>
          <w:highlight w:val="none"/>
          <w:vertAlign w:val="baseline"/>
        </w:rPr>
      </w:pPr>
      <w:r>
        <w:rPr>
          <w:rFonts w:ascii="黑体" w:hAnsi="黑体" w:eastAsia="黑体"/>
          <w:b w:val="false"/>
          <w:bCs w:val="false"/>
          <w:color w:val="000000"/>
          <w:sz w:val="32"/>
          <w:szCs w:val="32"/>
        </w:rPr>
        <w:t>第</w:t>
      </w:r>
      <w:r>
        <w:rPr>
          <w:rFonts w:ascii="黑体" w:hAnsi="黑体" w:hint="eastAsia" w:eastAsia="黑体"/>
          <w:b w:val="false"/>
          <w:bCs w:val="false"/>
          <w:color w:val="000000"/>
          <w:sz w:val="32"/>
          <w:szCs w:val="32"/>
        </w:rPr>
        <w:t>一</w:t>
      </w:r>
      <w:r>
        <w:rPr>
          <w:rFonts w:ascii="黑体" w:hAnsi="黑体" w:eastAsia="黑体"/>
          <w:b w:val="false"/>
          <w:bCs w:val="false"/>
          <w:color w:val="000000"/>
          <w:sz w:val="32"/>
          <w:szCs w:val="32"/>
        </w:rPr>
        <w:t xml:space="preserve">条  </w:t>
      </w:r>
      <w:r>
        <w:rPr>
          <w:rFonts w:hint="eastAsia"/>
          <w:b w:val="false"/>
          <w:bCs w:val="false"/>
          <w:color w:val="000000"/>
          <w:sz w:val="32"/>
          <w:szCs w:val="32"/>
        </w:rPr>
        <w:t>为了建设更高水平的平安天津，提高社会治理现代化水平，维护社会长治久安，根据有关法律、行政法规，结合本市实际，制定本条例。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黑体" w:hAnsi="黑体" w:eastAsia="黑体"/>
          <w:b w:val="false"/>
          <w:bCs w:val="false"/>
          <w:color w:val="000000"/>
          <w:sz w:val="32"/>
          <w:szCs w:val="32"/>
          <w:highlight w:val="none"/>
        </w:rPr>
      </w:pPr>
      <w:r>
        <w:rPr>
          <w:rFonts w:ascii="黑体" w:hAnsi="黑体" w:eastAsia="黑体"/>
          <w:b w:val="false"/>
          <w:bCs w:val="false"/>
          <w:color w:val="000000"/>
          <w:sz w:val="32"/>
          <w:szCs w:val="32"/>
        </w:rPr>
        <w:t>第</w:t>
      </w:r>
      <w:r>
        <w:rPr>
          <w:rFonts w:ascii="黑体" w:hAnsi="黑体" w:hint="eastAsia" w:eastAsia="黑体"/>
          <w:b w:val="false"/>
          <w:bCs w:val="false"/>
          <w:color w:val="000000"/>
          <w:sz w:val="32"/>
          <w:szCs w:val="32"/>
        </w:rPr>
        <w:t>二</w:t>
      </w:r>
      <w:r>
        <w:rPr>
          <w:rFonts w:ascii="黑体" w:hAnsi="黑体" w:eastAsia="黑体"/>
          <w:b w:val="false"/>
          <w:bCs w:val="false"/>
          <w:color w:val="000000"/>
          <w:sz w:val="32"/>
          <w:szCs w:val="32"/>
        </w:rPr>
        <w:t xml:space="preserve">条  </w:t>
      </w:r>
      <w:r>
        <w:rPr>
          <w:rFonts w:hint="eastAsia"/>
          <w:b w:val="false"/>
          <w:bCs w:val="false"/>
          <w:color w:val="000000"/>
          <w:sz w:val="32"/>
          <w:szCs w:val="32"/>
        </w:rPr>
        <w:t>本条例适用于本市行政区域内平安建设以及相关监督管理活动。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楷体_GB2312" w:hint="eastAsia"/>
          <w:b w:val="false"/>
          <w:bCs w:val="false"/>
          <w:color w:val="000000"/>
          <w:kern w:val="2"/>
          <w:position w:val="0"/>
          <w:sz w:val="28"/>
          <w:szCs w:val="28"/>
          <w:highlight w:val="none"/>
          <w:vertAlign w:val="baseline"/>
        </w:rPr>
      </w:pPr>
      <w:r>
        <w:rPr>
          <w:rFonts w:ascii="黑体" w:hAnsi="黑体" w:eastAsia="黑体"/>
          <w:b w:val="false"/>
          <w:bCs w:val="false"/>
          <w:color w:val="000000"/>
          <w:sz w:val="32"/>
          <w:szCs w:val="32"/>
        </w:rPr>
        <w:t>第</w:t>
      </w:r>
      <w:r>
        <w:rPr>
          <w:rFonts w:ascii="黑体" w:hAnsi="黑体" w:hint="eastAsia" w:eastAsia="黑体"/>
          <w:b w:val="false"/>
          <w:bCs w:val="false"/>
          <w:color w:val="000000"/>
          <w:sz w:val="32"/>
          <w:szCs w:val="32"/>
        </w:rPr>
        <w:t>三</w:t>
      </w:r>
      <w:r>
        <w:rPr>
          <w:rFonts w:ascii="黑体" w:hAnsi="黑体" w:eastAsia="黑体"/>
          <w:b w:val="false"/>
          <w:bCs w:val="false"/>
          <w:color w:val="000000"/>
          <w:sz w:val="32"/>
          <w:szCs w:val="32"/>
        </w:rPr>
        <w:t>条</w:t>
      </w:r>
      <w:r>
        <w:rPr>
          <w:rFonts w:ascii="黑体" w:hAnsi="黑体"/>
          <w:b w:val="false"/>
          <w:bCs w:val="false"/>
          <w:sz w:val="32"/>
          <w:szCs w:val="32"/>
        </w:rPr>
        <w:t xml:space="preserve">  </w:t>
      </w:r>
      <w:r>
        <w:rPr>
          <w:rFonts w:hint="eastAsia"/>
          <w:b w:val="false"/>
          <w:bCs w:val="false"/>
          <w:color w:val="000000"/>
          <w:sz w:val="32"/>
          <w:szCs w:val="32"/>
        </w:rPr>
        <w:t>本市平安建设工作应当坚持党的领导、人民至上、安全发展、统筹推进、主动创安、科学治</w:t>
      </w:r>
      <w:r>
        <w:rPr>
          <w:rFonts w:cs="Times New Roman" w:hint="eastAsia"/>
          <w:b w:val="false"/>
          <w:bCs w:val="false"/>
          <w:color w:val="000000"/>
          <w:sz w:val="32"/>
          <w:szCs w:val="32"/>
        </w:rPr>
        <w:t>理的原则，落</w:t>
      </w:r>
      <w:r>
        <w:rPr>
          <w:rFonts w:hint="eastAsia"/>
          <w:b w:val="false"/>
          <w:bCs w:val="false"/>
          <w:color w:val="000000"/>
          <w:sz w:val="32"/>
          <w:szCs w:val="32"/>
        </w:rPr>
        <w:t>实总体国家安全观，</w:t>
      </w:r>
      <w:r>
        <w:rPr>
          <w:rFonts w:ascii="仿宋_GB2312" w:hAnsi="仿宋_GB2312" w:cs="黑体" w:hint="eastAsia"/>
          <w:b w:val="false"/>
          <w:bCs w:val="false"/>
          <w:color w:val="000000"/>
          <w:sz w:val="32"/>
          <w:szCs w:val="32"/>
        </w:rPr>
        <w:t>筑牢首都政治“护城河”，</w:t>
      </w:r>
      <w:r>
        <w:rPr>
          <w:rFonts w:hint="eastAsia"/>
          <w:b w:val="false"/>
          <w:bCs w:val="false"/>
          <w:color w:val="000000"/>
          <w:sz w:val="32"/>
          <w:szCs w:val="32"/>
        </w:rPr>
        <w:t>全面提升平安建设科学化、社会化</w:t>
      </w:r>
      <w:r>
        <w:rPr>
          <w:rFonts w:cs="Times New Roman" w:hint="eastAsia"/>
          <w:b w:val="false"/>
          <w:bCs w:val="false"/>
          <w:color w:val="000000"/>
          <w:sz w:val="32"/>
          <w:szCs w:val="32"/>
        </w:rPr>
        <w:t>、法治化、智能化水平，不断增强人民群众的获得感、幸福感、安全感，为全面建设社会主义现代化大都市提供安全稳定的政治社会环境。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仿宋_GB2312" w:hAnsi="仿宋_GB2312" w:eastAsia="仿宋_GB2312" w:hint="eastAsia"/>
          <w:b w:val="false"/>
          <w:bCs w:val="false"/>
          <w:color w:val="000000"/>
          <w:sz w:val="32"/>
          <w:szCs w:val="32"/>
          <w:highlight w:val="none"/>
        </w:rPr>
      </w:pPr>
      <w:r>
        <w:rPr>
          <w:rFonts w:ascii="黑体" w:hAnsi="黑体" w:eastAsia="黑体"/>
          <w:b w:val="false"/>
          <w:bCs w:val="false"/>
          <w:color w:val="000000"/>
          <w:sz w:val="32"/>
          <w:szCs w:val="32"/>
        </w:rPr>
        <w:t>第</w:t>
      </w:r>
      <w:r>
        <w:rPr>
          <w:rFonts w:ascii="黑体" w:hAnsi="黑体" w:hint="eastAsia" w:eastAsia="黑体"/>
          <w:b w:val="false"/>
          <w:bCs w:val="false"/>
          <w:color w:val="000000"/>
          <w:sz w:val="32"/>
          <w:szCs w:val="32"/>
        </w:rPr>
        <w:t>四</w:t>
      </w:r>
      <w:r>
        <w:rPr>
          <w:rFonts w:ascii="黑体" w:hAnsi="黑体" w:eastAsia="黑体"/>
          <w:b w:val="false"/>
          <w:bCs w:val="false"/>
          <w:color w:val="000000"/>
          <w:sz w:val="32"/>
          <w:szCs w:val="32"/>
        </w:rPr>
        <w:t>条</w:t>
      </w:r>
      <w:r>
        <w:rPr>
          <w:rFonts w:ascii="黑体" w:hAnsi="黑体"/>
          <w:b w:val="false"/>
          <w:bCs w:val="false"/>
          <w:sz w:val="32"/>
          <w:szCs w:val="32"/>
        </w:rPr>
        <w:t xml:space="preserve">  </w:t>
      </w:r>
      <w:r>
        <w:rPr>
          <w:rFonts w:ascii="仿宋_GB2312" w:hAnsi="仿宋_GB2312" w:hint="eastAsia"/>
          <w:b w:val="false"/>
          <w:bCs w:val="false"/>
          <w:color w:val="000000"/>
          <w:sz w:val="32"/>
          <w:szCs w:val="32"/>
        </w:rPr>
        <w:t>本市平安建设的主要任务是：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仿宋_GB2312" w:hAnsi="仿宋_GB2312" w:eastAsia="仿宋_GB2312" w:hint="eastAsia"/>
          <w:b w:val="false"/>
          <w:bCs w:val="false"/>
          <w:color w:val="000000"/>
          <w:sz w:val="32"/>
          <w:szCs w:val="32"/>
          <w:highlight w:val="none"/>
        </w:rPr>
      </w:pPr>
      <w:r>
        <w:rPr>
          <w:rFonts w:ascii="仿宋_GB2312" w:hAnsi="仿宋_GB2312" w:hint="eastAsia"/>
          <w:b w:val="false"/>
          <w:bCs w:val="false"/>
          <w:color w:val="000000"/>
          <w:sz w:val="32"/>
          <w:szCs w:val="32"/>
        </w:rPr>
        <w:t>（一）维护国家政治安全；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仿宋_GB2312" w:hAnsi="仿宋_GB2312" w:eastAsia="仿宋_GB2312" w:cs="Times New Roman" w:hint="eastAsia"/>
          <w:b w:val="false"/>
          <w:bCs w:val="false"/>
          <w:color w:val="000000"/>
          <w:sz w:val="32"/>
          <w:szCs w:val="32"/>
          <w:highlight w:val="none"/>
        </w:rPr>
      </w:pPr>
      <w:r>
        <w:rPr>
          <w:rFonts w:ascii="仿宋_GB2312" w:hAnsi="仿宋_GB2312" w:hint="eastAsia"/>
          <w:b w:val="false"/>
          <w:bCs w:val="false"/>
          <w:color w:val="000000"/>
          <w:sz w:val="32"/>
          <w:szCs w:val="32"/>
        </w:rPr>
        <w:t>（二）</w:t>
      </w:r>
      <w:r>
        <w:rPr>
          <w:rFonts w:ascii="仿宋_GB2312" w:hAnsi="仿宋_GB2312" w:cs="Times New Roman" w:hint="eastAsia"/>
          <w:b w:val="false"/>
          <w:bCs w:val="false"/>
          <w:color w:val="000000"/>
          <w:sz w:val="32"/>
          <w:szCs w:val="32"/>
        </w:rPr>
        <w:t>防范和化解重点领域风险；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仿宋_GB2312" w:hAnsi="仿宋_GB2312" w:eastAsia="仿宋_GB2312" w:cs="Times New Roman" w:hint="eastAsia"/>
          <w:b w:val="false"/>
          <w:bCs w:val="false"/>
          <w:color w:val="000000"/>
          <w:sz w:val="32"/>
          <w:szCs w:val="32"/>
          <w:highlight w:val="none"/>
        </w:rPr>
      </w:pPr>
      <w:r>
        <w:rPr>
          <w:rFonts w:ascii="仿宋_GB2312" w:hAnsi="仿宋_GB2312" w:cs="Times New Roman" w:hint="eastAsia"/>
          <w:b w:val="false"/>
          <w:bCs w:val="false"/>
          <w:color w:val="000000"/>
          <w:sz w:val="32"/>
          <w:szCs w:val="32"/>
        </w:rPr>
        <w:t>（</w:t>
      </w:r>
      <w:r>
        <w:rPr>
          <w:rFonts w:ascii="仿宋_GB2312" w:hAnsi="仿宋_GB2312" w:cs="Times New Roman"/>
          <w:b w:val="false"/>
          <w:bCs w:val="false"/>
          <w:color w:val="000000"/>
          <w:sz w:val="32"/>
          <w:szCs w:val="32"/>
        </w:rPr>
        <w:t>三</w:t>
      </w:r>
      <w:r>
        <w:rPr>
          <w:rFonts w:ascii="仿宋_GB2312" w:hAnsi="仿宋_GB2312" w:cs="Times New Roman" w:hint="eastAsia"/>
          <w:b w:val="false"/>
          <w:bCs w:val="false"/>
          <w:color w:val="000000"/>
          <w:sz w:val="32"/>
          <w:szCs w:val="32"/>
        </w:rPr>
        <w:t>）</w:t>
      </w:r>
      <w:r>
        <w:rPr>
          <w:rFonts w:ascii="仿宋_GB2312" w:hAnsi="仿宋_GB2312" w:hint="eastAsia"/>
          <w:b w:val="false"/>
          <w:bCs w:val="false"/>
          <w:color w:val="000000"/>
          <w:sz w:val="32"/>
          <w:szCs w:val="32"/>
        </w:rPr>
        <w:t>依法打击各类违法犯罪行为；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仿宋_GB2312" w:hAnsi="仿宋_GB2312" w:eastAsia="仿宋_GB2312" w:cs="Times New Roman" w:hint="eastAsia"/>
          <w:b w:val="false"/>
          <w:bCs w:val="false"/>
          <w:color w:val="000000"/>
          <w:sz w:val="32"/>
          <w:szCs w:val="32"/>
          <w:highlight w:val="none"/>
        </w:rPr>
      </w:pPr>
      <w:r>
        <w:rPr>
          <w:rFonts w:ascii="仿宋_GB2312" w:hAnsi="仿宋_GB2312" w:cs="Times New Roman" w:hint="eastAsia"/>
          <w:b w:val="false"/>
          <w:bCs w:val="false"/>
          <w:color w:val="000000"/>
          <w:sz w:val="32"/>
          <w:szCs w:val="32"/>
        </w:rPr>
        <w:t>（</w:t>
      </w:r>
      <w:r>
        <w:rPr>
          <w:rFonts w:ascii="仿宋_GB2312" w:hAnsi="仿宋_GB2312" w:cs="Times New Roman"/>
          <w:b w:val="false"/>
          <w:bCs w:val="false"/>
          <w:color w:val="000000"/>
          <w:sz w:val="32"/>
          <w:szCs w:val="32"/>
        </w:rPr>
        <w:t>四</w:t>
      </w:r>
      <w:r>
        <w:rPr>
          <w:rFonts w:ascii="仿宋_GB2312" w:hAnsi="仿宋_GB2312" w:cs="Times New Roman" w:hint="eastAsia"/>
          <w:b w:val="false"/>
          <w:bCs w:val="false"/>
          <w:color w:val="000000"/>
          <w:sz w:val="32"/>
          <w:szCs w:val="32"/>
        </w:rPr>
        <w:t>）健全社会治安防控体系和公共安全保障体系；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仿宋_GB2312" w:hAnsi="仿宋_GB2312" w:eastAsia="仿宋_GB2312" w:cs="Times New Roman" w:hint="eastAsia"/>
          <w:b w:val="false"/>
          <w:bCs w:val="false"/>
          <w:color w:val="000000"/>
          <w:sz w:val="32"/>
          <w:szCs w:val="32"/>
          <w:highlight w:val="none"/>
        </w:rPr>
      </w:pPr>
      <w:r>
        <w:rPr>
          <w:rFonts w:ascii="仿宋_GB2312" w:hAnsi="仿宋_GB2312" w:cs="Times New Roman" w:hint="eastAsia"/>
          <w:b w:val="false"/>
          <w:bCs w:val="false"/>
          <w:color w:val="000000"/>
          <w:sz w:val="32"/>
          <w:szCs w:val="32"/>
        </w:rPr>
        <w:t>（</w:t>
      </w:r>
      <w:r>
        <w:rPr>
          <w:rFonts w:ascii="仿宋_GB2312" w:hAnsi="仿宋_GB2312" w:cs="Times New Roman"/>
          <w:b w:val="false"/>
          <w:bCs w:val="false"/>
          <w:color w:val="000000"/>
          <w:sz w:val="32"/>
          <w:szCs w:val="32"/>
        </w:rPr>
        <w:t>五</w:t>
      </w:r>
      <w:r>
        <w:rPr>
          <w:rFonts w:ascii="仿宋_GB2312" w:hAnsi="仿宋_GB2312" w:cs="Times New Roman" w:hint="eastAsia"/>
          <w:b w:val="false"/>
          <w:bCs w:val="false"/>
          <w:color w:val="000000"/>
          <w:sz w:val="32"/>
          <w:szCs w:val="32"/>
        </w:rPr>
        <w:t>）加强和完善网络空间治理；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仿宋_GB2312" w:hAnsi="仿宋_GB2312" w:eastAsia="仿宋_GB2312" w:cs="Times New Roman" w:hint="eastAsia"/>
          <w:b w:val="false"/>
          <w:bCs w:val="false"/>
          <w:color w:val="000000"/>
          <w:sz w:val="32"/>
          <w:szCs w:val="32"/>
          <w:highlight w:val="none"/>
        </w:rPr>
      </w:pPr>
      <w:r>
        <w:rPr>
          <w:rFonts w:ascii="仿宋_GB2312" w:hAnsi="仿宋_GB2312" w:cs="Times New Roman" w:hint="eastAsia"/>
          <w:b w:val="false"/>
          <w:bCs w:val="false"/>
          <w:color w:val="000000"/>
          <w:sz w:val="32"/>
          <w:szCs w:val="32"/>
        </w:rPr>
        <w:t>（</w:t>
      </w:r>
      <w:r>
        <w:rPr>
          <w:rFonts w:ascii="仿宋_GB2312" w:hAnsi="仿宋_GB2312" w:cs="Times New Roman"/>
          <w:b w:val="false"/>
          <w:bCs w:val="false"/>
          <w:color w:val="000000"/>
          <w:sz w:val="32"/>
          <w:szCs w:val="32"/>
        </w:rPr>
        <w:t>六</w:t>
      </w:r>
      <w:r>
        <w:rPr>
          <w:rFonts w:ascii="仿宋_GB2312" w:hAnsi="仿宋_GB2312" w:cs="Times New Roman" w:hint="eastAsia"/>
          <w:b w:val="false"/>
          <w:bCs w:val="false"/>
          <w:color w:val="000000"/>
          <w:sz w:val="32"/>
          <w:szCs w:val="32"/>
        </w:rPr>
        <w:t>）推进社会矛盾纠纷多元预防调处化解；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黑体" w:hint="eastAsia"/>
          <w:b w:val="false"/>
          <w:bCs w:val="false"/>
          <w:color w:val="000000"/>
          <w:sz w:val="32"/>
          <w:szCs w:val="32"/>
          <w:highlight w:val="none"/>
        </w:rPr>
      </w:pPr>
      <w:r>
        <w:rPr>
          <w:rFonts w:ascii="仿宋_GB2312" w:hAnsi="仿宋_GB2312" w:cs="黑体" w:hint="eastAsia"/>
          <w:b w:val="false"/>
          <w:bCs w:val="false"/>
          <w:color w:val="000000"/>
          <w:sz w:val="32"/>
          <w:szCs w:val="32"/>
        </w:rPr>
        <w:t>（</w:t>
      </w:r>
      <w:r>
        <w:rPr>
          <w:rFonts w:ascii="仿宋_GB2312" w:hAnsi="仿宋_GB2312" w:cs="黑体"/>
          <w:b w:val="false"/>
          <w:bCs w:val="false"/>
          <w:color w:val="000000"/>
          <w:sz w:val="32"/>
          <w:szCs w:val="32"/>
        </w:rPr>
        <w:t>七</w:t>
      </w:r>
      <w:r>
        <w:rPr>
          <w:rFonts w:ascii="仿宋_GB2312" w:hAnsi="仿宋_GB2312" w:cs="黑体" w:hint="eastAsia"/>
          <w:b w:val="false"/>
          <w:bCs w:val="false"/>
          <w:color w:val="000000"/>
          <w:sz w:val="32"/>
          <w:szCs w:val="32"/>
        </w:rPr>
        <w:t>）</w:t>
      </w:r>
      <w:r>
        <w:rPr>
          <w:rFonts w:ascii="仿宋_GB2312" w:hAnsi="仿宋_GB2312" w:hint="eastAsia"/>
          <w:b w:val="false"/>
          <w:bCs w:val="false"/>
          <w:color w:val="000000"/>
          <w:sz w:val="32"/>
          <w:szCs w:val="32"/>
        </w:rPr>
        <w:t>开展平安创建活动；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仿宋_GB2312" w:hAnsi="仿宋_GB2312" w:eastAsia="仿宋_GB2312" w:hint="eastAsia"/>
          <w:b w:val="false"/>
          <w:bCs w:val="false"/>
          <w:color w:val="000000"/>
          <w:position w:val="0"/>
          <w:sz w:val="32"/>
          <w:szCs w:val="32"/>
          <w:highlight w:val="none"/>
          <w:vertAlign w:val="baseline"/>
        </w:rPr>
      </w:pPr>
      <w:r>
        <w:rPr>
          <w:rFonts w:ascii="仿宋_GB2312" w:hAnsi="仿宋_GB2312" w:hint="eastAsia"/>
          <w:b w:val="false"/>
          <w:bCs w:val="false"/>
          <w:color w:val="000000"/>
          <w:sz w:val="32"/>
          <w:szCs w:val="32"/>
        </w:rPr>
        <w:t>（</w:t>
      </w:r>
      <w:r>
        <w:rPr>
          <w:rFonts w:ascii="仿宋_GB2312" w:hAnsi="仿宋_GB2312"/>
          <w:b w:val="false"/>
          <w:bCs w:val="false"/>
          <w:color w:val="000000"/>
          <w:sz w:val="32"/>
          <w:szCs w:val="32"/>
        </w:rPr>
        <w:t>八</w:t>
      </w:r>
      <w:r>
        <w:rPr>
          <w:rFonts w:ascii="仿宋_GB2312" w:hAnsi="仿宋_GB2312" w:hint="eastAsia"/>
          <w:b w:val="false"/>
          <w:bCs w:val="false"/>
          <w:color w:val="000000"/>
          <w:sz w:val="32"/>
          <w:szCs w:val="32"/>
        </w:rPr>
        <w:t>）国家和本市规定的其他平安建设任务。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b w:val="false"/>
          <w:bCs w:val="false"/>
          <w:color w:val="000000"/>
          <w:sz w:val="32"/>
          <w:szCs w:val="32"/>
          <w:highlight w:val="none"/>
        </w:rPr>
      </w:pPr>
      <w:r>
        <w:rPr>
          <w:rFonts w:ascii="黑体" w:hAnsi="黑体" w:cs="Times New Roman" w:eastAsia="黑体"/>
          <w:b w:val="false"/>
          <w:bCs w:val="false"/>
          <w:color w:val="000000"/>
          <w:kern w:val="2"/>
          <w:sz w:val="32"/>
          <w:szCs w:val="32"/>
        </w:rPr>
        <w:t>第</w:t>
      </w:r>
      <w:r>
        <w:rPr>
          <w:rFonts w:ascii="黑体" w:hAnsi="黑体" w:cs="Times New Roman" w:hint="eastAsia" w:eastAsia="黑体"/>
          <w:b w:val="false"/>
          <w:bCs w:val="false"/>
          <w:color w:val="000000"/>
          <w:kern w:val="2"/>
          <w:sz w:val="32"/>
          <w:szCs w:val="32"/>
        </w:rPr>
        <w:t>五</w:t>
      </w:r>
      <w:r>
        <w:rPr>
          <w:rFonts w:ascii="黑体" w:hAnsi="黑体" w:cs="Times New Roman" w:eastAsia="黑体"/>
          <w:b w:val="false"/>
          <w:bCs w:val="false"/>
          <w:color w:val="000000"/>
          <w:kern w:val="2"/>
          <w:sz w:val="32"/>
          <w:szCs w:val="32"/>
        </w:rPr>
        <w:t>条</w:t>
      </w:r>
      <w:r>
        <w:rPr>
          <w:rFonts w:ascii="黑体" w:hAnsi="黑体"/>
          <w:b w:val="false"/>
          <w:bCs w:val="false"/>
          <w:sz w:val="32"/>
          <w:szCs w:val="32"/>
        </w:rPr>
        <w:t xml:space="preserve">  </w:t>
      </w:r>
      <w:r>
        <w:rPr>
          <w:rFonts w:hint="eastAsia"/>
          <w:b w:val="false"/>
          <w:bCs w:val="false"/>
          <w:color w:val="000000"/>
          <w:sz w:val="32"/>
          <w:szCs w:val="32"/>
        </w:rPr>
        <w:t>市和区平安建设领导机构统筹</w:t>
      </w:r>
      <w:r>
        <w:rPr>
          <w:b w:val="false"/>
          <w:bCs w:val="false"/>
          <w:color w:val="000000"/>
          <w:sz w:val="32"/>
          <w:szCs w:val="32"/>
        </w:rPr>
        <w:t>谋划</w:t>
      </w:r>
      <w:r>
        <w:rPr>
          <w:rFonts w:hint="eastAsia"/>
          <w:b w:val="false"/>
          <w:bCs w:val="false"/>
          <w:color w:val="000000"/>
          <w:sz w:val="32"/>
          <w:szCs w:val="32"/>
        </w:rPr>
        <w:t>、协调推动平安建设工作，对平安建设工作进行督办落实、考评激励。领导机构下设办公室，负责平安建设领导机构的日常工作。</w:t>
      </w:r>
      <w:bookmarkStart w:id="0" w:name="tiao4_kuan2"/>
      <w:bookmarkEnd w:id="0"/>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eastAsia="仿宋_GB2312" w:hint="eastAsia"/>
          <w:b w:val="false"/>
          <w:bCs w:val="false"/>
          <w:color w:val="000000"/>
          <w:sz w:val="32"/>
          <w:szCs w:val="32"/>
          <w:highlight w:val="none"/>
        </w:rPr>
      </w:pPr>
      <w:r>
        <w:rPr>
          <w:rFonts w:hint="eastAsia"/>
          <w:b w:val="false"/>
          <w:bCs w:val="false"/>
          <w:color w:val="000000"/>
          <w:sz w:val="32"/>
          <w:szCs w:val="32"/>
        </w:rPr>
        <w:t>市和区平安建设领导机构根据平安建设工作需要，确定本辖区内相关单位作为成员单位。各成员单位应当按照平安建设权责清单，严格落实平安</w:t>
      </w:r>
      <w:r>
        <w:rPr>
          <w:rFonts w:cs="Times New Roman" w:hint="eastAsia"/>
          <w:b w:val="false"/>
          <w:bCs w:val="false"/>
          <w:color w:val="000000"/>
          <w:sz w:val="32"/>
          <w:szCs w:val="32"/>
        </w:rPr>
        <w:t>建设工作责任制和领导责任制。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_GB2312" w:hint="eastAsia"/>
          <w:b w:val="false"/>
          <w:bCs w:val="false"/>
          <w:color w:val="000000"/>
          <w:sz w:val="28"/>
          <w:szCs w:val="28"/>
          <w:highlight w:val="none"/>
          <w:u w:val="none" w:color="218FC4"/>
        </w:rPr>
      </w:pPr>
      <w:r>
        <w:rPr>
          <w:rFonts w:ascii="黑体" w:hAnsi="黑体" w:cs="Times New Roman" w:eastAsia="黑体"/>
          <w:b w:val="false"/>
          <w:bCs w:val="false"/>
          <w:color w:val="000000"/>
          <w:kern w:val="2"/>
          <w:sz w:val="32"/>
          <w:szCs w:val="32"/>
        </w:rPr>
        <w:t>第</w:t>
      </w:r>
      <w:r>
        <w:rPr>
          <w:rFonts w:ascii="黑体" w:hAnsi="黑体" w:cs="Times New Roman" w:hint="eastAsia" w:eastAsia="黑体"/>
          <w:b w:val="false"/>
          <w:bCs w:val="false"/>
          <w:color w:val="000000"/>
          <w:kern w:val="2"/>
          <w:sz w:val="32"/>
          <w:szCs w:val="32"/>
        </w:rPr>
        <w:t>六</w:t>
      </w:r>
      <w:r>
        <w:rPr>
          <w:rFonts w:ascii="黑体" w:hAnsi="黑体" w:cs="Times New Roman" w:eastAsia="黑体"/>
          <w:b w:val="false"/>
          <w:bCs w:val="false"/>
          <w:color w:val="000000"/>
          <w:kern w:val="2"/>
          <w:sz w:val="32"/>
          <w:szCs w:val="32"/>
        </w:rPr>
        <w:t>条</w:t>
      </w:r>
      <w:r>
        <w:rPr>
          <w:rFonts w:ascii="黑体" w:hAnsi="黑体"/>
          <w:b w:val="false"/>
          <w:bCs w:val="false"/>
          <w:sz w:val="32"/>
          <w:szCs w:val="32"/>
        </w:rPr>
        <w:t xml:space="preserve">  </w:t>
      </w:r>
      <w:r>
        <w:rPr>
          <w:rFonts w:ascii="Calibri;DejaVu Sans" w:hAnsi="Calibri;DejaVu Sans" w:cs="Calibri;DejaVu Sans" w:hint="eastAsia"/>
          <w:b w:val="false"/>
          <w:bCs w:val="false"/>
          <w:color w:val="000000"/>
          <w:sz w:val="32"/>
          <w:szCs w:val="32"/>
        </w:rPr>
        <w:t>市和区人民政府应当将平安建设工作纳入国民经济和社会发展规划，履行平安建设相关职责，并将平安建设工作所需经费列入本级财政预算。</w:t>
      </w:r>
      <w:bookmarkStart w:id="1" w:name="tiao_4_kuan_3"/>
      <w:bookmarkEnd w:id="1"/>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仿宋_GB2312" w:hAnsi="仿宋_GB2312" w:eastAsia="仿宋_GB2312" w:cs="仿宋_GB2312" w:hint="eastAsia"/>
          <w:b w:val="false"/>
          <w:bCs w:val="false"/>
          <w:color w:val="000000"/>
          <w:sz w:val="28"/>
          <w:szCs w:val="28"/>
          <w:highlight w:val="none"/>
        </w:rPr>
      </w:pPr>
      <w:r>
        <w:rPr>
          <w:rFonts w:hint="eastAsia"/>
          <w:b w:val="false"/>
          <w:bCs w:val="false"/>
          <w:color w:val="000000"/>
          <w:sz w:val="32"/>
          <w:szCs w:val="32"/>
        </w:rPr>
        <w:t>乡镇人民政府、街道办事处具体负责本辖区平安建设工作。</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auto" w:line="240"/>
        <w:ind w:firstLine="631" w:start="0" w:end="0"/>
        <w:jc w:val="both"/>
        <w:rPr>
          <w:rFonts w:eastAsia="仿宋_GB2312" w:hint="eastAsia"/>
          <w:b w:val="false"/>
          <w:bCs w:val="false"/>
          <w:color w:val="000000"/>
          <w:sz w:val="32"/>
          <w:szCs w:val="32"/>
          <w:highlight w:val="none"/>
        </w:rPr>
      </w:pPr>
      <w:r>
        <w:rPr>
          <w:rFonts w:ascii="黑体" w:hAnsi="黑体" w:eastAsia="黑体"/>
          <w:b w:val="false"/>
          <w:bCs w:val="false"/>
          <w:color w:val="000000"/>
          <w:sz w:val="32"/>
          <w:szCs w:val="32"/>
        </w:rPr>
        <w:t>第</w:t>
      </w:r>
      <w:r>
        <w:rPr>
          <w:rFonts w:ascii="黑体" w:hAnsi="黑体" w:eastAsia="黑体"/>
          <w:b w:val="false"/>
          <w:bCs w:val="false"/>
          <w:color w:val="000000"/>
          <w:sz w:val="32"/>
          <w:szCs w:val="32"/>
        </w:rPr>
        <w:t>七</w:t>
      </w:r>
      <w:r>
        <w:rPr>
          <w:rFonts w:ascii="黑体" w:hAnsi="黑体" w:eastAsia="黑体"/>
          <w:b w:val="false"/>
          <w:bCs w:val="false"/>
          <w:color w:val="000000"/>
          <w:sz w:val="32"/>
          <w:szCs w:val="32"/>
        </w:rPr>
        <w:t>条</w:t>
      </w:r>
      <w:r>
        <w:rPr>
          <w:rFonts w:ascii="黑体" w:hAnsi="黑体"/>
          <w:b w:val="false"/>
          <w:bCs w:val="false"/>
          <w:sz w:val="32"/>
          <w:szCs w:val="32"/>
        </w:rPr>
        <w:t xml:space="preserve">  </w:t>
      </w:r>
      <w:r>
        <w:rPr>
          <w:rFonts w:ascii="Calibri;DejaVu Sans" w:hAnsi="Calibri;DejaVu Sans" w:cs="宋体" w:eastAsia="仿宋_GB2312"/>
          <w:b w:val="false"/>
          <w:bCs w:val="false"/>
          <w:color w:val="000000"/>
          <w:sz w:val="32"/>
          <w:szCs w:val="32"/>
        </w:rPr>
        <w:t>本市</w:t>
      </w:r>
      <w:r>
        <w:rPr>
          <w:rFonts w:ascii="黑体" w:hAnsi="黑体" w:eastAsia="仿宋_GB2312"/>
          <w:b w:val="false"/>
          <w:bCs w:val="false"/>
          <w:color w:val="000000"/>
          <w:sz w:val="32"/>
          <w:szCs w:val="32"/>
        </w:rPr>
        <w:t>各</w:t>
      </w:r>
      <w:r>
        <w:rPr>
          <w:rFonts w:cs="Times New Roman" w:eastAsia="仿宋_GB2312"/>
          <w:b w:val="false"/>
          <w:bCs w:val="false"/>
          <w:color w:val="000000"/>
          <w:sz w:val="32"/>
          <w:szCs w:val="32"/>
        </w:rPr>
        <w:t>级</w:t>
      </w:r>
      <w:r>
        <w:rPr>
          <w:rFonts w:cs="Times New Roman" w:hint="eastAsia" w:eastAsia="仿宋_GB2312"/>
          <w:b w:val="false"/>
          <w:bCs w:val="false"/>
          <w:color w:val="000000"/>
          <w:sz w:val="32"/>
          <w:szCs w:val="32"/>
        </w:rPr>
        <w:t>社会治安综合治理中心是整合社会治理资源、创新社会治理方式的重要工作平台，应当完善运行机制，加强规范化建设，强化组织调度、协调推动风险研判、矛盾化解、治安防控、网格化管理等功能，为平安建设工作提供支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仿宋_GB2312" w:hAnsi="仿宋_GB2312" w:eastAsia="仿宋_GB2312" w:cs="黑体" w:hint="eastAsia"/>
          <w:b w:val="false"/>
          <w:bCs w:val="false"/>
          <w:color w:val="000000"/>
          <w:szCs w:val="32"/>
          <w:highlight w:val="none"/>
        </w:rPr>
      </w:pPr>
      <w:r>
        <w:rPr>
          <w:rFonts w:ascii="黑体" w:hAnsi="黑体" w:eastAsia="黑体"/>
          <w:b w:val="false"/>
          <w:bCs w:val="false"/>
          <w:color w:val="000000"/>
          <w:sz w:val="32"/>
          <w:szCs w:val="32"/>
        </w:rPr>
        <w:t>第</w:t>
      </w:r>
      <w:r>
        <w:rPr>
          <w:rFonts w:ascii="黑体" w:hAnsi="黑体" w:hint="eastAsia" w:eastAsia="黑体"/>
          <w:b w:val="false"/>
          <w:bCs w:val="false"/>
          <w:color w:val="000000"/>
          <w:sz w:val="32"/>
          <w:szCs w:val="32"/>
        </w:rPr>
        <w:t>八</w:t>
      </w:r>
      <w:r>
        <w:rPr>
          <w:rFonts w:ascii="黑体" w:hAnsi="黑体" w:eastAsia="黑体"/>
          <w:b w:val="false"/>
          <w:bCs w:val="false"/>
          <w:color w:val="000000"/>
          <w:sz w:val="32"/>
          <w:szCs w:val="32"/>
        </w:rPr>
        <w:t>条</w:t>
      </w:r>
      <w:r>
        <w:rPr>
          <w:rFonts w:ascii="黑体" w:hAnsi="黑体"/>
          <w:b w:val="false"/>
          <w:bCs w:val="false"/>
          <w:sz w:val="32"/>
          <w:szCs w:val="32"/>
        </w:rPr>
        <w:t xml:space="preserve">  </w:t>
      </w:r>
      <w:r>
        <w:rPr>
          <w:rFonts w:ascii="仿宋_GB2312" w:hAnsi="仿宋_GB2312" w:cs="黑体" w:hint="eastAsia"/>
          <w:b w:val="false"/>
          <w:bCs w:val="false"/>
          <w:color w:val="000000"/>
          <w:szCs w:val="32"/>
        </w:rPr>
        <w:t>单位和个人应当遵守法律</w:t>
      </w:r>
      <w:r>
        <w:rPr>
          <w:rFonts w:ascii="仿宋_GB2312" w:hAnsi="仿宋_GB2312" w:cs="黑体" w:hint="eastAsia"/>
          <w:b w:val="false"/>
          <w:bCs w:val="false"/>
          <w:color w:val="000000"/>
          <w:szCs w:val="32"/>
        </w:rPr>
        <w:t>、</w:t>
      </w:r>
      <w:r>
        <w:rPr>
          <w:rFonts w:ascii="仿宋_GB2312" w:hAnsi="仿宋_GB2312" w:cs="黑体" w:hint="eastAsia"/>
          <w:b w:val="false"/>
          <w:bCs w:val="false"/>
          <w:color w:val="000000"/>
          <w:szCs w:val="32"/>
        </w:rPr>
        <w:t>法规，遵守公共秩序和文明行为规范</w:t>
      </w:r>
      <w:r>
        <w:rPr>
          <w:rFonts w:ascii="Times New Roman" w:hAnsi="Times New Roman" w:cs="Times New Roman" w:hint="eastAsia"/>
          <w:b w:val="false"/>
          <w:bCs w:val="false"/>
          <w:color w:val="000000"/>
          <w:kern w:val="2"/>
          <w:sz w:val="32"/>
          <w:szCs w:val="32"/>
        </w:rPr>
        <w:t>，尊重社会公德，依法理性</w:t>
      </w:r>
      <w:r>
        <w:rPr>
          <w:rFonts w:ascii="仿宋_GB2312" w:hAnsi="仿宋_GB2312" w:cs="黑体" w:hint="eastAsia"/>
          <w:b w:val="false"/>
          <w:bCs w:val="false"/>
          <w:color w:val="000000"/>
          <w:szCs w:val="32"/>
        </w:rPr>
        <w:t>反映诉求、解决纠纷、维护权益，提高安全防范意识和能力。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黑体" w:hint="eastAsia"/>
          <w:b w:val="false"/>
          <w:bCs w:val="false"/>
          <w:color w:val="000000"/>
          <w:sz w:val="32"/>
          <w:szCs w:val="32"/>
          <w:highlight w:val="none"/>
        </w:rPr>
      </w:pPr>
      <w:r>
        <w:rPr>
          <w:rFonts w:ascii="黑体" w:hAnsi="黑体" w:eastAsia="黑体"/>
          <w:b w:val="false"/>
          <w:bCs w:val="false"/>
          <w:color w:val="000000"/>
          <w:sz w:val="32"/>
          <w:szCs w:val="32"/>
        </w:rPr>
        <w:t>第</w:t>
      </w:r>
      <w:r>
        <w:rPr>
          <w:rFonts w:ascii="黑体" w:hAnsi="黑体" w:hint="eastAsia" w:eastAsia="黑体"/>
          <w:b w:val="false"/>
          <w:bCs w:val="false"/>
          <w:color w:val="000000"/>
          <w:sz w:val="32"/>
          <w:szCs w:val="32"/>
        </w:rPr>
        <w:t>九</w:t>
      </w:r>
      <w:r>
        <w:rPr>
          <w:rFonts w:ascii="黑体" w:hAnsi="黑体" w:eastAsia="黑体"/>
          <w:b w:val="false"/>
          <w:bCs w:val="false"/>
          <w:color w:val="000000"/>
          <w:sz w:val="32"/>
          <w:szCs w:val="32"/>
        </w:rPr>
        <w:t>条</w:t>
      </w:r>
      <w:r>
        <w:rPr>
          <w:rFonts w:ascii="黑体" w:hAnsi="黑体"/>
          <w:b w:val="false"/>
          <w:bCs w:val="false"/>
          <w:sz w:val="32"/>
          <w:szCs w:val="32"/>
        </w:rPr>
        <w:t xml:space="preserve">  </w:t>
      </w:r>
      <w:r>
        <w:rPr>
          <w:rFonts w:ascii="仿宋_GB2312" w:hAnsi="仿宋_GB2312" w:cs="黑体" w:hint="eastAsia"/>
          <w:b w:val="false"/>
          <w:bCs w:val="false"/>
          <w:color w:val="000000"/>
          <w:sz w:val="32"/>
          <w:szCs w:val="32"/>
        </w:rPr>
        <w:t>本市各级国家机关应当将平安建设纳入法治宣传教育内容，在依法履行职责中开展平安建设宣传教育。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eastAsia="仿宋_GB2312" w:hint="eastAsia"/>
          <w:b w:val="false"/>
          <w:bCs w:val="false"/>
          <w:color w:val="000000"/>
          <w:sz w:val="32"/>
          <w:szCs w:val="32"/>
          <w:highlight w:val="none"/>
        </w:rPr>
      </w:pPr>
      <w:r>
        <w:rPr>
          <w:rFonts w:hint="eastAsia"/>
          <w:b w:val="false"/>
          <w:bCs w:val="false"/>
          <w:color w:val="000000"/>
          <w:sz w:val="32"/>
          <w:szCs w:val="32"/>
        </w:rPr>
        <w:t>广播、电视、报刊、网络等媒体应当加强平安建设知识的宣传普及，发挥舆论引导和监督作用。</w:t>
      </w:r>
    </w:p>
    <w:p>
      <w:pPr>
        <w:pStyle w:val="BodyText1"/>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b w:val="false"/>
          <w:bCs w:val="false"/>
          <w:color w:val="000000"/>
          <w:sz w:val="32"/>
          <w:szCs w:val="32"/>
          <w:highlight w:val="none"/>
        </w:rPr>
      </w:pPr>
      <w:r>
        <w:rPr>
          <w:rFonts w:ascii="黑体" w:hAnsi="黑体" w:hint="eastAsia" w:eastAsia="黑体"/>
          <w:b w:val="false"/>
          <w:bCs w:val="false"/>
          <w:color w:val="000000"/>
        </w:rPr>
        <w:t>第</w:t>
      </w:r>
      <w:r>
        <w:rPr>
          <w:rFonts w:ascii="黑体" w:hAnsi="黑体" w:hint="eastAsia" w:eastAsia="黑体"/>
          <w:b w:val="false"/>
          <w:bCs w:val="false"/>
          <w:color w:val="000000"/>
          <w:sz w:val="32"/>
          <w:szCs w:val="32"/>
        </w:rPr>
        <w:t>十</w:t>
      </w:r>
      <w:r>
        <w:rPr>
          <w:rFonts w:ascii="黑体" w:hAnsi="黑体" w:hint="eastAsia" w:eastAsia="黑体"/>
          <w:b w:val="false"/>
          <w:bCs w:val="false"/>
          <w:color w:val="000000"/>
        </w:rPr>
        <w:t>条</w:t>
      </w:r>
      <w:r>
        <w:rPr>
          <w:rFonts w:ascii="黑体" w:hAnsi="黑体"/>
          <w:b w:val="false"/>
          <w:bCs w:val="false"/>
          <w:sz w:val="32"/>
          <w:szCs w:val="32"/>
        </w:rPr>
        <w:t xml:space="preserve">  </w:t>
      </w:r>
      <w:r>
        <w:rPr>
          <w:rFonts w:hint="eastAsia" w:eastAsia="仿宋_GB2312"/>
          <w:b w:val="false"/>
          <w:bCs w:val="false"/>
          <w:color w:val="000000"/>
          <w:sz w:val="32"/>
          <w:szCs w:val="32"/>
        </w:rPr>
        <w:t>本市建立健全与北京市、河北省平安建设合作与交流机制，在信息共享、重大突发事件处置、矛盾风险防范与化解等方面加强协作，促进京津冀平安建设协同发展。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outlineLvl w:val="0"/>
        <w:rPr>
          <w:rFonts w:ascii="宋体" w:hAnsi="宋体" w:eastAsia="宋体" w:cs="宋体" w:hint="eastAsia"/>
          <w:b w:val="false"/>
          <w:bCs w:val="false"/>
          <w:color w:val="000000"/>
          <w:sz w:val="32"/>
          <w:szCs w:val="32"/>
          <w:highlight w:val="none"/>
        </w:rPr>
      </w:pPr>
      <w:r>
        <w:rPr>
          <w:rFonts w:eastAsia="宋体" w:cs="宋体" w:hint="eastAsia" w:ascii="宋体" w:hAnsi="宋体"/>
          <w:b w:val="false"/>
          <w:bCs w:val="false"/>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jc w:val="center"/>
        <w:outlineLvl w:val="0"/>
        <w:rPr>
          <w:rFonts w:ascii="黑体" w:hAnsi="黑体" w:eastAsia="黑体" w:hint="eastAsia"/>
          <w:b w:val="false"/>
          <w:bCs w:val="false"/>
          <w:color w:val="000000"/>
          <w:sz w:val="32"/>
          <w:szCs w:val="32"/>
          <w:highlight w:val="none"/>
        </w:rPr>
      </w:pPr>
      <w:r>
        <w:rPr>
          <w:rFonts w:ascii="黑体" w:hAnsi="黑体" w:hint="eastAsia" w:eastAsia="黑体"/>
          <w:b w:val="false"/>
          <w:bCs w:val="false"/>
          <w:color w:val="000000"/>
          <w:sz w:val="32"/>
          <w:szCs w:val="32"/>
        </w:rPr>
        <w:t>第二章  共同治理</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宋体" w:hAnsi="宋体" w:eastAsia="宋体" w:cs="宋体" w:hint="eastAsia"/>
          <w:b w:val="false"/>
          <w:bCs w:val="false"/>
          <w:color w:val="000000"/>
          <w:sz w:val="32"/>
          <w:szCs w:val="32"/>
          <w:highlight w:val="none"/>
        </w:rPr>
      </w:pPr>
      <w:r>
        <w:rPr>
          <w:rFonts w:eastAsia="宋体" w:cs="宋体" w:hint="eastAsia" w:ascii="宋体" w:hAnsi="宋体"/>
          <w:b w:val="false"/>
          <w:bCs w:val="false"/>
          <w:color w:val="000000"/>
          <w:sz w:val="32"/>
          <w:szCs w:val="32"/>
        </w:rPr>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b w:val="false"/>
          <w:bCs w:val="false"/>
          <w:color w:val="000000"/>
          <w:position w:val="0"/>
          <w:sz w:val="24"/>
          <w:szCs w:val="32"/>
          <w:highlight w:val="none"/>
          <w:vertAlign w:val="baseline"/>
        </w:rPr>
      </w:pPr>
      <w:r>
        <w:rPr>
          <w:rFonts w:ascii="黑体" w:hAnsi="黑体" w:hint="eastAsia" w:eastAsia="黑体"/>
          <w:b w:val="false"/>
          <w:bCs w:val="false"/>
          <w:color w:val="000000"/>
          <w:szCs w:val="32"/>
        </w:rPr>
        <w:t>第十一条</w:t>
      </w:r>
      <w:r>
        <w:rPr>
          <w:rFonts w:ascii="黑体" w:hAnsi="黑体"/>
          <w:b w:val="false"/>
          <w:bCs w:val="false"/>
          <w:sz w:val="32"/>
          <w:szCs w:val="32"/>
        </w:rPr>
        <w:t xml:space="preserve">  </w:t>
      </w:r>
      <w:r>
        <w:rPr>
          <w:rFonts w:hint="eastAsia" w:eastAsia="仿宋_GB2312"/>
          <w:b w:val="false"/>
          <w:bCs w:val="false"/>
          <w:color w:val="000000"/>
          <w:szCs w:val="32"/>
        </w:rPr>
        <w:t>本市建立健全纵向横向联动、政府社会互动、群众参与齐动的平安建设工作机制，坚持系统治理、综合治理、依法治理、源头治理与专项治理相结合，</w:t>
      </w:r>
      <w:r>
        <w:rPr>
          <w:rFonts w:hint="eastAsia" w:eastAsia="仿宋_GB2312"/>
          <w:b w:val="false"/>
          <w:bCs w:val="false"/>
          <w:color w:val="000000"/>
          <w:szCs w:val="32"/>
          <w:lang w:val="en"/>
        </w:rPr>
        <w:t>深化“战区制、主官上、权下放”党建引领基层治理体制机制创新，</w:t>
      </w:r>
      <w:r>
        <w:rPr>
          <w:rFonts w:hint="eastAsia" w:eastAsia="仿宋_GB2312"/>
          <w:b w:val="false"/>
          <w:bCs w:val="false"/>
          <w:color w:val="000000"/>
          <w:szCs w:val="32"/>
        </w:rPr>
        <w:t>统筹各类资源力量，营造共建共治共享的平安建设格局。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仿宋_GB2312" w:hAnsi="仿宋_GB2312" w:eastAsia="仿宋_GB2312" w:hint="eastAsia"/>
          <w:b w:val="false"/>
          <w:bCs w:val="false"/>
          <w:color w:val="000000"/>
          <w:szCs w:val="32"/>
          <w:highlight w:val="none"/>
        </w:rPr>
      </w:pPr>
      <w:r>
        <w:rPr>
          <w:rFonts w:ascii="黑体" w:hAnsi="黑体" w:cs="Times New Roman" w:hint="eastAsia" w:eastAsia="黑体"/>
          <w:b w:val="false"/>
          <w:bCs w:val="false"/>
          <w:color w:val="000000"/>
          <w:kern w:val="2"/>
          <w:sz w:val="32"/>
          <w:szCs w:val="32"/>
        </w:rPr>
        <w:t>第十二条</w:t>
      </w:r>
      <w:r>
        <w:rPr>
          <w:rFonts w:ascii="黑体" w:hAnsi="黑体"/>
          <w:b w:val="false"/>
          <w:bCs w:val="false"/>
          <w:sz w:val="32"/>
          <w:szCs w:val="32"/>
        </w:rPr>
        <w:t xml:space="preserve">  </w:t>
      </w:r>
      <w:r>
        <w:rPr>
          <w:rFonts w:ascii="仿宋_GB2312" w:hAnsi="仿宋_GB2312" w:hint="eastAsia"/>
          <w:b w:val="false"/>
          <w:bCs w:val="false"/>
          <w:color w:val="000000"/>
          <w:szCs w:val="32"/>
        </w:rPr>
        <w:t>市和区人民政府及其有关部门、监</w:t>
      </w:r>
      <w:r>
        <w:rPr>
          <w:rFonts w:ascii="Times New Roman" w:hAnsi="Times New Roman" w:cs="Times New Roman" w:hint="eastAsia"/>
          <w:b w:val="false"/>
          <w:bCs w:val="false"/>
          <w:color w:val="000000"/>
          <w:kern w:val="2"/>
          <w:sz w:val="32"/>
          <w:szCs w:val="32"/>
        </w:rPr>
        <w:t>察机关、人民法院、人民检察院应当落实平安建设工作任务，推进分行业、分系统、分领域平安建设标准化、规范化、精细化建</w:t>
      </w:r>
      <w:r>
        <w:rPr>
          <w:rFonts w:ascii="Times New Roman" w:hAnsi="Times New Roman" w:cs="Times New Roman" w:hint="eastAsia"/>
          <w:b w:val="false"/>
          <w:bCs w:val="false"/>
          <w:color w:val="000000"/>
          <w:kern w:val="2"/>
          <w:sz w:val="32"/>
          <w:szCs w:val="32"/>
        </w:rPr>
        <w:t>设，</w:t>
      </w:r>
      <w:r>
        <w:rPr>
          <w:rFonts w:ascii="Times New Roman" w:hAnsi="Times New Roman" w:cs="Times New Roman" w:hint="eastAsia"/>
          <w:b w:val="false"/>
          <w:bCs w:val="false"/>
          <w:color w:val="000000"/>
          <w:kern w:val="2"/>
          <w:sz w:val="32"/>
          <w:szCs w:val="32"/>
        </w:rPr>
        <w:t>加强部门间信息互通、</w:t>
      </w:r>
      <w:r>
        <w:rPr>
          <w:rFonts w:ascii="仿宋_GB2312" w:hAnsi="仿宋_GB2312" w:hint="eastAsia"/>
          <w:b w:val="false"/>
          <w:bCs w:val="false"/>
          <w:color w:val="000000"/>
          <w:szCs w:val="32"/>
        </w:rPr>
        <w:t>资源共享、工作联动。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_GB2312" w:cs="Times New Roman" w:hint="eastAsia"/>
          <w:b w:val="false"/>
          <w:bCs w:val="false"/>
          <w:color w:val="000000"/>
          <w:kern w:val="2"/>
          <w:sz w:val="32"/>
          <w:szCs w:val="32"/>
          <w:highlight w:val="none"/>
          <w:lang w:val="en"/>
        </w:rPr>
      </w:pPr>
      <w:r>
        <w:rPr>
          <w:rFonts w:ascii="黑体" w:hAnsi="黑体" w:eastAsia="黑体"/>
          <w:b w:val="false"/>
          <w:bCs w:val="false"/>
          <w:color w:val="000000"/>
          <w:sz w:val="32"/>
          <w:szCs w:val="32"/>
        </w:rPr>
        <w:t>第</w:t>
      </w:r>
      <w:r>
        <w:rPr>
          <w:rFonts w:ascii="黑体" w:hAnsi="黑体" w:hint="eastAsia" w:eastAsia="黑体"/>
          <w:b w:val="false"/>
          <w:bCs w:val="false"/>
          <w:color w:val="000000"/>
          <w:sz w:val="32"/>
          <w:szCs w:val="32"/>
        </w:rPr>
        <w:t>十三</w:t>
      </w:r>
      <w:r>
        <w:rPr>
          <w:rFonts w:ascii="黑体" w:hAnsi="黑体" w:eastAsia="黑体"/>
          <w:b w:val="false"/>
          <w:bCs w:val="false"/>
          <w:color w:val="000000"/>
          <w:sz w:val="32"/>
          <w:szCs w:val="32"/>
        </w:rPr>
        <w:t>条</w:t>
      </w:r>
      <w:r>
        <w:rPr>
          <w:rFonts w:ascii="黑体" w:hAnsi="黑体"/>
          <w:b w:val="false"/>
          <w:bCs w:val="false"/>
          <w:sz w:val="32"/>
          <w:szCs w:val="32"/>
        </w:rPr>
        <w:t xml:space="preserve">  </w:t>
      </w:r>
      <w:r>
        <w:rPr>
          <w:rFonts w:ascii="Times New Roman" w:hAnsi="Times New Roman" w:cs="Times New Roman" w:hint="eastAsia"/>
          <w:b w:val="false"/>
          <w:bCs w:val="false"/>
          <w:color w:val="000000"/>
          <w:kern w:val="2"/>
          <w:sz w:val="32"/>
          <w:szCs w:val="32"/>
          <w:lang w:val="en"/>
        </w:rPr>
        <w:t>乡镇人民政府、街道办事处应当做好社会治安综合治理、维护社会稳定的工作，动员、组织群防群治力量，共同维护社会治安和社会秩序，保障辖区公共安全。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eastAsia="仿宋_GB2312" w:cs="Times New Roman" w:hint="eastAsia"/>
          <w:b w:val="false"/>
          <w:bCs w:val="false"/>
          <w:color w:val="000000"/>
          <w:kern w:val="2"/>
          <w:position w:val="0"/>
          <w:sz w:val="32"/>
          <w:szCs w:val="32"/>
          <w:highlight w:val="none"/>
          <w:vertAlign w:val="baseline"/>
          <w:lang w:val="en"/>
        </w:rPr>
      </w:pPr>
      <w:r>
        <w:rPr>
          <w:rFonts w:ascii="Times New Roman" w:hAnsi="Times New Roman" w:cs="Times New Roman" w:hint="eastAsia"/>
          <w:b w:val="false"/>
          <w:bCs w:val="false"/>
          <w:color w:val="000000"/>
          <w:kern w:val="2"/>
          <w:sz w:val="32"/>
          <w:szCs w:val="32"/>
          <w:lang w:val="en"/>
        </w:rPr>
        <w:t>乡镇人民政府、街道办事处应当及时处理或者组织协调有关部门和单位及时处理辖区内群众诉求、化解社会矛盾纠纷、</w:t>
      </w:r>
      <w:r>
        <w:rPr>
          <w:rFonts w:ascii="仿宋_GB2312" w:hAnsi="仿宋_GB2312" w:cs="黑体" w:hint="eastAsia"/>
          <w:b w:val="false"/>
          <w:bCs w:val="false"/>
          <w:color w:val="000000"/>
          <w:sz w:val="32"/>
          <w:szCs w:val="32"/>
        </w:rPr>
        <w:t>排查安全隐患</w:t>
      </w:r>
      <w:r>
        <w:rPr>
          <w:rFonts w:ascii="Times New Roman" w:hAnsi="Times New Roman" w:cs="Times New Roman" w:hint="eastAsia"/>
          <w:b w:val="false"/>
          <w:bCs w:val="false"/>
          <w:color w:val="000000"/>
          <w:kern w:val="2"/>
          <w:sz w:val="32"/>
          <w:szCs w:val="32"/>
          <w:lang w:val="en"/>
        </w:rPr>
        <w:t>。需要多部门协同解决的，由乡镇人民政府、街道办事处协调区人民政府工作部门及其派出机构、承担公共服务职能的企业事业单位等进行处理，必要时可以报区人民政府确定责任部门。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黑体" w:hAnsi="黑体" w:eastAsia="黑体" w:cs="Times New Roman" w:hint="eastAsia"/>
          <w:b w:val="false"/>
          <w:bCs w:val="false"/>
          <w:color w:val="000000"/>
          <w:kern w:val="2"/>
          <w:sz w:val="32"/>
          <w:szCs w:val="32"/>
          <w:highlight w:val="none"/>
        </w:rPr>
      </w:pPr>
      <w:r>
        <w:rPr>
          <w:rFonts w:ascii="黑体" w:hAnsi="黑体" w:cs="Times New Roman" w:hint="eastAsia" w:eastAsia="黑体"/>
          <w:b w:val="false"/>
          <w:bCs w:val="false"/>
          <w:color w:val="000000"/>
          <w:kern w:val="2"/>
          <w:sz w:val="32"/>
          <w:szCs w:val="32"/>
        </w:rPr>
        <w:t>第十四条</w:t>
      </w:r>
      <w:r>
        <w:rPr>
          <w:rFonts w:ascii="黑体" w:hAnsi="黑体"/>
          <w:b w:val="false"/>
          <w:bCs w:val="false"/>
          <w:sz w:val="32"/>
          <w:szCs w:val="32"/>
        </w:rPr>
        <w:t xml:space="preserve">  </w:t>
      </w:r>
      <w:r>
        <w:rPr>
          <w:rFonts w:ascii="仿宋_GB2312" w:hAnsi="仿宋_GB2312" w:cs="黑体" w:hint="eastAsia"/>
          <w:b w:val="false"/>
          <w:bCs w:val="false"/>
          <w:color w:val="000000"/>
          <w:sz w:val="32"/>
          <w:szCs w:val="32"/>
        </w:rPr>
        <w:t>本市基层平安建设实行网</w:t>
      </w:r>
      <w:r>
        <w:rPr>
          <w:rFonts w:ascii="Times New Roman" w:hAnsi="Times New Roman" w:cs="Times New Roman" w:hint="eastAsia"/>
          <w:b w:val="false"/>
          <w:bCs w:val="false"/>
          <w:color w:val="000000"/>
          <w:kern w:val="2"/>
          <w:sz w:val="32"/>
          <w:szCs w:val="32"/>
          <w:lang w:val="en"/>
        </w:rPr>
        <w:t>格化服务管理，整合综合治理、应急管理、社会</w:t>
      </w:r>
      <w:r>
        <w:rPr>
          <w:rFonts w:ascii="仿宋_GB2312" w:hAnsi="仿宋_GB2312" w:cs="黑体" w:hint="eastAsia"/>
          <w:b w:val="false"/>
          <w:bCs w:val="false"/>
          <w:color w:val="000000"/>
          <w:sz w:val="32"/>
          <w:szCs w:val="32"/>
        </w:rPr>
        <w:t>保障、社会救助、市容环境等网格资源，建立健全信息收集、问题发现、任务分办、协同处置、结果反馈工作</w:t>
      </w:r>
      <w:r>
        <w:rPr>
          <w:rFonts w:ascii="Times New Roman" w:hAnsi="Times New Roman" w:cs="Times New Roman" w:hint="eastAsia"/>
          <w:b w:val="false"/>
          <w:bCs w:val="false"/>
          <w:color w:val="000000"/>
          <w:kern w:val="2"/>
          <w:sz w:val="32"/>
          <w:szCs w:val="32"/>
          <w:lang w:val="en"/>
        </w:rPr>
        <w:t>机制，依托网格开展防控违法犯罪、排查社会治安隐患等平安建设工作。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黑体" w:hint="eastAsia"/>
          <w:b w:val="false"/>
          <w:bCs w:val="false"/>
          <w:color w:val="000000"/>
          <w:position w:val="0"/>
          <w:sz w:val="32"/>
          <w:szCs w:val="32"/>
          <w:highlight w:val="none"/>
          <w:vertAlign w:val="baseline"/>
        </w:rPr>
      </w:pPr>
      <w:r>
        <w:rPr>
          <w:rFonts w:ascii="黑体" w:hAnsi="黑体" w:hint="eastAsia" w:eastAsia="黑体"/>
          <w:b w:val="false"/>
          <w:bCs w:val="false"/>
          <w:color w:val="000000"/>
          <w:sz w:val="32"/>
          <w:szCs w:val="32"/>
        </w:rPr>
        <w:t>第十五条</w:t>
      </w:r>
      <w:r>
        <w:rPr>
          <w:rFonts w:ascii="黑体" w:hAnsi="黑体"/>
          <w:b w:val="false"/>
          <w:bCs w:val="false"/>
          <w:sz w:val="32"/>
          <w:szCs w:val="32"/>
        </w:rPr>
        <w:t xml:space="preserve">  </w:t>
      </w:r>
      <w:r>
        <w:rPr>
          <w:rFonts w:ascii="仿宋_GB2312" w:hAnsi="仿宋_GB2312" w:hint="eastAsia"/>
          <w:b w:val="false"/>
          <w:bCs w:val="false"/>
          <w:color w:val="000000"/>
          <w:sz w:val="32"/>
          <w:szCs w:val="32"/>
        </w:rPr>
        <w:t>居民委员会、村民委员会应当在</w:t>
      </w:r>
      <w:r>
        <w:rPr>
          <w:rFonts w:ascii="Times New Roman" w:hAnsi="Times New Roman" w:cs="Times New Roman" w:hint="eastAsia"/>
          <w:b w:val="false"/>
          <w:bCs w:val="false"/>
          <w:color w:val="000000"/>
          <w:kern w:val="2"/>
          <w:sz w:val="32"/>
          <w:szCs w:val="32"/>
          <w:lang w:val="en"/>
        </w:rPr>
        <w:t>街道办事处、乡镇人民政府指导下，</w:t>
      </w:r>
      <w:r>
        <w:rPr>
          <w:rFonts w:ascii="仿宋_GB2312" w:hAnsi="仿宋_GB2312" w:hint="eastAsia"/>
          <w:b w:val="false"/>
          <w:bCs w:val="false"/>
          <w:color w:val="000000"/>
          <w:sz w:val="32"/>
          <w:szCs w:val="32"/>
        </w:rPr>
        <w:t>建立健全社区、村平安建设联防联控等工作制度，推动平安建设相关内容纳入居民公约、村规民约，组织引导居民、村民参与平安建设活动，促进自治、法治、德治相结合。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仿宋_GB2312" w:hAnsi="仿宋_GB2312" w:eastAsia="仿宋_GB2312" w:hint="eastAsia"/>
          <w:b w:val="false"/>
          <w:bCs w:val="false"/>
          <w:color w:val="000000"/>
          <w:position w:val="0"/>
          <w:sz w:val="32"/>
          <w:szCs w:val="32"/>
          <w:highlight w:val="none"/>
          <w:vertAlign w:val="baseline"/>
        </w:rPr>
      </w:pPr>
      <w:r>
        <w:rPr>
          <w:rFonts w:ascii="黑体" w:hAnsi="黑体" w:hint="eastAsia" w:eastAsia="黑体"/>
          <w:b w:val="false"/>
          <w:bCs w:val="false"/>
          <w:color w:val="000000"/>
          <w:sz w:val="32"/>
          <w:szCs w:val="32"/>
        </w:rPr>
        <w:t>第十六条</w:t>
      </w:r>
      <w:r>
        <w:rPr>
          <w:rFonts w:ascii="黑体" w:hAnsi="黑体"/>
          <w:b w:val="false"/>
          <w:bCs w:val="false"/>
          <w:sz w:val="32"/>
          <w:szCs w:val="32"/>
        </w:rPr>
        <w:t xml:space="preserve">  </w:t>
      </w:r>
      <w:r>
        <w:rPr>
          <w:rFonts w:ascii="仿宋_GB2312" w:hAnsi="仿宋_GB2312" w:hint="eastAsia"/>
          <w:b w:val="false"/>
          <w:bCs w:val="false"/>
          <w:color w:val="000000"/>
          <w:sz w:val="32"/>
          <w:szCs w:val="32"/>
        </w:rPr>
        <w:t>工会、共青团、妇联、残联等人民团体应当结合各自职责和工作特点，通过多种方式做好平安建设相关工作，依法维护职工、未成年人、妇女、残疾人等的合法权益。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仿宋_GB2312" w:hAnsi="仿宋_GB2312" w:eastAsia="仿宋_GB2312" w:hint="eastAsia"/>
          <w:b w:val="false"/>
          <w:bCs w:val="false"/>
          <w:color w:val="000000"/>
          <w:sz w:val="32"/>
          <w:szCs w:val="32"/>
          <w:highlight w:val="none"/>
        </w:rPr>
      </w:pPr>
      <w:r>
        <w:rPr>
          <w:rFonts w:ascii="黑体" w:hAnsi="黑体" w:cs="黑体" w:hint="eastAsia" w:eastAsia="黑体"/>
          <w:b w:val="false"/>
          <w:bCs w:val="false"/>
          <w:color w:val="000000"/>
          <w:sz w:val="32"/>
          <w:szCs w:val="32"/>
        </w:rPr>
        <w:t>第十七条</w:t>
      </w:r>
      <w:r>
        <w:rPr>
          <w:rFonts w:ascii="黑体" w:hAnsi="黑体"/>
          <w:b w:val="false"/>
          <w:bCs w:val="false"/>
          <w:sz w:val="32"/>
          <w:szCs w:val="32"/>
        </w:rPr>
        <w:t xml:space="preserve">  </w:t>
      </w:r>
      <w:r>
        <w:rPr>
          <w:rFonts w:ascii="仿宋_GB2312" w:hAnsi="仿宋_GB2312" w:cs="Times New Roman" w:hint="eastAsia"/>
          <w:b w:val="false"/>
          <w:bCs w:val="false"/>
          <w:color w:val="000000"/>
          <w:sz w:val="32"/>
          <w:szCs w:val="32"/>
        </w:rPr>
        <w:t>有关</w:t>
      </w:r>
      <w:r>
        <w:rPr>
          <w:rFonts w:ascii="仿宋_GB2312" w:hAnsi="仿宋_GB2312" w:hint="eastAsia"/>
          <w:b w:val="false"/>
          <w:bCs w:val="false"/>
          <w:color w:val="000000"/>
          <w:sz w:val="32"/>
          <w:szCs w:val="32"/>
        </w:rPr>
        <w:t>协会、商会等行业组织应当发挥行业自律作用，指导和支持会员参与平安建设，协助主管部门做好本行业平安建设相关工作。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Times New Roman"/>
          <w:b w:val="false"/>
          <w:bCs w:val="false"/>
          <w:color w:val="000000"/>
          <w:sz w:val="32"/>
          <w:szCs w:val="32"/>
          <w:highlight w:val="none"/>
        </w:rPr>
      </w:pPr>
      <w:r>
        <w:rPr>
          <w:rFonts w:ascii="黑体" w:hAnsi="黑体" w:hint="eastAsia" w:eastAsia="黑体"/>
          <w:b w:val="false"/>
          <w:bCs w:val="false"/>
          <w:color w:val="000000"/>
          <w:sz w:val="32"/>
          <w:szCs w:val="32"/>
        </w:rPr>
        <w:t>第十八条</w:t>
      </w:r>
      <w:r>
        <w:rPr>
          <w:rFonts w:ascii="黑体" w:hAnsi="黑体" w:eastAsia="黑体"/>
          <w:b w:val="false"/>
          <w:bCs w:val="false"/>
          <w:sz w:val="32"/>
          <w:szCs w:val="32"/>
        </w:rPr>
        <w:t xml:space="preserve">  </w:t>
      </w:r>
      <w:r>
        <w:rPr>
          <w:rFonts w:ascii="仿宋_GB2312" w:hAnsi="仿宋_GB2312" w:cs="Times New Roman" w:hint="eastAsia"/>
          <w:b w:val="false"/>
          <w:bCs w:val="false"/>
          <w:color w:val="000000"/>
          <w:sz w:val="32"/>
          <w:szCs w:val="32"/>
        </w:rPr>
        <w:t>鼓励和支持志愿服务组织、志愿者在维护社会稳定、平安法治宣传、矛盾纠纷化解、心理健康指导等方面开展志愿服务。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仿宋_GB2312" w:hAnsi="仿宋_GB2312" w:eastAsia="仿宋_GB2312" w:hint="eastAsia"/>
          <w:b w:val="false"/>
          <w:bCs w:val="false"/>
          <w:color w:val="000000"/>
          <w:sz w:val="32"/>
          <w:szCs w:val="32"/>
          <w:highlight w:val="none"/>
        </w:rPr>
      </w:pPr>
      <w:r>
        <w:rPr>
          <w:rFonts w:ascii="黑体" w:hAnsi="黑体" w:hint="eastAsia" w:eastAsia="黑体"/>
          <w:b w:val="false"/>
          <w:bCs w:val="false"/>
          <w:color w:val="000000"/>
          <w:sz w:val="32"/>
          <w:szCs w:val="32"/>
        </w:rPr>
        <w:t>第</w:t>
      </w:r>
      <w:r>
        <w:rPr>
          <w:rFonts w:ascii="黑体" w:hAnsi="黑体" w:cs="Times New Roman" w:hint="eastAsia" w:eastAsia="黑体"/>
          <w:b w:val="false"/>
          <w:bCs w:val="false"/>
          <w:color w:val="000000"/>
          <w:sz w:val="32"/>
          <w:szCs w:val="32"/>
        </w:rPr>
        <w:t>十九</w:t>
      </w:r>
      <w:r>
        <w:rPr>
          <w:rFonts w:ascii="黑体" w:hAnsi="黑体" w:hint="eastAsia" w:eastAsia="黑体"/>
          <w:b w:val="false"/>
          <w:bCs w:val="false"/>
          <w:color w:val="000000"/>
          <w:sz w:val="32"/>
          <w:szCs w:val="32"/>
        </w:rPr>
        <w:t>条</w:t>
      </w:r>
      <w:r>
        <w:rPr>
          <w:rFonts w:ascii="黑体" w:hAnsi="黑体" w:eastAsia="黑体"/>
          <w:b w:val="false"/>
          <w:bCs w:val="false"/>
          <w:sz w:val="32"/>
          <w:szCs w:val="32"/>
        </w:rPr>
        <w:t xml:space="preserve">  </w:t>
      </w:r>
      <w:r>
        <w:rPr>
          <w:rFonts w:ascii="仿宋_GB2312" w:hAnsi="仿宋_GB2312" w:hint="eastAsia"/>
          <w:b w:val="false"/>
          <w:bCs w:val="false"/>
          <w:color w:val="000000"/>
          <w:sz w:val="32"/>
          <w:szCs w:val="32"/>
        </w:rPr>
        <w:t>企业事业单位和其他组织应当履行社会责任，积极参与平安建设工作。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_GB2312" w:hint="eastAsia"/>
          <w:b w:val="false"/>
          <w:bCs w:val="false"/>
          <w:color w:val="000000"/>
          <w:sz w:val="32"/>
          <w:szCs w:val="32"/>
          <w:highlight w:val="none"/>
          <w:bdr w:val="single" w:sz="4" w:space="0" w:color="000000"/>
        </w:rPr>
      </w:pPr>
      <w:r>
        <w:rPr>
          <w:rFonts w:ascii="仿宋_GB2312" w:hAnsi="仿宋_GB2312" w:cs="仿宋_GB2312" w:hint="eastAsia"/>
          <w:b w:val="false"/>
          <w:bCs w:val="false"/>
          <w:color w:val="000000"/>
          <w:sz w:val="32"/>
          <w:szCs w:val="32"/>
        </w:rPr>
        <w:t>各级人民政府应当充分发挥市场机制作用，引导支持各类社会组织和市场主体发挥专业优势，积极参加服务社会、防控风险、化解纠纷等工作。</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黑体" w:hint="eastAsia"/>
          <w:b w:val="false"/>
          <w:bCs w:val="false"/>
          <w:color w:val="000000"/>
          <w:szCs w:val="32"/>
          <w:highlight w:val="none"/>
        </w:rPr>
      </w:pPr>
      <w:r>
        <w:rPr>
          <w:rFonts w:ascii="黑体" w:hAnsi="黑体" w:cs="黑体" w:hint="eastAsia" w:eastAsia="黑体"/>
          <w:b w:val="false"/>
          <w:bCs w:val="false"/>
          <w:color w:val="000000"/>
          <w:szCs w:val="32"/>
        </w:rPr>
        <w:t>第二十条</w:t>
      </w:r>
      <w:r>
        <w:rPr>
          <w:rFonts w:ascii="黑体" w:hAnsi="黑体" w:cs="黑体" w:eastAsia="黑体"/>
          <w:b w:val="false"/>
          <w:bCs w:val="false"/>
          <w:szCs w:val="32"/>
        </w:rPr>
        <w:t xml:space="preserve">  </w:t>
      </w:r>
      <w:r>
        <w:rPr>
          <w:rFonts w:ascii="仿宋_GB2312" w:hAnsi="仿宋_GB2312" w:cs="黑体" w:hint="eastAsia" w:eastAsia="仿宋_GB2312"/>
          <w:b w:val="false"/>
          <w:bCs w:val="false"/>
          <w:color w:val="000000"/>
          <w:szCs w:val="32"/>
        </w:rPr>
        <w:t>鼓励公民积极参与平安建设，对平安建设工作提出意见和建议。</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仿宋_GB2312" w:hAnsi="仿宋_GB2312" w:eastAsia="仿宋_GB2312" w:cs="黑体" w:hint="eastAsia"/>
          <w:b w:val="false"/>
          <w:bCs w:val="false"/>
          <w:color w:val="000000"/>
          <w:position w:val="0"/>
          <w:sz w:val="24"/>
          <w:szCs w:val="32"/>
          <w:highlight w:val="none"/>
          <w:vertAlign w:val="baseline"/>
        </w:rPr>
      </w:pPr>
      <w:r>
        <w:rPr>
          <w:rFonts w:ascii="仿宋_GB2312" w:hAnsi="仿宋_GB2312" w:cs="黑体" w:hint="eastAsia" w:eastAsia="仿宋_GB2312"/>
          <w:b w:val="false"/>
          <w:bCs w:val="false"/>
          <w:color w:val="000000"/>
          <w:szCs w:val="32"/>
        </w:rPr>
        <w:t>各级人民政府、有关部门应当拓宽公民参与平安建设工作的渠道，搭建多种形式的参与平台，健全服务诉求处理机制，对于公民反映的诉求和意见建议，应当及时受理并反馈。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Times New Roman" w:hint="eastAsia"/>
          <w:b w:val="false"/>
          <w:bCs w:val="false"/>
          <w:color w:val="000000"/>
          <w:kern w:val="2"/>
          <w:sz w:val="32"/>
          <w:szCs w:val="32"/>
          <w:highlight w:val="none"/>
        </w:rPr>
      </w:pPr>
      <w:r>
        <w:rPr>
          <w:rFonts w:ascii="黑体" w:hAnsi="黑体" w:hint="eastAsia" w:eastAsia="黑体"/>
          <w:b w:val="false"/>
          <w:bCs w:val="false"/>
          <w:color w:val="000000"/>
          <w:sz w:val="32"/>
          <w:szCs w:val="32"/>
        </w:rPr>
        <w:t>第二十一</w:t>
      </w:r>
      <w:r>
        <w:rPr>
          <w:rFonts w:ascii="黑体" w:hAnsi="黑体" w:eastAsia="黑体"/>
          <w:b w:val="false"/>
          <w:bCs w:val="false"/>
          <w:color w:val="000000"/>
          <w:sz w:val="32"/>
          <w:szCs w:val="32"/>
        </w:rPr>
        <w:t>条</w:t>
      </w:r>
      <w:r>
        <w:rPr>
          <w:rFonts w:ascii="黑体" w:hAnsi="黑体" w:eastAsia="黑体"/>
          <w:b w:val="false"/>
          <w:bCs w:val="false"/>
          <w:sz w:val="32"/>
          <w:szCs w:val="32"/>
        </w:rPr>
        <w:t xml:space="preserve">  </w:t>
      </w:r>
      <w:r>
        <w:rPr>
          <w:rFonts w:ascii="仿宋_GB2312" w:hAnsi="仿宋_GB2312" w:cs="Times New Roman" w:hint="eastAsia"/>
          <w:b w:val="false"/>
          <w:bCs w:val="false"/>
          <w:color w:val="000000"/>
          <w:kern w:val="2"/>
          <w:sz w:val="32"/>
          <w:szCs w:val="32"/>
        </w:rPr>
        <w:t>本市开展全域平安示范创建活动。平安建设领导机构组织开展各区、乡镇（街道）和社区（村）平安创建活动，有关单位、行业主管部门组织开展平安校园、平安医院、平安家庭等平安创建活动，动员社会力量参与平安建设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pPr>
      <w:hyperlink r:id="rId2">
        <w:r>
          <w:rPr>
            <w:rFonts w:eastAsia="宋体" w:cs="宋体" w:hint="eastAsia" w:ascii="宋体" w:hAnsi="宋体"/>
            <w:b w:val="false"/>
            <w:bCs w:val="false"/>
            <w:color w:val="000000"/>
            <w:kern w:val="2"/>
            <w:sz w:val="32"/>
            <w:szCs w:val="32"/>
          </w:rPr>
        </w:r>
      </w:hyperlink>
      <w:bookmarkStart w:id="2" w:name="tiao7_kuan1"/>
      <w:bookmarkEnd w:id="2"/>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jc w:val="center"/>
        <w:outlineLvl w:val="0"/>
        <w:rPr>
          <w:rFonts w:ascii="黑体" w:hAnsi="黑体" w:eastAsia="黑体" w:hint="eastAsia"/>
          <w:b w:val="false"/>
          <w:bCs w:val="false"/>
          <w:color w:val="000000"/>
          <w:sz w:val="32"/>
          <w:szCs w:val="32"/>
          <w:highlight w:val="none"/>
        </w:rPr>
      </w:pPr>
      <w:r>
        <w:rPr>
          <w:rFonts w:ascii="黑体" w:hAnsi="黑体" w:hint="eastAsia" w:eastAsia="黑体"/>
          <w:b w:val="false"/>
          <w:bCs w:val="false"/>
          <w:color w:val="000000"/>
          <w:sz w:val="32"/>
          <w:szCs w:val="32"/>
        </w:rPr>
        <w:t>第三章  政治安全维护</w:t>
      </w:r>
    </w:p>
    <w:p>
      <w:pPr>
        <w:pStyle w:val="BodyText"/>
        <w:rPr>
          <w:rFonts w:ascii="宋体" w:hAnsi="宋体" w:eastAsia="宋体" w:cs="宋体" w:hint="eastAsia"/>
          <w:b w:val="false"/>
          <w:bCs w:val="false"/>
          <w:color w:val="000000"/>
          <w:sz w:val="32"/>
          <w:szCs w:val="32"/>
          <w:highlight w:val="none"/>
        </w:rPr>
      </w:pPr>
      <w:r>
        <w:rPr>
          <w:rFonts w:eastAsia="宋体" w:cs="宋体" w:hint="eastAsia" w:ascii="宋体" w:hAnsi="宋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b w:val="false"/>
          <w:bCs w:val="false"/>
          <w:color w:val="000000"/>
          <w:position w:val="0"/>
          <w:sz w:val="32"/>
          <w:szCs w:val="32"/>
          <w:highlight w:val="none"/>
          <w:vertAlign w:val="baseline"/>
        </w:rPr>
      </w:pPr>
      <w:r>
        <w:rPr>
          <w:rFonts w:ascii="黑体" w:hAnsi="黑体" w:hint="eastAsia" w:eastAsia="黑体"/>
          <w:b w:val="false"/>
          <w:bCs w:val="false"/>
          <w:color w:val="000000"/>
          <w:sz w:val="32"/>
          <w:szCs w:val="32"/>
        </w:rPr>
        <w:t>第二十二条</w:t>
      </w:r>
      <w:r>
        <w:rPr>
          <w:rFonts w:ascii="黑体" w:hAnsi="黑体" w:eastAsia="黑体"/>
          <w:b w:val="false"/>
          <w:bCs w:val="false"/>
          <w:sz w:val="32"/>
          <w:szCs w:val="32"/>
        </w:rPr>
        <w:t xml:space="preserve">  </w:t>
      </w:r>
      <w:r>
        <w:rPr>
          <w:rFonts w:hint="eastAsia"/>
          <w:b w:val="false"/>
          <w:bCs w:val="false"/>
          <w:color w:val="000000"/>
          <w:sz w:val="32"/>
          <w:szCs w:val="32"/>
        </w:rPr>
        <w:t>本市加强维护国家政治安全工作体系和能力建设，</w:t>
      </w:r>
      <w:r>
        <w:rPr>
          <w:rFonts w:cs="Times New Roman" w:hint="eastAsia"/>
          <w:b w:val="false"/>
          <w:bCs w:val="false"/>
          <w:color w:val="000000"/>
          <w:sz w:val="32"/>
          <w:szCs w:val="32"/>
        </w:rPr>
        <w:t>严密防</w:t>
      </w:r>
      <w:r>
        <w:rPr>
          <w:rFonts w:hint="eastAsia"/>
          <w:b w:val="false"/>
          <w:bCs w:val="false"/>
          <w:color w:val="000000"/>
          <w:sz w:val="32"/>
          <w:szCs w:val="32"/>
        </w:rPr>
        <w:t>范和</w:t>
      </w:r>
      <w:r>
        <w:rPr>
          <w:rFonts w:hint="eastAsia"/>
          <w:b w:val="false"/>
          <w:bCs w:val="false"/>
          <w:color w:val="000000"/>
          <w:sz w:val="32"/>
          <w:szCs w:val="32"/>
        </w:rPr>
        <w:t>依法</w:t>
      </w:r>
      <w:r>
        <w:rPr>
          <w:rFonts w:hint="eastAsia"/>
          <w:b w:val="false"/>
          <w:bCs w:val="false"/>
          <w:color w:val="000000"/>
          <w:sz w:val="32"/>
          <w:szCs w:val="32"/>
        </w:rPr>
        <w:t>打击各种渗透颠覆破坏活动、暴力恐怖活动、民族分裂活动、宗教极端活动、邪教活动以及其他危害国家政治安全的违法犯罪行为。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cs="Times New Roman" w:hint="eastAsia"/>
          <w:b w:val="false"/>
          <w:bCs w:val="false"/>
          <w:color w:val="000000"/>
          <w:sz w:val="32"/>
          <w:szCs w:val="32"/>
          <w:highlight w:val="none"/>
        </w:rPr>
      </w:pPr>
      <w:r>
        <w:rPr>
          <w:rFonts w:ascii="黑体" w:hAnsi="黑体" w:hint="eastAsia" w:eastAsia="黑体"/>
          <w:b w:val="false"/>
          <w:bCs w:val="false"/>
          <w:color w:val="000000"/>
          <w:sz w:val="32"/>
          <w:szCs w:val="32"/>
        </w:rPr>
        <w:t>第二十三条</w:t>
      </w:r>
      <w:r>
        <w:rPr>
          <w:rFonts w:ascii="黑体" w:hAnsi="黑体" w:eastAsia="黑体"/>
          <w:b w:val="false"/>
          <w:bCs w:val="false"/>
          <w:sz w:val="32"/>
          <w:szCs w:val="32"/>
        </w:rPr>
        <w:t xml:space="preserve">  </w:t>
      </w:r>
      <w:r>
        <w:rPr>
          <w:rFonts w:ascii="仿宋_GB2312" w:hAnsi="仿宋_GB2312" w:hint="eastAsia"/>
          <w:b w:val="false"/>
          <w:bCs w:val="false"/>
          <w:color w:val="000000"/>
          <w:szCs w:val="32"/>
        </w:rPr>
        <w:t>本</w:t>
      </w:r>
      <w:r>
        <w:rPr>
          <w:rFonts w:cs="Times New Roman" w:hint="eastAsia"/>
          <w:b w:val="false"/>
          <w:bCs w:val="false"/>
          <w:color w:val="000000"/>
          <w:sz w:val="32"/>
          <w:szCs w:val="32"/>
        </w:rPr>
        <w:t>市全面贯彻落实马克思主义在意识形态领域指导地位的根本制度，坚持社会主义先进文化前进方向，继承和弘扬中华民族优秀传统文化，加强爱国主义、集体主义和中国特色社会主义教育，培育和践行社会主义核心价值观，防范和抵制不良文化的影响，坚定维护意识形态安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黑体" w:hint="eastAsia"/>
          <w:b w:val="false"/>
          <w:bCs w:val="false"/>
          <w:color w:val="000000"/>
          <w:szCs w:val="32"/>
          <w:highlight w:val="none"/>
        </w:rPr>
      </w:pPr>
      <w:r>
        <w:rPr>
          <w:rFonts w:cs="Times New Roman" w:hint="eastAsia"/>
          <w:b w:val="false"/>
          <w:bCs w:val="false"/>
          <w:color w:val="000000"/>
          <w:sz w:val="32"/>
          <w:szCs w:val="32"/>
        </w:rPr>
        <w:t>任何组织和个人不得歪曲党的历史、中华人民共和国历史、人民军队历史，不得歪曲、丑化、亵渎、否定</w:t>
      </w:r>
      <w:r>
        <w:rPr>
          <w:rFonts w:ascii="仿宋_GB2312" w:hAnsi="仿宋_GB2312" w:cs="黑体" w:hint="eastAsia"/>
          <w:b w:val="false"/>
          <w:bCs w:val="false"/>
          <w:color w:val="000000"/>
          <w:szCs w:val="32"/>
        </w:rPr>
        <w:t>英雄烈士事迹和精神，</w:t>
      </w:r>
      <w:r>
        <w:rPr>
          <w:rFonts w:ascii="Times New Roman" w:hAnsi="Times New Roman" w:cs="Times New Roman" w:hint="eastAsia"/>
          <w:b w:val="false"/>
          <w:bCs w:val="false"/>
          <w:color w:val="000000"/>
          <w:kern w:val="2"/>
          <w:sz w:val="32"/>
          <w:szCs w:val="32"/>
        </w:rPr>
        <w:t>不得编造、传</w:t>
      </w:r>
      <w:r>
        <w:rPr>
          <w:rFonts w:ascii="仿宋_GB2312" w:hAnsi="仿宋_GB2312" w:cs="黑体" w:hint="eastAsia"/>
          <w:b w:val="false"/>
          <w:bCs w:val="false"/>
          <w:color w:val="000000"/>
          <w:szCs w:val="32"/>
        </w:rPr>
        <w:t>播有损国家和民族尊严、伤害人民感情的言论或者信息。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eastAsia="仿宋_GB2312" w:hint="eastAsia"/>
          <w:b w:val="false"/>
          <w:bCs w:val="false"/>
          <w:color w:val="000000"/>
          <w:position w:val="0"/>
          <w:sz w:val="32"/>
          <w:szCs w:val="32"/>
          <w:highlight w:val="none"/>
          <w:vertAlign w:val="baseline"/>
        </w:rPr>
      </w:pPr>
      <w:r>
        <w:rPr>
          <w:rFonts w:ascii="黑体" w:hAnsi="黑体" w:hint="eastAsia" w:eastAsia="黑体"/>
          <w:b w:val="false"/>
          <w:bCs w:val="false"/>
          <w:color w:val="000000"/>
          <w:sz w:val="32"/>
          <w:szCs w:val="32"/>
        </w:rPr>
        <w:t>第二十四条</w:t>
      </w:r>
      <w:r>
        <w:rPr>
          <w:rFonts w:ascii="黑体" w:hAnsi="黑体" w:eastAsia="黑体"/>
          <w:b w:val="false"/>
          <w:bCs w:val="false"/>
          <w:sz w:val="32"/>
          <w:szCs w:val="32"/>
        </w:rPr>
        <w:t xml:space="preserve">  </w:t>
      </w:r>
      <w:r>
        <w:rPr>
          <w:rFonts w:hint="eastAsia"/>
          <w:b w:val="false"/>
          <w:bCs w:val="false"/>
          <w:color w:val="000000"/>
          <w:sz w:val="32"/>
          <w:szCs w:val="32"/>
        </w:rPr>
        <w:t>本市加强反间谍安全防范工作，建设国家安全人民防线，开展反间谍安全防范宣传教</w:t>
      </w:r>
      <w:r>
        <w:rPr>
          <w:rFonts w:cs="Times New Roman" w:hint="eastAsia"/>
          <w:b w:val="false"/>
          <w:bCs w:val="false"/>
          <w:color w:val="000000"/>
          <w:sz w:val="32"/>
          <w:szCs w:val="32"/>
        </w:rPr>
        <w:t>育，依靠人民群众的支持，动员、组织人民群众依法防范、制止间</w:t>
      </w:r>
      <w:r>
        <w:rPr>
          <w:rFonts w:hint="eastAsia"/>
          <w:b w:val="false"/>
          <w:bCs w:val="false"/>
          <w:color w:val="000000"/>
          <w:sz w:val="32"/>
          <w:szCs w:val="32"/>
        </w:rPr>
        <w:t>谍行为和其他危害国家安全的行为。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_GB2312" w:cs="Times New Roman" w:hint="eastAsia"/>
          <w:b w:val="false"/>
          <w:bCs w:val="false"/>
          <w:color w:val="000000"/>
          <w:kern w:val="2"/>
          <w:sz w:val="32"/>
          <w:szCs w:val="32"/>
          <w:highlight w:val="none"/>
        </w:rPr>
      </w:pPr>
      <w:r>
        <w:rPr>
          <w:rFonts w:ascii="黑体" w:hAnsi="黑体" w:hint="eastAsia" w:eastAsia="黑体"/>
          <w:b w:val="false"/>
          <w:bCs w:val="false"/>
          <w:color w:val="000000"/>
          <w:sz w:val="32"/>
          <w:szCs w:val="32"/>
        </w:rPr>
        <w:t>第二十五条　</w:t>
      </w:r>
      <w:r>
        <w:rPr>
          <w:rFonts w:ascii="Times New Roman" w:hAnsi="Times New Roman" w:cs="Times New Roman" w:hint="eastAsia"/>
          <w:b w:val="false"/>
          <w:bCs w:val="false"/>
          <w:color w:val="000000"/>
          <w:kern w:val="2"/>
          <w:sz w:val="32"/>
          <w:szCs w:val="32"/>
        </w:rPr>
        <w:t>本市坚持陆海统筹，加强管辖海域和沿海区域平安建设，健全海防协调联动机制，强化与有关部门、机构的协作配合，依法惩治涉海违法行为，按照规定做好海上及沿海应急处置工作，维护海防安全稳定。</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eastAsia="仿宋_GB2312" w:cs="Times New Roman"/>
          <w:b w:val="false"/>
          <w:bCs w:val="false"/>
          <w:color w:val="000000"/>
          <w:sz w:val="32"/>
          <w:szCs w:val="32"/>
          <w:highlight w:val="none"/>
        </w:rPr>
      </w:pPr>
      <w:r>
        <w:rPr>
          <w:rFonts w:ascii="黑体" w:hAnsi="黑体" w:hint="eastAsia" w:eastAsia="黑体"/>
          <w:b w:val="false"/>
          <w:bCs w:val="false"/>
          <w:color w:val="000000"/>
          <w:sz w:val="32"/>
          <w:szCs w:val="32"/>
        </w:rPr>
        <w:t>第二十六条</w:t>
      </w:r>
      <w:r>
        <w:rPr>
          <w:rFonts w:ascii="黑体" w:hAnsi="黑体" w:eastAsia="黑体"/>
          <w:b w:val="false"/>
          <w:bCs w:val="false"/>
          <w:sz w:val="32"/>
          <w:szCs w:val="32"/>
        </w:rPr>
        <w:t xml:space="preserve">  </w:t>
      </w:r>
      <w:r>
        <w:rPr>
          <w:rFonts w:hint="eastAsia" w:eastAsia="仿宋_GB2312"/>
          <w:b w:val="false"/>
          <w:bCs w:val="false"/>
          <w:color w:val="000000"/>
          <w:sz w:val="32"/>
          <w:szCs w:val="32"/>
        </w:rPr>
        <w:t>本市健全网络社会综合防控体系，依法打击网络违法犯</w:t>
      </w:r>
      <w:r>
        <w:rPr>
          <w:rFonts w:cs="Times New Roman" w:hint="eastAsia" w:eastAsia="仿宋_GB2312"/>
          <w:b w:val="false"/>
          <w:bCs w:val="false"/>
          <w:color w:val="000000"/>
          <w:sz w:val="32"/>
          <w:szCs w:val="32"/>
        </w:rPr>
        <w:t>罪活动，有效维护网络安全，营造清朗网络空间。</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eastAsia="仿宋_GB2312" w:cs="Times New Roman" w:hint="eastAsia"/>
          <w:b w:val="false"/>
          <w:bCs w:val="false"/>
          <w:color w:val="000000"/>
          <w:sz w:val="32"/>
          <w:szCs w:val="32"/>
          <w:highlight w:val="none"/>
        </w:rPr>
      </w:pPr>
      <w:r>
        <w:rPr>
          <w:rFonts w:cs="Times New Roman" w:hint="eastAsia" w:eastAsia="仿宋_GB2312"/>
          <w:b w:val="false"/>
          <w:bCs w:val="false"/>
          <w:color w:val="000000"/>
          <w:sz w:val="32"/>
          <w:szCs w:val="32"/>
        </w:rPr>
        <w:t>任何组织和个人不得危害网络安全，不得利用网络从事危害国家安全、荣誉和利益等活动。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黑体" w:hAnsi="黑体" w:eastAsia="黑体" w:cs="黑体" w:hint="eastAsia"/>
          <w:b w:val="false"/>
          <w:bCs w:val="false"/>
          <w:color w:val="000000"/>
          <w:kern w:val="2"/>
          <w:sz w:val="32"/>
          <w:szCs w:val="32"/>
        </w:rPr>
      </w:pPr>
      <w:r>
        <w:rPr>
          <w:rFonts w:ascii="黑体" w:hAnsi="黑体" w:cs="黑体" w:hint="eastAsia" w:eastAsia="黑体"/>
          <w:sz w:val="32"/>
          <w:szCs w:val="32"/>
        </w:rPr>
        <w:t>第</w:t>
      </w:r>
      <w:r>
        <w:rPr>
          <w:rFonts w:ascii="黑体" w:hAnsi="黑体" w:hint="eastAsia" w:eastAsia="黑体"/>
          <w:b w:val="false"/>
          <w:bCs w:val="false"/>
          <w:color w:val="000000"/>
          <w:sz w:val="32"/>
          <w:szCs w:val="32"/>
        </w:rPr>
        <w:t>二十七</w:t>
      </w:r>
      <w:r>
        <w:rPr>
          <w:rFonts w:ascii="黑体" w:hAnsi="黑体" w:cs="黑体" w:hint="eastAsia" w:eastAsia="黑体"/>
          <w:sz w:val="32"/>
          <w:szCs w:val="32"/>
        </w:rPr>
        <w:t xml:space="preserve">条  </w:t>
      </w:r>
      <w:r>
        <w:rPr>
          <w:rFonts w:ascii="Times New Roman" w:hAnsi="Times New Roman" w:cs="Times New Roman" w:hint="eastAsia"/>
          <w:b w:val="false"/>
          <w:bCs w:val="false"/>
          <w:color w:val="000000"/>
          <w:kern w:val="2"/>
          <w:sz w:val="32"/>
          <w:szCs w:val="32"/>
        </w:rPr>
        <w:t>本市坚持以铸牢中华民族共同体意识为主线，深化民族团结进步教育，促进各民族交往交流交融，推动实现各民族共同团结奋斗、共同繁荣发展。</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eastAsia="仿宋_GB2312" w:cs="Times New Roman" w:hint="eastAsia"/>
          <w:b w:val="false"/>
          <w:bCs w:val="false"/>
          <w:color w:val="000000"/>
          <w:sz w:val="32"/>
          <w:szCs w:val="32"/>
          <w:highlight w:val="none"/>
          <w:lang w:val="en"/>
        </w:rPr>
      </w:pPr>
      <w:r>
        <w:rPr>
          <w:rFonts w:ascii="黑体" w:hAnsi="黑体" w:hint="eastAsia" w:eastAsia="黑体"/>
          <w:b w:val="false"/>
          <w:bCs w:val="false"/>
          <w:color w:val="000000"/>
          <w:sz w:val="32"/>
          <w:szCs w:val="32"/>
        </w:rPr>
        <w:t>第二十八条</w:t>
      </w:r>
      <w:r>
        <w:rPr>
          <w:rFonts w:ascii="黑体" w:hAnsi="黑体" w:eastAsia="黑体"/>
          <w:b w:val="false"/>
          <w:bCs w:val="false"/>
          <w:sz w:val="32"/>
          <w:szCs w:val="32"/>
        </w:rPr>
        <w:t xml:space="preserve">  </w:t>
      </w:r>
      <w:r>
        <w:rPr>
          <w:rFonts w:hint="eastAsia" w:eastAsia="仿宋_GB2312"/>
          <w:b w:val="false"/>
          <w:bCs w:val="false"/>
          <w:color w:val="000000"/>
          <w:sz w:val="32"/>
          <w:szCs w:val="32"/>
          <w:lang w:val="en"/>
        </w:rPr>
        <w:t>本市依法保护正常的宗教活动，积极引导宗教与社会主义社会相适应。</w:t>
      </w:r>
      <w:r>
        <w:rPr>
          <w:rFonts w:cs="Times New Roman" w:hint="eastAsia" w:eastAsia="仿宋_GB2312"/>
          <w:b w:val="false"/>
          <w:bCs w:val="false"/>
          <w:color w:val="000000"/>
          <w:sz w:val="32"/>
          <w:szCs w:val="32"/>
          <w:lang w:val="en"/>
        </w:rPr>
        <w:t>各宗教坚持独立自主自办的原则，坚持中国化方向。</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eastAsia="仿宋_GB2312" w:hint="eastAsia"/>
          <w:b w:val="false"/>
          <w:bCs w:val="false"/>
          <w:color w:val="000000"/>
          <w:position w:val="0"/>
          <w:sz w:val="32"/>
          <w:szCs w:val="32"/>
          <w:highlight w:val="none"/>
          <w:vertAlign w:val="baseline"/>
        </w:rPr>
      </w:pPr>
      <w:r>
        <w:rPr>
          <w:rFonts w:cs="Times New Roman" w:hint="eastAsia" w:eastAsia="仿宋_GB2312"/>
          <w:b w:val="false"/>
          <w:bCs w:val="false"/>
          <w:color w:val="000000"/>
          <w:sz w:val="32"/>
          <w:szCs w:val="32"/>
        </w:rPr>
        <w:t>任何组织和个人不得利用宗教进行危害国家安全、破坏社会秩序、</w:t>
      </w:r>
      <w:r>
        <w:rPr>
          <w:rFonts w:cs="Times New Roman" w:hint="eastAsia" w:eastAsia="仿宋_GB2312"/>
          <w:b w:val="false"/>
          <w:bCs w:val="false"/>
          <w:color w:val="000000"/>
          <w:sz w:val="32"/>
          <w:szCs w:val="32"/>
          <w:lang w:val="en"/>
        </w:rPr>
        <w:t>损害公民身心健康、</w:t>
      </w:r>
      <w:r>
        <w:rPr>
          <w:rFonts w:cs="Times New Roman" w:hint="eastAsia" w:eastAsia="仿宋_GB2312"/>
          <w:b w:val="false"/>
          <w:bCs w:val="false"/>
          <w:color w:val="000000"/>
          <w:sz w:val="32"/>
          <w:szCs w:val="32"/>
        </w:rPr>
        <w:t>妨碍国家</w:t>
      </w:r>
      <w:r>
        <w:rPr>
          <w:rFonts w:hint="eastAsia" w:eastAsia="仿宋_GB2312"/>
          <w:b w:val="false"/>
          <w:bCs w:val="false"/>
          <w:color w:val="000000"/>
          <w:sz w:val="32"/>
          <w:szCs w:val="32"/>
        </w:rPr>
        <w:t>教育制度，以及其他损害国家利益、社会公共利益和公民合法权益等违法活动。</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both"/>
        <w:rPr>
          <w:rFonts w:ascii="宋体" w:hAnsi="宋体" w:eastAsia="宋体" w:cs="宋体" w:hint="eastAsia"/>
          <w:b w:val="false"/>
          <w:bCs w:val="false"/>
          <w:color w:val="000000"/>
          <w:position w:val="0"/>
          <w:sz w:val="32"/>
          <w:szCs w:val="32"/>
          <w:highlight w:val="none"/>
          <w:vertAlign w:val="baseline"/>
        </w:rPr>
      </w:pPr>
      <w:r>
        <w:rPr>
          <w:rFonts w:eastAsia="宋体" w:cs="宋体" w:hint="eastAsia" w:ascii="宋体" w:hAnsi="宋体"/>
          <w:b w:val="false"/>
          <w:bCs w:val="false"/>
          <w:color w:val="000000"/>
          <w:position w:val="0"/>
          <w:sz w:val="32"/>
          <w:szCs w:val="32"/>
          <w:vertAlign w:val="baseline"/>
        </w:rPr>
      </w:r>
    </w:p>
    <w:p>
      <w:pPr>
        <w:pStyle w:val="Normal"/>
        <w:keepNext w:val="false"/>
        <w:keepLines w:val="false"/>
        <w:pageBreakBefore w:val="false"/>
        <w:numPr>
          <w:ilvl w:val="0"/>
          <w:numId w:val="0"/>
        </w:numPr>
        <w:kinsoku w:val="true"/>
        <w:overflowPunct w:val="true"/>
        <w:autoSpaceDE w:val="true"/>
        <w:bidi w:val="0"/>
        <w:snapToGrid w:val="true"/>
        <w:spacing w:lineRule="auto" w:line="240"/>
        <w:jc w:val="center"/>
        <w:outlineLvl w:val="0"/>
        <w:rPr>
          <w:rFonts w:ascii="黑体" w:hAnsi="黑体" w:eastAsia="黑体" w:hint="eastAsia"/>
          <w:b w:val="false"/>
          <w:bCs w:val="false"/>
          <w:color w:val="000000"/>
          <w:sz w:val="32"/>
          <w:szCs w:val="32"/>
          <w:highlight w:val="none"/>
        </w:rPr>
      </w:pPr>
      <w:r>
        <w:rPr>
          <w:rFonts w:ascii="黑体" w:hAnsi="黑体" w:hint="eastAsia" w:eastAsia="黑体"/>
          <w:b w:val="false"/>
          <w:bCs w:val="false"/>
          <w:color w:val="000000"/>
          <w:sz w:val="32"/>
          <w:szCs w:val="32"/>
        </w:rPr>
        <w:t>第四章  社会风险防范</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eastAsia="仿宋_GB2312" w:hint="eastAsia"/>
          <w:b w:val="false"/>
          <w:bCs w:val="false"/>
          <w:color w:val="000000"/>
          <w:sz w:val="32"/>
          <w:szCs w:val="32"/>
          <w:highlight w:val="none"/>
        </w:rPr>
      </w:pPr>
      <w:r>
        <w:rPr>
          <w:rFonts w:ascii="黑体" w:hAnsi="黑体" w:hint="eastAsia" w:eastAsia="黑体"/>
          <w:b w:val="false"/>
          <w:bCs w:val="false"/>
          <w:color w:val="000000"/>
          <w:sz w:val="32"/>
          <w:szCs w:val="32"/>
        </w:rPr>
        <w:t>第二十九条</w:t>
      </w:r>
      <w:r>
        <w:rPr>
          <w:rFonts w:ascii="黑体" w:hAnsi="黑体" w:eastAsia="黑体"/>
          <w:b w:val="false"/>
          <w:bCs w:val="false"/>
          <w:sz w:val="32"/>
          <w:szCs w:val="32"/>
        </w:rPr>
        <w:t xml:space="preserve">  </w:t>
      </w:r>
      <w:r>
        <w:rPr>
          <w:rFonts w:hint="eastAsia"/>
          <w:b w:val="false"/>
          <w:bCs w:val="false"/>
          <w:color w:val="000000"/>
          <w:sz w:val="32"/>
          <w:szCs w:val="32"/>
        </w:rPr>
        <w:t>本市建立健全重大决策社会稳定风险评估机制。</w:t>
      </w:r>
      <w:r>
        <w:rPr>
          <w:rFonts w:cs="Times New Roman" w:hint="eastAsia"/>
          <w:b w:val="false"/>
          <w:bCs w:val="false"/>
          <w:color w:val="000000"/>
          <w:sz w:val="32"/>
          <w:szCs w:val="32"/>
        </w:rPr>
        <w:t>对直接关系人民群众切身利益、容易引发社会稳定问题等的重大决策，决策作出前应当由决策事</w:t>
      </w:r>
      <w:r>
        <w:rPr>
          <w:rFonts w:hint="eastAsia"/>
          <w:b w:val="false"/>
          <w:bCs w:val="false"/>
          <w:color w:val="000000"/>
          <w:sz w:val="32"/>
          <w:szCs w:val="32"/>
        </w:rPr>
        <w:t>项承办部门或者牵头部门</w:t>
      </w:r>
      <w:r>
        <w:rPr>
          <w:rFonts w:hint="eastAsia"/>
          <w:b w:val="false"/>
          <w:bCs w:val="false"/>
          <w:color w:val="000000"/>
          <w:sz w:val="32"/>
          <w:szCs w:val="32"/>
        </w:rPr>
        <w:t>组</w:t>
      </w:r>
      <w:r>
        <w:rPr>
          <w:rFonts w:hint="eastAsia"/>
          <w:b w:val="false"/>
          <w:bCs w:val="false"/>
          <w:color w:val="000000"/>
          <w:sz w:val="32"/>
          <w:szCs w:val="32"/>
        </w:rPr>
        <w:t>织进行评估，按照决策实施后可能对社会稳定造成的影响程度，划分风险等级，作为作出重大决策的重要依据。</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eastAsia="仿宋_GB2312" w:hint="eastAsia"/>
          <w:b w:val="false"/>
          <w:bCs w:val="false"/>
          <w:color w:val="000000"/>
          <w:sz w:val="32"/>
          <w:szCs w:val="32"/>
          <w:highlight w:val="none"/>
        </w:rPr>
      </w:pPr>
      <w:r>
        <w:rPr>
          <w:rFonts w:ascii="黑体" w:hAnsi="黑体" w:hint="eastAsia" w:eastAsia="黑体"/>
          <w:b w:val="false"/>
          <w:bCs w:val="false"/>
          <w:color w:val="000000"/>
          <w:sz w:val="32"/>
          <w:szCs w:val="32"/>
        </w:rPr>
        <w:t>第三十条</w:t>
      </w:r>
      <w:r>
        <w:rPr>
          <w:rFonts w:ascii="黑体" w:hAnsi="黑体" w:eastAsia="黑体"/>
          <w:b w:val="false"/>
          <w:bCs w:val="false"/>
          <w:sz w:val="32"/>
          <w:szCs w:val="32"/>
        </w:rPr>
        <w:t xml:space="preserve">  </w:t>
      </w:r>
      <w:r>
        <w:rPr>
          <w:rFonts w:hint="eastAsia"/>
          <w:b w:val="false"/>
          <w:bCs w:val="false"/>
          <w:color w:val="000000"/>
          <w:sz w:val="32"/>
          <w:szCs w:val="32"/>
        </w:rPr>
        <w:t>本市完善市、区、乡镇（街道）三级平安建设形势分析研判机制，动态排查各类社会风险隐患，加强风险研判，划分风险等级，按照规定报告。对可能影响社会稳定的风险，按照规定发布预警信息。</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hint="eastAsia"/>
          <w:b w:val="false"/>
          <w:bCs w:val="false"/>
          <w:color w:val="000000"/>
          <w:highlight w:val="none"/>
        </w:rPr>
      </w:pPr>
      <w:r>
        <w:rPr>
          <w:rFonts w:ascii="黑体" w:hAnsi="黑体" w:hint="eastAsia" w:eastAsia="黑体"/>
          <w:b w:val="false"/>
          <w:bCs w:val="false"/>
          <w:color w:val="000000"/>
          <w:sz w:val="32"/>
          <w:szCs w:val="32"/>
        </w:rPr>
        <w:t>第三十一条</w:t>
      </w:r>
      <w:r>
        <w:rPr>
          <w:rFonts w:ascii="黑体" w:hAnsi="黑体" w:eastAsia="黑体"/>
          <w:b w:val="false"/>
          <w:bCs w:val="false"/>
          <w:sz w:val="32"/>
          <w:szCs w:val="32"/>
        </w:rPr>
        <w:t xml:space="preserve">  </w:t>
      </w:r>
      <w:r>
        <w:rPr>
          <w:rFonts w:ascii="仿宋_GB2312" w:hAnsi="仿宋_GB2312" w:cs="仿宋_GB2312" w:hint="eastAsia"/>
          <w:b w:val="false"/>
          <w:bCs w:val="false"/>
          <w:color w:val="000000"/>
          <w:sz w:val="32"/>
          <w:szCs w:val="32"/>
        </w:rPr>
        <w:t>各级人民政府、有关部门应</w:t>
      </w:r>
      <w:r>
        <w:rPr>
          <w:rFonts w:cs="Times New Roman" w:hint="eastAsia"/>
          <w:b w:val="false"/>
          <w:bCs w:val="false"/>
          <w:color w:val="000000"/>
          <w:sz w:val="32"/>
          <w:szCs w:val="32"/>
        </w:rPr>
        <w:t>当加强社会风险隐患治理，依法严格落实对分管行业领域安全风险防控监管职责，建立健全处置机制，及时消除社会风险隐患。社会风</w:t>
      </w:r>
      <w:r>
        <w:rPr>
          <w:rFonts w:ascii="仿宋_GB2312" w:hAnsi="仿宋_GB2312" w:cs="仿宋_GB2312" w:hint="eastAsia"/>
          <w:b w:val="false"/>
          <w:bCs w:val="false"/>
          <w:color w:val="000000"/>
          <w:sz w:val="32"/>
          <w:szCs w:val="32"/>
        </w:rPr>
        <w:t>险引发突发事件的，应当按照有关规定启动应急预案，及时控制、减轻和消除突发事件引起的社会危害。</w:t>
      </w:r>
      <w:bookmarkStart w:id="3" w:name="tiao17_kuan1"/>
      <w:bookmarkEnd w:id="3"/>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eastAsia="仿宋_GB2312" w:hint="eastAsia"/>
          <w:b w:val="false"/>
          <w:bCs w:val="false"/>
          <w:color w:val="000000"/>
          <w:sz w:val="32"/>
          <w:szCs w:val="32"/>
          <w:highlight w:val="none"/>
        </w:rPr>
      </w:pPr>
      <w:r>
        <w:rPr>
          <w:rFonts w:ascii="黑体" w:hAnsi="黑体" w:hint="eastAsia" w:eastAsia="黑体"/>
          <w:b w:val="false"/>
          <w:bCs w:val="false"/>
          <w:color w:val="000000"/>
          <w:sz w:val="32"/>
          <w:szCs w:val="32"/>
        </w:rPr>
        <w:t>第三十二条</w:t>
      </w:r>
      <w:r>
        <w:rPr>
          <w:rFonts w:ascii="黑体" w:hAnsi="黑体" w:eastAsia="黑体"/>
          <w:b w:val="false"/>
          <w:bCs w:val="false"/>
          <w:sz w:val="32"/>
          <w:szCs w:val="32"/>
        </w:rPr>
        <w:t xml:space="preserve">  </w:t>
      </w:r>
      <w:r>
        <w:rPr>
          <w:rFonts w:hint="eastAsia"/>
          <w:b w:val="false"/>
          <w:bCs w:val="false"/>
          <w:color w:val="000000"/>
          <w:sz w:val="32"/>
          <w:szCs w:val="32"/>
        </w:rPr>
        <w:t>本市完善社会矛盾纠纷多元预防调处化解综合机制，发挥市、区、乡镇（街道）社会矛盾纠</w:t>
      </w:r>
      <w:r>
        <w:rPr>
          <w:rFonts w:ascii="仿宋_GB2312" w:hAnsi="仿宋_GB2312" w:cs="仿宋_GB2312" w:hint="eastAsia"/>
          <w:b w:val="false"/>
          <w:bCs w:val="false"/>
          <w:color w:val="000000"/>
          <w:sz w:val="32"/>
          <w:szCs w:val="32"/>
        </w:rPr>
        <w:t>纷调处化解中心作用，加强矛盾纠纷源头预防，拓宽多元化解渠道，健全信访工作机制，综合发挥和解、调解、仲裁、公证、行政</w:t>
      </w:r>
      <w:r>
        <w:rPr>
          <w:rFonts w:hint="eastAsia"/>
          <w:b w:val="false"/>
          <w:bCs w:val="false"/>
          <w:color w:val="000000"/>
          <w:sz w:val="32"/>
          <w:szCs w:val="32"/>
        </w:rPr>
        <w:t>裁决、行政复议、诉讼等途径的作用，对各类矛盾纠纷做到早发现、早预警、早介入、早解决，促进社会矛盾纠纷及时有效预防和化解。</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eastAsia="仿宋_GB2312" w:hint="eastAsia"/>
          <w:b w:val="false"/>
          <w:bCs w:val="false"/>
          <w:color w:val="000000"/>
          <w:sz w:val="32"/>
          <w:szCs w:val="32"/>
          <w:highlight w:val="none"/>
        </w:rPr>
      </w:pPr>
      <w:r>
        <w:rPr>
          <w:rFonts w:ascii="黑体" w:hAnsi="黑体" w:hint="eastAsia" w:eastAsia="黑体"/>
          <w:b w:val="false"/>
          <w:bCs w:val="false"/>
          <w:color w:val="000000"/>
          <w:sz w:val="32"/>
          <w:szCs w:val="32"/>
        </w:rPr>
        <w:t>第三十三条</w:t>
      </w:r>
      <w:r>
        <w:rPr>
          <w:rFonts w:ascii="黑体" w:hAnsi="黑体" w:eastAsia="黑体"/>
          <w:b w:val="false"/>
          <w:bCs w:val="false"/>
          <w:sz w:val="32"/>
          <w:szCs w:val="32"/>
        </w:rPr>
        <w:t xml:space="preserve">  </w:t>
      </w:r>
      <w:r>
        <w:rPr>
          <w:rFonts w:hint="eastAsia"/>
          <w:b w:val="false"/>
          <w:bCs w:val="false"/>
          <w:color w:val="000000"/>
          <w:sz w:val="32"/>
          <w:szCs w:val="32"/>
        </w:rPr>
        <w:t>司法行政部门应当依法推进社区矫正工作，坚持监督管理与教育帮扶相结合，采取分类管理、个别化矫正，加强对社区矫正对象的教育、心理辅导、职业技能培训，有针对性地消除社区矫正对象可能重新犯罪的因素，帮助其成为守法公民。</w:t>
      </w:r>
    </w:p>
    <w:p>
      <w:pPr>
        <w:pStyle w:val="BodyText"/>
        <w:keepNext w:val="false"/>
        <w:keepLines w:val="false"/>
        <w:pageBreakBefore w:val="false"/>
        <w:kinsoku w:val="true"/>
        <w:overflowPunct w:val="true"/>
        <w:autoSpaceDE w:val="true"/>
        <w:bidi w:val="0"/>
        <w:snapToGrid w:val="true"/>
        <w:spacing w:lineRule="auto" w:line="240"/>
        <w:ind w:firstLineChars="200" w:startChars="0" w:start="0" w:endChars="0" w:end="0"/>
        <w:jc w:val="both"/>
        <w:rPr>
          <w:rFonts w:ascii="宋体" w:hAnsi="宋体" w:eastAsia="仿宋_GB2312" w:cs="宋体" w:hint="eastAsia"/>
          <w:b w:val="false"/>
          <w:bCs w:val="false"/>
          <w:color w:val="000000"/>
          <w:position w:val="0"/>
          <w:sz w:val="32"/>
          <w:szCs w:val="32"/>
          <w:highlight w:val="none"/>
          <w:vertAlign w:val="baseline"/>
        </w:rPr>
      </w:pPr>
      <w:r>
        <w:rPr>
          <w:rFonts w:ascii="宋体" w:hAnsi="宋体" w:cs="宋体" w:hint="eastAsia" w:eastAsia="仿宋_GB2312"/>
          <w:b w:val="false"/>
          <w:bCs w:val="false"/>
          <w:color w:val="000000"/>
          <w:sz w:val="32"/>
          <w:szCs w:val="32"/>
        </w:rPr>
        <w:t>居民委员会、村民委员</w:t>
      </w:r>
      <w:r>
        <w:rPr>
          <w:rFonts w:ascii="Times New Roman" w:hAnsi="Times New Roman" w:cs="Times New Roman" w:hint="eastAsia" w:eastAsia="仿宋_GB2312"/>
          <w:b w:val="false"/>
          <w:bCs w:val="false"/>
          <w:color w:val="000000"/>
          <w:kern w:val="2"/>
          <w:sz w:val="32"/>
          <w:szCs w:val="32"/>
        </w:rPr>
        <w:t>会</w:t>
      </w:r>
      <w:r>
        <w:rPr>
          <w:rFonts w:ascii="Times New Roman" w:hAnsi="Times New Roman" w:cs="Times New Roman" w:eastAsia="仿宋_GB2312"/>
          <w:b w:val="false"/>
          <w:bCs w:val="false"/>
          <w:color w:val="000000"/>
          <w:kern w:val="2"/>
          <w:sz w:val="32"/>
          <w:szCs w:val="32"/>
          <w:lang w:val="en"/>
        </w:rPr>
        <w:t>依法协助社区矫正机构做好社区矫正工作。社区矫正对象的监护人、家庭成员，所在单位或者就读学校应当协助社区矫正机构做好社区矫正工作。</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eastAsia="仿宋_GB2312" w:hint="eastAsia"/>
          <w:b w:val="false"/>
          <w:bCs w:val="false"/>
          <w:color w:val="000000"/>
          <w:sz w:val="32"/>
          <w:szCs w:val="32"/>
          <w:highlight w:val="none"/>
        </w:rPr>
      </w:pPr>
      <w:r>
        <w:rPr>
          <w:rFonts w:ascii="黑体" w:hAnsi="黑体" w:hint="eastAsia" w:eastAsia="黑体"/>
          <w:b w:val="false"/>
          <w:bCs w:val="false"/>
          <w:color w:val="000000"/>
          <w:sz w:val="32"/>
          <w:szCs w:val="32"/>
        </w:rPr>
        <w:t>第三十四条</w:t>
      </w:r>
      <w:r>
        <w:rPr>
          <w:rFonts w:ascii="黑体" w:hAnsi="黑体" w:eastAsia="黑体"/>
          <w:b w:val="false"/>
          <w:bCs w:val="false"/>
          <w:color w:val="000000"/>
          <w:sz w:val="32"/>
          <w:szCs w:val="32"/>
        </w:rPr>
        <w:t xml:space="preserve">  </w:t>
      </w:r>
      <w:r>
        <w:rPr>
          <w:rFonts w:hint="eastAsia"/>
          <w:b w:val="false"/>
          <w:bCs w:val="false"/>
          <w:color w:val="000000"/>
          <w:sz w:val="32"/>
          <w:szCs w:val="32"/>
        </w:rPr>
        <w:t>司法行政部门应当会同相关部门做好刑满释放人员安置帮教工作，帮助刑满释放人员回归社会正常生活。</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both"/>
        <w:rPr>
          <w:rFonts w:eastAsia="仿宋_GB2312" w:hint="eastAsia"/>
          <w:b w:val="false"/>
          <w:bCs w:val="false"/>
          <w:color w:val="000000"/>
          <w:position w:val="0"/>
          <w:sz w:val="32"/>
          <w:szCs w:val="32"/>
          <w:highlight w:val="none"/>
          <w:vertAlign w:val="baseline"/>
        </w:rPr>
      </w:pPr>
      <w:r>
        <w:rPr>
          <w:rFonts w:ascii="黑体" w:hAnsi="黑体" w:cs="黑体" w:hint="eastAsia" w:eastAsia="黑体"/>
          <w:b w:val="false"/>
          <w:bCs w:val="false"/>
          <w:color w:val="000000"/>
          <w:sz w:val="32"/>
          <w:szCs w:val="32"/>
          <w:shd w:fill="FFFFFF" w:val="clear"/>
        </w:rPr>
        <w:t>第三十五条</w:t>
      </w:r>
      <w:r>
        <w:rPr>
          <w:rFonts w:ascii="黑体" w:hAnsi="黑体" w:cs="黑体" w:hint="eastAsia" w:eastAsia="黑体"/>
          <w:b w:val="false"/>
          <w:bCs w:val="false"/>
          <w:color w:val="000000"/>
          <w:sz w:val="32"/>
          <w:szCs w:val="32"/>
          <w:shd w:fill="FFFFFF" w:val="clear"/>
        </w:rPr>
        <w:t xml:space="preserve">  </w:t>
      </w:r>
      <w:r>
        <w:rPr>
          <w:rFonts w:hint="eastAsia"/>
          <w:b w:val="false"/>
          <w:bCs w:val="false"/>
          <w:color w:val="000000"/>
          <w:sz w:val="32"/>
          <w:szCs w:val="32"/>
        </w:rPr>
        <w:t>公</w:t>
      </w:r>
      <w:r>
        <w:rPr>
          <w:rFonts w:ascii="Times New Roman" w:hAnsi="Times New Roman" w:cs="Times New Roman" w:hint="eastAsia"/>
          <w:b w:val="false"/>
          <w:bCs w:val="false"/>
          <w:color w:val="000000"/>
          <w:kern w:val="2"/>
          <w:sz w:val="32"/>
          <w:szCs w:val="32"/>
        </w:rPr>
        <w:t>安机关、</w:t>
      </w:r>
      <w:r>
        <w:rPr>
          <w:rFonts w:hint="eastAsia"/>
          <w:b w:val="false"/>
          <w:bCs w:val="false"/>
          <w:color w:val="000000"/>
          <w:sz w:val="32"/>
          <w:szCs w:val="32"/>
        </w:rPr>
        <w:t>司法行政部门应当依法开展强制隔离戒毒工作，完善并严格执行各项安全监管制度，加强涉毒人员教育矫治，指导、支持社区戒毒和社区康复等工作。</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黑体" w:hint="eastAsia"/>
          <w:b w:val="false"/>
          <w:bCs w:val="false"/>
          <w:color w:val="000000"/>
          <w:sz w:val="32"/>
          <w:szCs w:val="32"/>
          <w:highlight w:val="none"/>
        </w:rPr>
      </w:pPr>
      <w:r>
        <w:rPr>
          <w:rFonts w:ascii="黑体" w:hAnsi="黑体" w:cs="黑体" w:hint="eastAsia" w:eastAsia="黑体"/>
          <w:b w:val="false"/>
          <w:bCs w:val="false"/>
          <w:color w:val="000000"/>
          <w:sz w:val="32"/>
          <w:szCs w:val="32"/>
          <w:shd w:fill="FFFFFF" w:val="clear"/>
        </w:rPr>
        <w:t>第三十</w:t>
      </w:r>
      <w:r>
        <w:rPr>
          <w:rFonts w:ascii="黑体" w:hAnsi="黑体" w:hint="eastAsia" w:eastAsia="黑体"/>
          <w:b w:val="false"/>
          <w:bCs w:val="false"/>
          <w:color w:val="000000"/>
          <w:sz w:val="32"/>
          <w:szCs w:val="32"/>
        </w:rPr>
        <w:t>六</w:t>
      </w:r>
      <w:r>
        <w:rPr>
          <w:rFonts w:ascii="黑体" w:hAnsi="黑体" w:cs="黑体" w:hint="eastAsia" w:eastAsia="黑体"/>
          <w:b w:val="false"/>
          <w:bCs w:val="false"/>
          <w:color w:val="000000"/>
          <w:sz w:val="32"/>
          <w:szCs w:val="32"/>
          <w:shd w:fill="FFFFFF" w:val="clear"/>
        </w:rPr>
        <w:t>条</w:t>
      </w:r>
      <w:r>
        <w:rPr>
          <w:rFonts w:ascii="黑体" w:hAnsi="黑体" w:cs="黑体" w:eastAsia="黑体"/>
          <w:b w:val="false"/>
          <w:bCs w:val="false"/>
          <w:color w:val="000000"/>
          <w:sz w:val="32"/>
          <w:szCs w:val="32"/>
          <w:shd w:fill="FFFFFF" w:val="clear"/>
        </w:rPr>
        <w:t xml:space="preserve">  </w:t>
      </w:r>
      <w:r>
        <w:rPr>
          <w:rFonts w:ascii="仿宋_GB2312" w:hAnsi="仿宋_GB2312" w:cs="黑体" w:hint="eastAsia"/>
          <w:b w:val="false"/>
          <w:bCs w:val="false"/>
          <w:color w:val="000000"/>
          <w:sz w:val="32"/>
          <w:szCs w:val="32"/>
        </w:rPr>
        <w:t>本市加强精神障碍患者关爱帮扶工作，</w:t>
      </w:r>
      <w:r>
        <w:rPr>
          <w:rFonts w:ascii="仿宋_GB2312" w:hAnsi="仿宋_GB2312" w:cs="黑体" w:hint="eastAsia"/>
          <w:b w:val="false"/>
          <w:bCs w:val="false"/>
          <w:color w:val="000000"/>
          <w:sz w:val="32"/>
          <w:szCs w:val="32"/>
        </w:rPr>
        <w:t>建立</w:t>
      </w:r>
      <w:r>
        <w:rPr>
          <w:rFonts w:ascii="仿宋_GB2312" w:hAnsi="仿宋_GB2312" w:cs="黑体" w:hint="eastAsia"/>
          <w:b w:val="false"/>
          <w:bCs w:val="false"/>
          <w:color w:val="000000"/>
          <w:sz w:val="32"/>
          <w:szCs w:val="32"/>
        </w:rPr>
        <w:t>和完善精神障碍的预防、治疗和康复服务体系。</w:t>
      </w:r>
    </w:p>
    <w:p>
      <w:pPr>
        <w:pStyle w:val="Normal"/>
        <w:keepNext w:val="false"/>
        <w:keepLines w:val="false"/>
        <w:pageBreakBefore w:val="false"/>
        <w:widowControl/>
        <w:suppressLineNumbers w:val="0"/>
        <w:kinsoku w:val="true"/>
        <w:overflowPunct w:val="true"/>
        <w:autoSpaceDE w:val="true"/>
        <w:bidi w:val="0"/>
        <w:snapToGrid w:val="true"/>
        <w:spacing w:lineRule="auto" w:line="240"/>
        <w:ind w:firstLineChars="200" w:startChars="0" w:start="0" w:endChars="0" w:end="0"/>
        <w:jc w:val="both"/>
        <w:rPr>
          <w:rFonts w:ascii="仿宋_GB2312" w:hAnsi="仿宋_GB2312" w:eastAsia="仿宋_GB2312" w:cs="黑体" w:hint="eastAsia"/>
          <w:b w:val="false"/>
          <w:bCs w:val="false"/>
          <w:color w:val="000000"/>
          <w:sz w:val="32"/>
          <w:szCs w:val="32"/>
          <w:highlight w:val="none"/>
        </w:rPr>
      </w:pPr>
      <w:r>
        <w:rPr>
          <w:rFonts w:ascii="仿宋_GB2312" w:hAnsi="仿宋_GB2312" w:cs="黑体" w:hint="eastAsia"/>
          <w:b w:val="false"/>
          <w:bCs w:val="false"/>
          <w:color w:val="000000"/>
          <w:sz w:val="32"/>
          <w:szCs w:val="32"/>
        </w:rPr>
        <w:t>卫生健康、公安、民政、医疗保障等部门应当组织做好信息采集、看护管理、医疗诊治、困难救助等服务，保护精神障碍患者及其家庭成员的权益，防止精神障碍患者对他人造成伤害。</w:t>
      </w:r>
    </w:p>
    <w:p>
      <w:pPr>
        <w:pStyle w:val="Normal"/>
        <w:keepNext w:val="false"/>
        <w:keepLines w:val="false"/>
        <w:pageBreakBefore w:val="false"/>
        <w:widowControl/>
        <w:suppressLineNumbers w:val="0"/>
        <w:kinsoku w:val="true"/>
        <w:overflowPunct w:val="true"/>
        <w:autoSpaceDE w:val="true"/>
        <w:bidi w:val="0"/>
        <w:snapToGrid w:val="true"/>
        <w:spacing w:lineRule="auto" w:line="240"/>
        <w:ind w:firstLineChars="200" w:startChars="0" w:start="0" w:endChars="0" w:end="0"/>
        <w:jc w:val="both"/>
        <w:rPr>
          <w:rFonts w:ascii="仿宋_GB2312" w:hAnsi="仿宋_GB2312" w:eastAsia="仿宋_GB2312" w:cs="黑体" w:hint="eastAsia"/>
          <w:b w:val="false"/>
          <w:bCs w:val="false"/>
          <w:color w:val="000000"/>
          <w:position w:val="0"/>
          <w:sz w:val="32"/>
          <w:szCs w:val="32"/>
          <w:highlight w:val="none"/>
          <w:vertAlign w:val="baseline"/>
        </w:rPr>
      </w:pPr>
      <w:r>
        <w:rPr>
          <w:rFonts w:ascii="仿宋_GB2312" w:hAnsi="仿宋_GB2312" w:cs="黑体" w:hint="eastAsia"/>
          <w:b w:val="false"/>
          <w:bCs w:val="false"/>
          <w:color w:val="000000"/>
          <w:sz w:val="32"/>
          <w:szCs w:val="32"/>
        </w:rPr>
        <w:t>家庭成员之间应当相互关爱，创造良好、和睦的家庭环境，提高精神障碍预防意识；发现家庭成员可能患有精神障碍的，应当帮助其及时就诊，照顾其生活，做好看护管理。</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黑体" w:hint="eastAsia"/>
          <w:b w:val="false"/>
          <w:bCs w:val="false"/>
          <w:color w:val="000000"/>
          <w:position w:val="0"/>
          <w:sz w:val="32"/>
          <w:szCs w:val="32"/>
          <w:highlight w:val="none"/>
          <w:vertAlign w:val="baseline"/>
        </w:rPr>
      </w:pPr>
      <w:bookmarkStart w:id="4" w:name="tiao_44_kuan_3"/>
      <w:bookmarkEnd w:id="4"/>
      <w:r>
        <w:rPr>
          <w:rFonts w:ascii="黑体" w:hAnsi="黑体" w:cs="黑体" w:hint="eastAsia" w:eastAsia="黑体"/>
          <w:b w:val="false"/>
          <w:bCs w:val="false"/>
          <w:color w:val="000000"/>
          <w:sz w:val="32"/>
          <w:szCs w:val="32"/>
          <w:shd w:fill="FFFFFF" w:val="clear"/>
        </w:rPr>
        <w:t>第</w:t>
      </w:r>
      <w:r>
        <w:rPr>
          <w:rFonts w:ascii="黑体" w:hAnsi="黑体" w:hint="eastAsia" w:eastAsia="黑体"/>
          <w:b w:val="false"/>
          <w:bCs w:val="false"/>
          <w:color w:val="000000"/>
          <w:sz w:val="32"/>
          <w:szCs w:val="32"/>
        </w:rPr>
        <w:t>三十七</w:t>
      </w:r>
      <w:r>
        <w:rPr>
          <w:rFonts w:ascii="黑体" w:hAnsi="黑体" w:cs="黑体" w:hint="eastAsia" w:eastAsia="黑体"/>
          <w:b w:val="false"/>
          <w:bCs w:val="false"/>
          <w:color w:val="000000"/>
          <w:sz w:val="32"/>
          <w:szCs w:val="32"/>
          <w:shd w:fill="FFFFFF" w:val="clear"/>
        </w:rPr>
        <w:t>条</w:t>
      </w:r>
      <w:r>
        <w:rPr>
          <w:rFonts w:ascii="黑体" w:hAnsi="黑体" w:cs="黑体" w:eastAsia="黑体"/>
          <w:b w:val="false"/>
          <w:bCs w:val="false"/>
          <w:color w:val="000000"/>
          <w:sz w:val="32"/>
          <w:szCs w:val="32"/>
          <w:shd w:fill="FFFFFF" w:val="clear"/>
        </w:rPr>
        <w:t xml:space="preserve">  </w:t>
      </w:r>
      <w:r>
        <w:rPr>
          <w:rFonts w:ascii="仿宋_GB2312" w:hAnsi="仿宋_GB2312" w:cs="黑体" w:hint="eastAsia"/>
          <w:b w:val="false"/>
          <w:bCs w:val="false"/>
          <w:color w:val="000000"/>
          <w:sz w:val="32"/>
          <w:szCs w:val="32"/>
        </w:rPr>
        <w:t>各级人民</w:t>
      </w:r>
      <w:r>
        <w:rPr>
          <w:rFonts w:ascii="仿宋_GB2312" w:hAnsi="仿宋_GB2312" w:cs="Times New Roman" w:hint="eastAsia"/>
          <w:b w:val="false"/>
          <w:bCs w:val="false"/>
          <w:color w:val="000000"/>
          <w:sz w:val="32"/>
          <w:szCs w:val="32"/>
        </w:rPr>
        <w:t>政府</w:t>
      </w:r>
      <w:r>
        <w:rPr>
          <w:rFonts w:ascii="仿宋_GB2312" w:hAnsi="仿宋_GB2312" w:cs="Times New Roman" w:hint="eastAsia"/>
          <w:b w:val="false"/>
          <w:bCs w:val="false"/>
          <w:color w:val="000000"/>
          <w:sz w:val="32"/>
          <w:szCs w:val="32"/>
          <w:lang w:val="en"/>
        </w:rPr>
        <w:t>应当组织做好预防未成年人犯罪工作。国家机关、人民团体、社会组织、企业事业单位、居民委员会、村民委员会、学校、家庭等各负其责、相互配合，共同做好预防未成年人犯罪工作，及时消除滋生未成年人违法犯罪行为的各种消极因素，</w:t>
      </w:r>
      <w:r>
        <w:rPr>
          <w:rFonts w:ascii="仿宋_GB2312" w:hAnsi="仿宋_GB2312" w:cs="Times New Roman" w:hint="eastAsia"/>
          <w:b w:val="false"/>
          <w:bCs w:val="false"/>
          <w:color w:val="000000"/>
          <w:sz w:val="32"/>
          <w:szCs w:val="32"/>
        </w:rPr>
        <w:t>提高未成年人自我防范的意识和能力，</w:t>
      </w:r>
      <w:r>
        <w:rPr>
          <w:rFonts w:ascii="仿宋_GB2312" w:hAnsi="仿宋_GB2312" w:cs="Times New Roman" w:hint="eastAsia"/>
          <w:b w:val="false"/>
          <w:bCs w:val="false"/>
          <w:color w:val="000000"/>
          <w:sz w:val="32"/>
          <w:szCs w:val="32"/>
          <w:lang w:val="en"/>
        </w:rPr>
        <w:t>为未成年人身心健康发展创造良好的社会环境</w:t>
      </w:r>
      <w:r>
        <w:rPr>
          <w:rFonts w:ascii="仿宋_GB2312" w:hAnsi="仿宋_GB2312" w:cs="Times New Roman" w:hint="eastAsia"/>
          <w:b w:val="false"/>
          <w:bCs w:val="false"/>
          <w:color w:val="000000"/>
          <w:sz w:val="32"/>
          <w:szCs w:val="32"/>
        </w:rPr>
        <w:t>。</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Times New Roman" w:hint="eastAsia"/>
          <w:b w:val="false"/>
          <w:bCs w:val="false"/>
          <w:color w:val="000000"/>
          <w:sz w:val="32"/>
          <w:szCs w:val="32"/>
          <w:highlight w:val="none"/>
          <w:lang w:val="en"/>
        </w:rPr>
      </w:pPr>
      <w:r>
        <w:rPr>
          <w:rFonts w:ascii="黑体" w:hAnsi="黑体" w:hint="eastAsia" w:eastAsia="黑体"/>
          <w:b w:val="false"/>
          <w:bCs w:val="false"/>
          <w:color w:val="000000"/>
          <w:sz w:val="32"/>
          <w:szCs w:val="32"/>
        </w:rPr>
        <w:t>第三十八条</w:t>
      </w:r>
      <w:r>
        <w:rPr>
          <w:rFonts w:ascii="黑体" w:hAnsi="黑体" w:eastAsia="黑体"/>
          <w:b w:val="false"/>
          <w:bCs w:val="false"/>
          <w:sz w:val="32"/>
          <w:szCs w:val="32"/>
        </w:rPr>
        <w:t xml:space="preserve">  </w:t>
      </w:r>
      <w:r>
        <w:rPr>
          <w:rFonts w:ascii="仿宋_GB2312" w:hAnsi="仿宋_GB2312" w:cs="Times New Roman" w:hint="eastAsia"/>
          <w:b w:val="false"/>
          <w:bCs w:val="false"/>
          <w:color w:val="000000"/>
          <w:sz w:val="32"/>
          <w:szCs w:val="32"/>
        </w:rPr>
        <w:t>市和区人民政府确定的治安保卫重点单位</w:t>
      </w:r>
      <w:r>
        <w:rPr>
          <w:rFonts w:ascii="仿宋_GB2312" w:hAnsi="仿宋_GB2312" w:cs="Times New Roman" w:hint="eastAsia"/>
          <w:b w:val="false"/>
          <w:bCs w:val="false"/>
          <w:color w:val="000000"/>
          <w:sz w:val="32"/>
          <w:szCs w:val="32"/>
        </w:rPr>
        <w:t>，</w:t>
      </w:r>
      <w:r>
        <w:rPr>
          <w:rFonts w:ascii="仿宋_GB2312" w:hAnsi="仿宋_GB2312" w:cs="Times New Roman" w:hint="eastAsia"/>
          <w:b w:val="false"/>
          <w:bCs w:val="false"/>
          <w:color w:val="000000"/>
          <w:sz w:val="32"/>
          <w:szCs w:val="32"/>
          <w:lang w:val="en"/>
        </w:rPr>
        <w:t>应当按照有关规定和标准要求配备安防人员和设施设备，制定防范、应对</w:t>
      </w:r>
      <w:r>
        <w:rPr>
          <w:rFonts w:ascii="仿宋_GB2312" w:hAnsi="仿宋_GB2312" w:cs="Times New Roman" w:hint="eastAsia"/>
          <w:b w:val="false"/>
          <w:bCs w:val="false"/>
          <w:color w:val="000000"/>
          <w:sz w:val="32"/>
          <w:szCs w:val="32"/>
        </w:rPr>
        <w:t>突</w:t>
      </w:r>
      <w:r>
        <w:rPr>
          <w:rFonts w:ascii="仿宋_GB2312" w:hAnsi="仿宋_GB2312" w:cs="Times New Roman"/>
          <w:b w:val="false"/>
          <w:bCs w:val="false"/>
          <w:color w:val="000000"/>
          <w:sz w:val="32"/>
          <w:szCs w:val="32"/>
        </w:rPr>
        <w:t>发事件和意外伤害的预案</w:t>
      </w:r>
      <w:r>
        <w:rPr>
          <w:rFonts w:ascii="仿宋_GB2312" w:hAnsi="仿宋_GB2312" w:cs="Times New Roman" w:hint="eastAsia"/>
          <w:b w:val="false"/>
          <w:bCs w:val="false"/>
          <w:color w:val="000000"/>
          <w:sz w:val="32"/>
          <w:szCs w:val="32"/>
          <w:lang w:val="en"/>
        </w:rPr>
        <w:t>，组织培训和演练，提高防控能力。</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hint="eastAsia"/>
          <w:b w:val="false"/>
          <w:bCs w:val="false"/>
          <w:color w:val="000000"/>
          <w:position w:val="0"/>
          <w:sz w:val="24"/>
          <w:highlight w:val="none"/>
          <w:vertAlign w:val="baseline"/>
        </w:rPr>
      </w:pPr>
      <w:r>
        <w:rPr>
          <w:rFonts w:ascii="仿宋_GB2312" w:hAnsi="仿宋_GB2312" w:cs="Times New Roman" w:hint="eastAsia"/>
          <w:b w:val="false"/>
          <w:bCs w:val="false"/>
          <w:color w:val="000000"/>
          <w:sz w:val="32"/>
          <w:szCs w:val="32"/>
        </w:rPr>
        <w:t>公安机关等有关部门应当</w:t>
      </w:r>
      <w:r>
        <w:rPr>
          <w:rFonts w:ascii="仿宋_GB2312" w:hAnsi="仿宋_GB2312" w:cs="宋体" w:hint="eastAsia"/>
          <w:b w:val="false"/>
          <w:bCs w:val="false"/>
          <w:color w:val="000000"/>
          <w:sz w:val="32"/>
          <w:szCs w:val="32"/>
        </w:rPr>
        <w:t>指导有关单位开展重点防控工作，进行监督检查，对防控薄弱环节和突出问题提出整改意见，相关单位应当按期完成整改。</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eastAsia="仿宋_GB2312"/>
          <w:b w:val="false"/>
          <w:bCs w:val="false"/>
          <w:color w:val="000000"/>
          <w:position w:val="0"/>
          <w:sz w:val="32"/>
          <w:szCs w:val="32"/>
          <w:highlight w:val="none"/>
          <w:vertAlign w:val="baseline"/>
        </w:rPr>
      </w:pPr>
      <w:r>
        <w:rPr>
          <w:rFonts w:ascii="黑体" w:hAnsi="黑体" w:hint="eastAsia" w:eastAsia="黑体"/>
          <w:b w:val="false"/>
          <w:bCs w:val="false"/>
          <w:color w:val="000000"/>
          <w:sz w:val="32"/>
          <w:szCs w:val="32"/>
        </w:rPr>
        <w:t>第三十九条</w:t>
      </w:r>
      <w:r>
        <w:rPr>
          <w:rFonts w:ascii="黑体" w:hAnsi="黑体"/>
          <w:b w:val="false"/>
          <w:bCs w:val="false"/>
          <w:sz w:val="32"/>
          <w:szCs w:val="32"/>
        </w:rPr>
        <w:t xml:space="preserve">  </w:t>
      </w:r>
      <w:r>
        <w:rPr>
          <w:rFonts w:hint="eastAsia"/>
          <w:b w:val="false"/>
          <w:bCs w:val="false"/>
          <w:color w:val="000000"/>
          <w:sz w:val="32"/>
          <w:szCs w:val="32"/>
        </w:rPr>
        <w:t>国家机关、</w:t>
      </w:r>
      <w:r>
        <w:rPr>
          <w:rFonts w:hint="eastAsia"/>
          <w:b w:val="false"/>
          <w:bCs w:val="false"/>
          <w:color w:val="000000"/>
          <w:sz w:val="32"/>
          <w:szCs w:val="32"/>
        </w:rPr>
        <w:t>人民</w:t>
      </w:r>
      <w:r>
        <w:rPr>
          <w:rFonts w:hint="eastAsia"/>
          <w:b w:val="false"/>
          <w:bCs w:val="false"/>
          <w:color w:val="000000"/>
          <w:sz w:val="32"/>
          <w:szCs w:val="32"/>
        </w:rPr>
        <w:t>团体、企业事业单位和其他组织应当建立健全单位内部平安建设工作机制，完善防范内部安全风险责任制度</w:t>
      </w:r>
      <w:r>
        <w:rPr>
          <w:rFonts w:cs="Times New Roman" w:hint="eastAsia"/>
          <w:b w:val="false"/>
          <w:bCs w:val="false"/>
          <w:color w:val="000000"/>
          <w:sz w:val="32"/>
          <w:szCs w:val="32"/>
        </w:rPr>
        <w:t>，落实各项安全措施，组织开展法治宣传教育，增强本单位职工安全风险防范意识和法治意</w:t>
      </w:r>
      <w:r>
        <w:rPr>
          <w:rFonts w:hint="eastAsia"/>
          <w:b w:val="false"/>
          <w:bCs w:val="false"/>
          <w:color w:val="000000"/>
          <w:sz w:val="32"/>
          <w:szCs w:val="32"/>
        </w:rPr>
        <w:t>识。</w:t>
      </w:r>
    </w:p>
    <w:p>
      <w:pPr>
        <w:pStyle w:val="BodyText"/>
        <w:keepNext w:val="false"/>
        <w:keepLines w:val="false"/>
        <w:pageBreakBefore w:val="false"/>
        <w:kinsoku w:val="true"/>
        <w:overflowPunct w:val="true"/>
        <w:autoSpaceDE w:val="true"/>
        <w:bidi w:val="0"/>
        <w:snapToGrid w:val="true"/>
        <w:spacing w:lineRule="auto" w:line="240"/>
        <w:ind w:firstLineChars="200" w:startChars="0" w:start="0" w:endChars="0" w:end="0"/>
        <w:rPr>
          <w:rFonts w:eastAsia="仿宋_GB2312" w:hint="eastAsia"/>
          <w:b w:val="false"/>
          <w:bCs w:val="false"/>
          <w:color w:val="000000"/>
          <w:szCs w:val="32"/>
          <w:highlight w:val="none"/>
        </w:rPr>
      </w:pPr>
      <w:r>
        <w:rPr>
          <w:rFonts w:ascii="黑体" w:hAnsi="黑体" w:hint="eastAsia" w:eastAsia="黑体"/>
          <w:b w:val="false"/>
          <w:bCs w:val="false"/>
          <w:color w:val="000000"/>
          <w:sz w:val="32"/>
          <w:szCs w:val="32"/>
        </w:rPr>
        <w:t>第四十条</w:t>
      </w:r>
      <w:r>
        <w:rPr>
          <w:rFonts w:ascii="黑体" w:hAnsi="黑体" w:eastAsia="黑体"/>
          <w:b w:val="false"/>
          <w:bCs w:val="false"/>
          <w:sz w:val="32"/>
          <w:szCs w:val="32"/>
        </w:rPr>
        <w:t xml:space="preserve">  </w:t>
      </w:r>
      <w:r>
        <w:rPr>
          <w:rFonts w:ascii="宋体" w:hAnsi="宋体" w:cs="宋体" w:hint="eastAsia" w:eastAsia="仿宋_GB2312"/>
          <w:b w:val="false"/>
          <w:bCs w:val="false"/>
          <w:color w:val="000000"/>
          <w:sz w:val="32"/>
          <w:szCs w:val="32"/>
        </w:rPr>
        <w:t>大型群众性活动的主办者、承办者依法负责活动的安全，大型群众性活动的场所管理者依法负责活动场所及设施的安全。</w:t>
      </w:r>
    </w:p>
    <w:p>
      <w:pPr>
        <w:pStyle w:val="BodyText"/>
        <w:keepNext w:val="false"/>
        <w:keepLines w:val="false"/>
        <w:pageBreakBefore w:val="false"/>
        <w:kinsoku w:val="true"/>
        <w:overflowPunct w:val="true"/>
        <w:autoSpaceDE w:val="true"/>
        <w:bidi w:val="0"/>
        <w:snapToGrid w:val="true"/>
        <w:spacing w:lineRule="auto" w:line="240"/>
        <w:ind w:firstLineChars="200" w:startChars="0" w:start="0" w:endChars="0" w:end="0"/>
        <w:jc w:val="both"/>
        <w:rPr>
          <w:rFonts w:eastAsia="仿宋_GB2312" w:hint="eastAsia"/>
          <w:b w:val="false"/>
          <w:bCs w:val="false"/>
          <w:color w:val="000000"/>
          <w:szCs w:val="32"/>
          <w:highlight w:val="none"/>
        </w:rPr>
      </w:pPr>
      <w:r>
        <w:rPr>
          <w:rFonts w:hint="eastAsia" w:eastAsia="仿宋_GB2312"/>
          <w:b w:val="false"/>
          <w:bCs w:val="false"/>
          <w:color w:val="000000"/>
          <w:szCs w:val="32"/>
        </w:rPr>
        <w:t>公安机关依法开展对大型群众性活动的安全管理工作。对经安全许可的大型群众性活动，公安机关根据安全需要组织相应警力，维持活动现场周边的治安、交通秩序，预防和处置突发治安事件，查处违法犯罪活动。</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eastAsia="仿宋_GB2312" w:hint="eastAsia"/>
          <w:b w:val="false"/>
          <w:bCs w:val="false"/>
          <w:color w:val="000000"/>
          <w:sz w:val="32"/>
          <w:szCs w:val="32"/>
          <w:highlight w:val="none"/>
        </w:rPr>
      </w:pPr>
      <w:r>
        <w:rPr>
          <w:rFonts w:ascii="黑体" w:hAnsi="黑体" w:hint="eastAsia" w:eastAsia="黑体"/>
          <w:b w:val="false"/>
          <w:bCs w:val="false"/>
          <w:color w:val="000000"/>
          <w:sz w:val="32"/>
          <w:szCs w:val="32"/>
        </w:rPr>
        <w:t>第四十一</w:t>
      </w:r>
      <w:r>
        <w:rPr>
          <w:rFonts w:ascii="黑体" w:hAnsi="黑体" w:cs="宋体" w:hint="eastAsia" w:eastAsia="黑体"/>
          <w:b w:val="false"/>
          <w:bCs w:val="false"/>
          <w:color w:val="000000"/>
          <w:sz w:val="32"/>
          <w:szCs w:val="32"/>
        </w:rPr>
        <w:t>条</w:t>
      </w:r>
      <w:r>
        <w:rPr>
          <w:rFonts w:ascii="黑体" w:hAnsi="黑体" w:cs="宋体" w:eastAsia="黑体"/>
          <w:b w:val="false"/>
          <w:bCs w:val="false"/>
          <w:color w:val="000000"/>
          <w:sz w:val="32"/>
          <w:szCs w:val="32"/>
        </w:rPr>
        <w:t xml:space="preserve">  </w:t>
      </w:r>
      <w:r>
        <w:rPr>
          <w:rFonts w:hint="eastAsia"/>
          <w:b w:val="false"/>
          <w:bCs w:val="false"/>
          <w:color w:val="000000"/>
          <w:sz w:val="32"/>
          <w:szCs w:val="32"/>
        </w:rPr>
        <w:t>市和区人民政府应当建立健全金融风险防范和处置工作机制，制定地方金融风险突发事件应急预案，及时稳妥处置金融风险。</w:t>
      </w:r>
    </w:p>
    <w:p>
      <w:pPr>
        <w:pStyle w:val="BodyText"/>
        <w:keepNext w:val="false"/>
        <w:keepLines w:val="false"/>
        <w:pageBreakBefore w:val="false"/>
        <w:kinsoku w:val="true"/>
        <w:overflowPunct w:val="true"/>
        <w:autoSpaceDE w:val="true"/>
        <w:bidi w:val="0"/>
        <w:snapToGrid w:val="true"/>
        <w:spacing w:lineRule="auto" w:line="240"/>
        <w:ind w:firstLineChars="200" w:startChars="0" w:start="0" w:endChars="0" w:end="0"/>
        <w:jc w:val="both"/>
        <w:rPr>
          <w:rFonts w:eastAsia="仿宋_GB2312" w:hint="eastAsia"/>
          <w:b w:val="false"/>
          <w:bCs w:val="false"/>
          <w:color w:val="000000"/>
          <w:szCs w:val="32"/>
          <w:highlight w:val="none"/>
        </w:rPr>
      </w:pPr>
      <w:r>
        <w:rPr>
          <w:rFonts w:hint="eastAsia" w:eastAsia="仿宋_GB2312"/>
          <w:b w:val="false"/>
          <w:bCs w:val="false"/>
          <w:color w:val="000000"/>
          <w:sz w:val="32"/>
          <w:szCs w:val="32"/>
        </w:rPr>
        <w:t>地方金融组织相关业务活动可能引发或者已经形成重大金融风险的，应当及时向市地方金融监督管理部门报告有关情况，并及时采取措施，消除隐患，处置风险。</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eastAsia="仿宋_GB2312" w:hint="eastAsia"/>
          <w:b w:val="false"/>
          <w:bCs w:val="false"/>
          <w:color w:val="000000"/>
          <w:position w:val="0"/>
          <w:sz w:val="32"/>
          <w:szCs w:val="32"/>
          <w:highlight w:val="none"/>
          <w:vertAlign w:val="baseline"/>
        </w:rPr>
      </w:pPr>
      <w:r>
        <w:rPr>
          <w:rFonts w:ascii="黑体" w:hAnsi="黑体" w:hint="eastAsia" w:eastAsia="黑体"/>
          <w:b w:val="false"/>
          <w:bCs w:val="false"/>
          <w:color w:val="000000"/>
          <w:sz w:val="32"/>
          <w:szCs w:val="32"/>
        </w:rPr>
        <w:t>第四十二条</w:t>
      </w:r>
      <w:r>
        <w:rPr>
          <w:rFonts w:ascii="黑体" w:hAnsi="黑体" w:eastAsia="黑体"/>
          <w:b w:val="false"/>
          <w:bCs w:val="false"/>
          <w:sz w:val="32"/>
          <w:szCs w:val="32"/>
        </w:rPr>
        <w:t xml:space="preserve">  </w:t>
      </w:r>
      <w:r>
        <w:rPr>
          <w:rFonts w:hint="eastAsia"/>
          <w:b w:val="false"/>
          <w:bCs w:val="false"/>
          <w:color w:val="000000"/>
          <w:sz w:val="32"/>
          <w:szCs w:val="32"/>
        </w:rPr>
        <w:t>本市完善公共法律服务体系，加强公共法律服务平台建设，发挥律师、公证、司法鉴定、仲裁、调解、基层法律服务等的作用，开展法律援助、矛盾纠纷化解、法律咨询、法治宣传教育等法律服务，提高群众获得公共法律服务的便利性。</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eastAsia="仿宋_GB2312" w:hint="eastAsia"/>
          <w:b w:val="false"/>
          <w:bCs w:val="false"/>
          <w:color w:val="000000"/>
          <w:position w:val="0"/>
          <w:sz w:val="32"/>
          <w:szCs w:val="32"/>
          <w:highlight w:val="none"/>
          <w:vertAlign w:val="baseline"/>
        </w:rPr>
      </w:pPr>
      <w:r>
        <w:rPr>
          <w:rFonts w:ascii="黑体" w:hAnsi="黑体" w:hint="eastAsia" w:eastAsia="黑体"/>
          <w:b w:val="false"/>
          <w:bCs w:val="false"/>
          <w:color w:val="000000"/>
          <w:sz w:val="32"/>
          <w:szCs w:val="32"/>
        </w:rPr>
        <w:t>第</w:t>
      </w:r>
      <w:r>
        <w:rPr>
          <w:rFonts w:ascii="黑体" w:hAnsi="黑体" w:eastAsia="黑体"/>
          <w:b w:val="false"/>
          <w:bCs w:val="false"/>
          <w:color w:val="000000"/>
          <w:sz w:val="32"/>
          <w:szCs w:val="32"/>
        </w:rPr>
        <w:t>四十</w:t>
      </w:r>
      <w:r>
        <w:rPr>
          <w:rFonts w:ascii="黑体" w:hAnsi="黑体" w:hint="eastAsia" w:eastAsia="黑体"/>
          <w:b w:val="false"/>
          <w:bCs w:val="false"/>
          <w:color w:val="000000"/>
          <w:sz w:val="32"/>
          <w:szCs w:val="32"/>
        </w:rPr>
        <w:t>三条</w:t>
      </w:r>
      <w:r>
        <w:rPr>
          <w:rFonts w:ascii="黑体" w:hAnsi="黑体" w:eastAsia="黑体"/>
          <w:b w:val="false"/>
          <w:bCs w:val="false"/>
          <w:sz w:val="32"/>
          <w:szCs w:val="32"/>
        </w:rPr>
        <w:t xml:space="preserve">  </w:t>
      </w:r>
      <w:r>
        <w:rPr>
          <w:rFonts w:hint="eastAsia"/>
          <w:b w:val="false"/>
          <w:bCs w:val="false"/>
          <w:color w:val="000000"/>
          <w:sz w:val="32"/>
          <w:szCs w:val="32"/>
        </w:rPr>
        <w:t>卫生健康部门</w:t>
      </w:r>
      <w:r>
        <w:rPr>
          <w:rFonts w:cs="Times New Roman" w:hint="eastAsia"/>
          <w:b w:val="false"/>
          <w:bCs w:val="false"/>
          <w:color w:val="000000"/>
          <w:sz w:val="32"/>
          <w:szCs w:val="32"/>
        </w:rPr>
        <w:t>应当会同教育、公安、民政、司法行政等部门强化社会心理服务和危机干预，加强心理健康知识宣传、指导、咨询服务，完善社会心理服务网络，推动社会心理服务和教育进学校、进社区、进单位、进家庭等，防范</w:t>
      </w:r>
      <w:r>
        <w:rPr>
          <w:rFonts w:hint="eastAsia"/>
          <w:b w:val="false"/>
          <w:bCs w:val="false"/>
          <w:color w:val="000000"/>
          <w:sz w:val="32"/>
          <w:szCs w:val="32"/>
        </w:rPr>
        <w:t>化解因心理问题引发的个人极端行为风险。</w:t>
      </w:r>
    </w:p>
    <w:p>
      <w:pPr>
        <w:pStyle w:val="Normal"/>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jc w:val="both"/>
        <w:outlineLvl w:val="0"/>
        <w:rPr>
          <w:rFonts w:ascii="宋体" w:hAnsi="宋体" w:eastAsia="宋体" w:cs="宋体" w:hint="eastAsia"/>
          <w:b w:val="false"/>
          <w:bCs w:val="false"/>
          <w:color w:val="000000"/>
          <w:position w:val="0"/>
          <w:sz w:val="32"/>
          <w:szCs w:val="32"/>
          <w:highlight w:val="none"/>
          <w:vertAlign w:val="baseline"/>
        </w:rPr>
      </w:pPr>
      <w:r>
        <w:rPr>
          <w:rFonts w:eastAsia="宋体" w:cs="宋体" w:hint="eastAsia" w:ascii="宋体" w:hAnsi="宋体"/>
          <w:b w:val="false"/>
          <w:bCs w:val="false"/>
          <w:color w:val="000000"/>
          <w:position w:val="0"/>
          <w:sz w:val="32"/>
          <w:szCs w:val="32"/>
          <w:vertAlign w:val="baseline"/>
        </w:rPr>
      </w:r>
    </w:p>
    <w:p>
      <w:pPr>
        <w:pStyle w:val="Normal"/>
        <w:keepNext w:val="false"/>
        <w:keepLines w:val="false"/>
        <w:pageBreakBefore w:val="false"/>
        <w:numPr>
          <w:ilvl w:val="0"/>
          <w:numId w:val="0"/>
        </w:numPr>
        <w:kinsoku w:val="true"/>
        <w:overflowPunct w:val="true"/>
        <w:autoSpaceDE w:val="true"/>
        <w:bidi w:val="0"/>
        <w:snapToGrid w:val="true"/>
        <w:spacing w:lineRule="auto" w:line="240"/>
        <w:jc w:val="center"/>
        <w:outlineLvl w:val="0"/>
        <w:rPr>
          <w:rFonts w:ascii="黑体" w:hAnsi="黑体" w:eastAsia="黑体" w:hint="eastAsia"/>
          <w:b w:val="false"/>
          <w:bCs w:val="false"/>
          <w:color w:val="000000"/>
          <w:sz w:val="32"/>
          <w:szCs w:val="32"/>
          <w:highlight w:val="none"/>
        </w:rPr>
      </w:pPr>
      <w:r>
        <w:rPr>
          <w:rFonts w:ascii="黑体" w:hAnsi="黑体" w:hint="eastAsia" w:eastAsia="黑体"/>
          <w:b w:val="false"/>
          <w:bCs w:val="false"/>
          <w:color w:val="000000"/>
          <w:sz w:val="32"/>
          <w:szCs w:val="32"/>
        </w:rPr>
        <w:t>第五章  公共安全保障</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宋体" w:hAnsi="宋体" w:eastAsia="宋体" w:cs="宋体" w:hint="eastAsia"/>
          <w:b w:val="false"/>
          <w:bCs w:val="false"/>
          <w:color w:val="000000"/>
          <w:sz w:val="32"/>
          <w:szCs w:val="32"/>
          <w:highlight w:val="none"/>
        </w:rPr>
      </w:pPr>
      <w:r>
        <w:rPr>
          <w:rFonts w:eastAsia="宋体" w:cs="宋体" w:hint="eastAsia" w:ascii="宋体" w:hAnsi="宋体"/>
          <w:b w:val="false"/>
          <w:bCs w:val="false"/>
          <w:color w:val="000000"/>
          <w:sz w:val="32"/>
          <w:szCs w:val="32"/>
        </w:rPr>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黑体" w:hAnsi="黑体" w:eastAsia="黑体" w:cs="黑体" w:hint="eastAsia"/>
          <w:b w:val="false"/>
          <w:bCs w:val="false"/>
          <w:color w:val="000000"/>
          <w:sz w:val="32"/>
          <w:szCs w:val="32"/>
          <w:highlight w:val="none"/>
        </w:rPr>
      </w:pPr>
      <w:r>
        <w:rPr>
          <w:rFonts w:ascii="黑体" w:hAnsi="黑体" w:hint="eastAsia" w:eastAsia="黑体"/>
          <w:b w:val="false"/>
          <w:bCs w:val="false"/>
          <w:color w:val="000000"/>
          <w:sz w:val="32"/>
          <w:szCs w:val="32"/>
        </w:rPr>
        <w:t>第四十四条</w:t>
      </w:r>
      <w:r>
        <w:rPr>
          <w:rFonts w:ascii="黑体" w:hAnsi="黑体" w:eastAsia="黑体"/>
          <w:b w:val="false"/>
          <w:bCs w:val="false"/>
          <w:color w:val="000000"/>
          <w:sz w:val="32"/>
          <w:szCs w:val="32"/>
          <w:lang w:val="en"/>
        </w:rPr>
        <w:t xml:space="preserve">  </w:t>
      </w:r>
      <w:r>
        <w:rPr>
          <w:rFonts w:cs="Times New Roman" w:hint="eastAsia"/>
          <w:b w:val="false"/>
          <w:bCs w:val="false"/>
          <w:color w:val="000000"/>
          <w:sz w:val="32"/>
          <w:szCs w:val="32"/>
          <w:lang w:val="en"/>
        </w:rPr>
        <w:t>本市健全</w:t>
      </w:r>
      <w:r>
        <w:rPr>
          <w:rFonts w:cs="Times New Roman" w:hint="eastAsia"/>
          <w:b w:val="false"/>
          <w:bCs w:val="false"/>
          <w:color w:val="000000"/>
          <w:sz w:val="32"/>
          <w:szCs w:val="32"/>
        </w:rPr>
        <w:t>公共安全保障体系，</w:t>
      </w:r>
      <w:r>
        <w:rPr>
          <w:rFonts w:cs="Times New Roman" w:hint="eastAsia"/>
          <w:b w:val="false"/>
          <w:bCs w:val="false"/>
          <w:color w:val="000000"/>
          <w:sz w:val="32"/>
          <w:szCs w:val="32"/>
          <w:lang w:val="en"/>
        </w:rPr>
        <w:t>全面提升</w:t>
      </w:r>
      <w:r>
        <w:rPr>
          <w:rFonts w:cs="Times New Roman" w:hint="eastAsia"/>
          <w:b w:val="false"/>
          <w:bCs w:val="false"/>
          <w:color w:val="000000"/>
          <w:sz w:val="32"/>
          <w:szCs w:val="32"/>
        </w:rPr>
        <w:t>公共安全效能，提高公共安全保障能力，努力为人民群众创造安业、安居、安康、安心的良好环境。</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eastAsia="仿宋_GB2312" w:hint="eastAsia"/>
          <w:b w:val="false"/>
          <w:bCs w:val="false"/>
          <w:color w:val="000000"/>
          <w:position w:val="0"/>
          <w:sz w:val="32"/>
          <w:szCs w:val="32"/>
          <w:highlight w:val="none"/>
          <w:vertAlign w:val="baseline"/>
        </w:rPr>
      </w:pPr>
      <w:r>
        <w:rPr>
          <w:rFonts w:ascii="黑体" w:hAnsi="黑体" w:hint="eastAsia" w:eastAsia="黑体"/>
          <w:b w:val="false"/>
          <w:bCs w:val="false"/>
          <w:color w:val="000000"/>
          <w:sz w:val="32"/>
          <w:szCs w:val="32"/>
        </w:rPr>
        <w:t>第四十五条</w:t>
      </w:r>
      <w:r>
        <w:rPr>
          <w:rFonts w:ascii="黑体" w:hAnsi="黑体" w:eastAsia="黑体"/>
          <w:b w:val="false"/>
          <w:bCs w:val="false"/>
          <w:sz w:val="32"/>
          <w:szCs w:val="32"/>
        </w:rPr>
        <w:t xml:space="preserve">  </w:t>
      </w:r>
      <w:r>
        <w:rPr>
          <w:rFonts w:hint="eastAsia"/>
          <w:b w:val="false"/>
          <w:bCs w:val="false"/>
          <w:color w:val="000000"/>
          <w:sz w:val="32"/>
          <w:szCs w:val="32"/>
        </w:rPr>
        <w:t>市和区人民政府应当按照</w:t>
      </w:r>
      <w:r>
        <w:rPr>
          <w:rFonts w:cs="Times New Roman" w:hint="eastAsia"/>
          <w:b w:val="false"/>
          <w:bCs w:val="false"/>
          <w:color w:val="000000"/>
          <w:sz w:val="32"/>
          <w:szCs w:val="32"/>
        </w:rPr>
        <w:t>打防结合、整体防控、专群结合、群防群治的原则，构建立体化、法治化、专业化、智能化的社会治安防控体系，形成城乡统筹、网上网下融合、人防物防技防结合、打防管控一体的工作格</w:t>
      </w:r>
      <w:r>
        <w:rPr>
          <w:rFonts w:hint="eastAsia"/>
          <w:b w:val="false"/>
          <w:bCs w:val="false"/>
          <w:color w:val="000000"/>
          <w:sz w:val="32"/>
          <w:szCs w:val="32"/>
        </w:rPr>
        <w:t>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eastAsia="仿宋_GB2312" w:cs="Times New Roman" w:hint="eastAsia"/>
          <w:b w:val="false"/>
          <w:bCs w:val="false"/>
          <w:color w:val="000000"/>
          <w:kern w:val="2"/>
          <w:sz w:val="32"/>
          <w:szCs w:val="32"/>
          <w:highlight w:val="none"/>
        </w:rPr>
      </w:pPr>
      <w:r>
        <w:rPr>
          <w:rFonts w:ascii="黑体" w:hAnsi="黑体" w:cs="Times New Roman" w:hint="eastAsia" w:eastAsia="黑体"/>
          <w:b w:val="false"/>
          <w:bCs w:val="false"/>
          <w:color w:val="000000"/>
          <w:kern w:val="2"/>
          <w:sz w:val="32"/>
          <w:szCs w:val="32"/>
        </w:rPr>
        <w:t>第四十六条</w:t>
      </w:r>
      <w:r>
        <w:rPr>
          <w:rFonts w:ascii="黑体" w:hAnsi="黑体" w:cs="Times New Roman" w:eastAsia="黑体"/>
          <w:b w:val="false"/>
          <w:bCs w:val="false"/>
          <w:color w:val="000000"/>
          <w:kern w:val="2"/>
          <w:sz w:val="32"/>
          <w:szCs w:val="32"/>
        </w:rPr>
        <w:t xml:space="preserve">  </w:t>
      </w:r>
      <w:r>
        <w:rPr>
          <w:rFonts w:ascii="Times New Roman" w:hAnsi="Times New Roman" w:cs="Times New Roman" w:hint="eastAsia"/>
          <w:b w:val="false"/>
          <w:bCs w:val="false"/>
          <w:color w:val="000000"/>
          <w:kern w:val="2"/>
          <w:sz w:val="32"/>
          <w:szCs w:val="32"/>
        </w:rPr>
        <w:t>人民法院</w:t>
      </w:r>
      <w:r>
        <w:rPr>
          <w:rFonts w:cs="Times New Roman" w:hint="eastAsia"/>
          <w:b w:val="false"/>
          <w:bCs w:val="false"/>
          <w:color w:val="000000"/>
          <w:sz w:val="32"/>
          <w:szCs w:val="32"/>
        </w:rPr>
        <w:t>、人民检察院、公安机关、司法行政部门等应当依法惩处涉枪涉爆、电信网络诈骗、侵犯公民个人信息、侵犯知识产权、侵害未成年人、危害食品药品安全等影响公众安全感的违法犯罪活动，维护社会良好秩序。</w:t>
      </w:r>
    </w:p>
    <w:p>
      <w:pPr>
        <w:pStyle w:val="BodyText"/>
        <w:keepNext w:val="false"/>
        <w:keepLines w:val="false"/>
        <w:pageBreakBefore w:val="false"/>
        <w:kinsoku w:val="true"/>
        <w:overflowPunct w:val="true"/>
        <w:autoSpaceDE w:val="true"/>
        <w:bidi w:val="0"/>
        <w:snapToGrid w:val="true"/>
        <w:spacing w:lineRule="auto" w:line="240"/>
        <w:ind w:firstLineChars="200" w:startChars="0" w:start="0" w:endChars="0" w:end="0"/>
        <w:rPr>
          <w:rFonts w:ascii="Times New Roman" w:hAnsi="Times New Roman" w:eastAsia="仿宋_GB2312" w:cs="Times New Roman" w:hint="eastAsia"/>
          <w:b w:val="false"/>
          <w:bCs w:val="false"/>
          <w:color w:val="000000"/>
          <w:kern w:val="2"/>
          <w:sz w:val="32"/>
          <w:szCs w:val="32"/>
          <w:highlight w:val="none"/>
        </w:rPr>
      </w:pPr>
      <w:r>
        <w:rPr>
          <w:rFonts w:ascii="黑体" w:hAnsi="黑体" w:hint="eastAsia" w:eastAsia="黑体"/>
          <w:b w:val="false"/>
          <w:bCs w:val="false"/>
          <w:color w:val="000000"/>
          <w:sz w:val="32"/>
          <w:szCs w:val="32"/>
        </w:rPr>
        <w:t>第四十七条</w:t>
      </w:r>
      <w:r>
        <w:rPr>
          <w:rFonts w:ascii="黑体" w:hAnsi="黑体" w:eastAsia="黑体"/>
          <w:b w:val="false"/>
          <w:bCs w:val="false"/>
          <w:sz w:val="32"/>
          <w:szCs w:val="32"/>
        </w:rPr>
        <w:t xml:space="preserve">  </w:t>
      </w:r>
      <w:r>
        <w:rPr>
          <w:rFonts w:hint="eastAsia" w:eastAsia="仿宋_GB2312"/>
          <w:b w:val="false"/>
          <w:bCs w:val="false"/>
          <w:color w:val="000000"/>
          <w:sz w:val="32"/>
          <w:szCs w:val="32"/>
        </w:rPr>
        <w:t>监察机关、人民法院、人民检察</w:t>
      </w:r>
      <w:r>
        <w:rPr>
          <w:rFonts w:ascii="Times New Roman" w:hAnsi="Times New Roman" w:cs="Times New Roman" w:hint="eastAsia" w:eastAsia="仿宋_GB2312"/>
          <w:b w:val="false"/>
          <w:bCs w:val="false"/>
          <w:color w:val="000000"/>
          <w:kern w:val="2"/>
          <w:sz w:val="32"/>
          <w:szCs w:val="32"/>
        </w:rPr>
        <w:t>院、公安机关、司法行政部门以及其他有关国家机关，应当根据分工，互相</w:t>
      </w:r>
      <w:r>
        <w:rPr>
          <w:rFonts w:hint="eastAsia" w:eastAsia="仿宋_GB2312"/>
          <w:b w:val="false"/>
          <w:bCs w:val="false"/>
          <w:color w:val="000000"/>
          <w:sz w:val="32"/>
          <w:szCs w:val="32"/>
        </w:rPr>
        <w:t>配合、互相制约，依</w:t>
      </w:r>
      <w:r>
        <w:rPr>
          <w:rFonts w:ascii="Times New Roman" w:hAnsi="Times New Roman" w:cs="Times New Roman" w:hint="eastAsia" w:eastAsia="仿宋_GB2312"/>
          <w:b w:val="false"/>
          <w:bCs w:val="false"/>
          <w:color w:val="000000"/>
          <w:kern w:val="2"/>
          <w:sz w:val="32"/>
          <w:szCs w:val="32"/>
        </w:rPr>
        <w:t>法做好反有组织犯罪工作，推进常态化扫黑除恶工作。</w:t>
      </w:r>
    </w:p>
    <w:p>
      <w:pPr>
        <w:pStyle w:val="BodyText"/>
        <w:keepNext w:val="false"/>
        <w:keepLines w:val="false"/>
        <w:pageBreakBefore w:val="false"/>
        <w:kinsoku w:val="true"/>
        <w:overflowPunct w:val="true"/>
        <w:autoSpaceDE w:val="true"/>
        <w:bidi w:val="0"/>
        <w:snapToGrid w:val="true"/>
        <w:spacing w:lineRule="auto" w:line="240"/>
        <w:ind w:firstLineChars="200" w:startChars="0" w:start="0" w:endChars="0" w:end="0"/>
        <w:jc w:val="both"/>
        <w:rPr>
          <w:rFonts w:eastAsia="仿宋_GB2312" w:hint="eastAsia"/>
          <w:b w:val="false"/>
          <w:bCs w:val="false"/>
          <w:color w:val="000000"/>
          <w:sz w:val="32"/>
          <w:szCs w:val="32"/>
          <w:highlight w:val="none"/>
        </w:rPr>
      </w:pPr>
      <w:r>
        <w:rPr>
          <w:rFonts w:hint="eastAsia" w:eastAsia="仿宋_GB2312"/>
          <w:b w:val="false"/>
          <w:bCs w:val="false"/>
          <w:color w:val="000000"/>
          <w:sz w:val="32"/>
          <w:szCs w:val="32"/>
        </w:rPr>
        <w:t>各级人民政府和有关部门应当依法组织开展有组织犯罪预防和治理工作。鼓励单位和个人举报有组织犯罪。</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宋体" w:hAnsi="宋体" w:eastAsia="仿宋_GB2312" w:cs="宋体" w:hint="eastAsia"/>
          <w:b w:val="false"/>
          <w:bCs w:val="false"/>
          <w:color w:val="000000"/>
          <w:sz w:val="32"/>
          <w:szCs w:val="32"/>
          <w:highlight w:val="none"/>
          <w:lang w:val="en"/>
        </w:rPr>
      </w:pPr>
      <w:r>
        <w:rPr>
          <w:rFonts w:ascii="黑体" w:hAnsi="黑体" w:hint="eastAsia" w:eastAsia="黑体"/>
          <w:b w:val="false"/>
          <w:bCs w:val="false"/>
          <w:color w:val="000000"/>
          <w:sz w:val="32"/>
          <w:szCs w:val="32"/>
        </w:rPr>
        <w:t>第四十八条</w:t>
      </w:r>
      <w:r>
        <w:rPr>
          <w:rFonts w:ascii="黑体" w:hAnsi="黑体" w:eastAsia="黑体"/>
          <w:b w:val="false"/>
          <w:bCs w:val="false"/>
          <w:sz w:val="32"/>
          <w:szCs w:val="32"/>
        </w:rPr>
        <w:t xml:space="preserve">  </w:t>
      </w:r>
      <w:r>
        <w:rPr>
          <w:rFonts w:ascii="宋体" w:hAnsi="宋体" w:cs="宋体" w:hint="eastAsia"/>
          <w:b w:val="false"/>
          <w:bCs w:val="false"/>
          <w:color w:val="000000"/>
          <w:sz w:val="32"/>
          <w:szCs w:val="32"/>
          <w:lang w:val="en"/>
        </w:rPr>
        <w:t>市和区人民政府应当建立健全打击治理电信网络诈骗违法犯罪协调工作机制，统筹推进本行政区域内打击治理电信网络诈骗违法犯罪工作。</w:t>
      </w:r>
    </w:p>
    <w:p>
      <w:pPr>
        <w:pStyle w:val="BodyText"/>
        <w:keepNext w:val="false"/>
        <w:keepLines w:val="false"/>
        <w:pageBreakBefore w:val="false"/>
        <w:kinsoku w:val="true"/>
        <w:overflowPunct w:val="true"/>
        <w:autoSpaceDE w:val="true"/>
        <w:bidi w:val="0"/>
        <w:snapToGrid w:val="true"/>
        <w:spacing w:lineRule="auto" w:line="240"/>
        <w:ind w:firstLineChars="200" w:startChars="0" w:start="0" w:endChars="0" w:end="0"/>
        <w:jc w:val="both"/>
        <w:rPr>
          <w:rFonts w:eastAsia="仿宋_GB2312" w:hint="eastAsia"/>
          <w:b w:val="false"/>
          <w:bCs w:val="false"/>
          <w:color w:val="000000"/>
          <w:szCs w:val="32"/>
          <w:highlight w:val="none"/>
        </w:rPr>
      </w:pPr>
      <w:r>
        <w:rPr>
          <w:rFonts w:hint="eastAsia" w:eastAsia="仿宋_GB2312"/>
          <w:b w:val="false"/>
          <w:bCs w:val="false"/>
          <w:color w:val="000000"/>
          <w:szCs w:val="32"/>
        </w:rPr>
        <w:t>公安机关应当组织专项打击行动，会同相关部门开展联合治理行动，依法打击利用电信、网络等载体实施诈骗等违法犯罪行为。</w:t>
      </w:r>
    </w:p>
    <w:p>
      <w:pPr>
        <w:pStyle w:val="BodyText"/>
        <w:keepNext w:val="false"/>
        <w:keepLines w:val="false"/>
        <w:pageBreakBefore w:val="false"/>
        <w:kinsoku w:val="true"/>
        <w:overflowPunct w:val="true"/>
        <w:autoSpaceDE w:val="true"/>
        <w:bidi w:val="0"/>
        <w:snapToGrid w:val="true"/>
        <w:spacing w:lineRule="auto" w:line="240"/>
        <w:ind w:firstLineChars="200" w:startChars="0" w:start="0" w:endChars="0" w:end="0"/>
        <w:jc w:val="both"/>
        <w:rPr>
          <w:rFonts w:eastAsia="仿宋_GB2312" w:hint="eastAsia"/>
          <w:b w:val="false"/>
          <w:bCs w:val="false"/>
          <w:color w:val="000000"/>
          <w:position w:val="0"/>
          <w:sz w:val="24"/>
          <w:szCs w:val="32"/>
          <w:highlight w:val="none"/>
          <w:vertAlign w:val="baseline"/>
        </w:rPr>
      </w:pPr>
      <w:r>
        <w:rPr>
          <w:rFonts w:hint="eastAsia" w:eastAsia="仿宋_GB2312"/>
          <w:b w:val="false"/>
          <w:bCs w:val="false"/>
          <w:color w:val="000000"/>
          <w:szCs w:val="32"/>
        </w:rPr>
        <w:t>电信企业、金融机构、互联网企业等应当加强反诈骗风险监测，发现涉嫌电信网络诈骗的，应当及时作出风险提示，向公安机关</w:t>
      </w:r>
      <w:r>
        <w:rPr>
          <w:rFonts w:cs="Times New Roman" w:hint="eastAsia" w:eastAsia="仿宋_GB2312"/>
          <w:b w:val="false"/>
          <w:bCs w:val="false"/>
          <w:color w:val="000000"/>
          <w:szCs w:val="32"/>
        </w:rPr>
        <w:t>报告，并按照规定采取阻断措施。</w:t>
      </w:r>
    </w:p>
    <w:p>
      <w:pPr>
        <w:pStyle w:val="BodyText"/>
        <w:keepNext w:val="false"/>
        <w:keepLines w:val="false"/>
        <w:pageBreakBefore w:val="false"/>
        <w:kinsoku w:val="true"/>
        <w:overflowPunct w:val="true"/>
        <w:autoSpaceDE w:val="true"/>
        <w:bidi w:val="0"/>
        <w:snapToGrid w:val="true"/>
        <w:spacing w:lineRule="auto" w:line="240"/>
        <w:ind w:firstLineChars="200" w:startChars="0" w:start="0" w:endChars="0" w:end="0"/>
        <w:rPr>
          <w:rFonts w:eastAsia="仿宋_GB2312" w:cs="Times New Roman" w:hint="eastAsia"/>
          <w:b w:val="false"/>
          <w:bCs w:val="false"/>
          <w:color w:val="000000"/>
          <w:szCs w:val="32"/>
          <w:highlight w:val="none"/>
        </w:rPr>
      </w:pPr>
      <w:r>
        <w:rPr>
          <w:rFonts w:ascii="黑体" w:hAnsi="黑体" w:hint="eastAsia" w:eastAsia="黑体"/>
          <w:b w:val="false"/>
          <w:bCs w:val="false"/>
          <w:color w:val="000000"/>
          <w:szCs w:val="32"/>
        </w:rPr>
        <w:t>第</w:t>
      </w:r>
      <w:r>
        <w:rPr>
          <w:rFonts w:ascii="黑体" w:hAnsi="黑体" w:hint="eastAsia" w:eastAsia="黑体"/>
          <w:b w:val="false"/>
          <w:bCs w:val="false"/>
          <w:color w:val="000000"/>
          <w:sz w:val="32"/>
          <w:szCs w:val="32"/>
        </w:rPr>
        <w:t>四十九</w:t>
      </w:r>
      <w:r>
        <w:rPr>
          <w:rFonts w:ascii="黑体" w:hAnsi="黑体" w:hint="eastAsia" w:eastAsia="黑体"/>
          <w:b w:val="false"/>
          <w:bCs w:val="false"/>
          <w:color w:val="000000"/>
          <w:szCs w:val="32"/>
        </w:rPr>
        <w:t>条</w:t>
      </w:r>
      <w:r>
        <w:rPr>
          <w:rFonts w:ascii="黑体" w:hAnsi="黑体" w:eastAsia="黑体"/>
          <w:b w:val="false"/>
          <w:bCs w:val="false"/>
          <w:szCs w:val="32"/>
        </w:rPr>
        <w:t xml:space="preserve">  </w:t>
      </w:r>
      <w:r>
        <w:rPr>
          <w:rFonts w:hint="eastAsia" w:eastAsia="仿宋_GB2312"/>
          <w:b w:val="false"/>
          <w:bCs w:val="false"/>
          <w:color w:val="000000"/>
          <w:szCs w:val="32"/>
        </w:rPr>
        <w:t>市人民</w:t>
      </w:r>
      <w:r>
        <w:rPr>
          <w:rFonts w:cs="Times New Roman" w:hint="eastAsia" w:eastAsia="仿宋_GB2312"/>
          <w:b w:val="false"/>
          <w:bCs w:val="false"/>
          <w:color w:val="000000"/>
          <w:szCs w:val="32"/>
        </w:rPr>
        <w:t>政府</w:t>
      </w:r>
      <w:r>
        <w:rPr>
          <w:rFonts w:cs="Times New Roman" w:hint="eastAsia" w:eastAsia="仿宋_GB2312"/>
          <w:b w:val="false"/>
          <w:bCs w:val="false"/>
          <w:color w:val="000000"/>
          <w:szCs w:val="32"/>
          <w:lang w:val="en"/>
        </w:rPr>
        <w:t>对本市防范和处置非法集资工作负总责，各级人民政府应当建立健全政府统一领导的</w:t>
      </w:r>
      <w:r>
        <w:rPr>
          <w:rFonts w:cs="Times New Roman" w:hint="eastAsia" w:eastAsia="仿宋_GB2312"/>
          <w:b w:val="false"/>
          <w:bCs w:val="false"/>
          <w:color w:val="000000"/>
          <w:szCs w:val="32"/>
        </w:rPr>
        <w:t>防范和处置非法集资工作机制。</w:t>
      </w:r>
    </w:p>
    <w:p>
      <w:pPr>
        <w:pStyle w:val="BodyText"/>
        <w:keepNext w:val="false"/>
        <w:keepLines w:val="false"/>
        <w:pageBreakBefore w:val="false"/>
        <w:kinsoku w:val="true"/>
        <w:overflowPunct w:val="true"/>
        <w:autoSpaceDE w:val="true"/>
        <w:bidi w:val="0"/>
        <w:snapToGrid w:val="true"/>
        <w:spacing w:lineRule="auto" w:line="240"/>
        <w:ind w:firstLineChars="200" w:startChars="0" w:start="0" w:endChars="0" w:end="0"/>
        <w:rPr>
          <w:rFonts w:eastAsia="仿宋_GB2312" w:cs="Times New Roman" w:hint="eastAsia"/>
          <w:b w:val="false"/>
          <w:bCs w:val="false"/>
          <w:color w:val="000000"/>
          <w:position w:val="0"/>
          <w:sz w:val="24"/>
          <w:szCs w:val="32"/>
          <w:highlight w:val="none"/>
          <w:vertAlign w:val="baseline"/>
        </w:rPr>
      </w:pPr>
      <w:r>
        <w:rPr>
          <w:rFonts w:cs="Times New Roman" w:hint="eastAsia" w:eastAsia="仿宋_GB2312"/>
          <w:b w:val="false"/>
          <w:bCs w:val="false"/>
          <w:color w:val="000000"/>
          <w:szCs w:val="32"/>
        </w:rPr>
        <w:t>地方金融监督管理部门应当会同公安、市场监管等有关部门依法打击非法金融活动，防范和处置非法集资。地方金融监督管理部门和行业主管部门、监管部门发现本行政区域或者本行业、本领域可能存在非法集资风险的，应当依法对相关单位和个人进行警示约谈，责令整改。</w:t>
      </w:r>
    </w:p>
    <w:p>
      <w:pPr>
        <w:pStyle w:val="BodyText"/>
        <w:keepNext w:val="false"/>
        <w:keepLines w:val="false"/>
        <w:pageBreakBefore w:val="false"/>
        <w:kinsoku w:val="true"/>
        <w:overflowPunct w:val="true"/>
        <w:autoSpaceDE w:val="true"/>
        <w:bidi w:val="0"/>
        <w:snapToGrid w:val="true"/>
        <w:spacing w:lineRule="auto" w:line="240"/>
        <w:ind w:firstLineChars="200" w:startChars="0" w:start="0" w:endChars="0" w:end="0"/>
        <w:jc w:val="both"/>
        <w:rPr>
          <w:rFonts w:ascii="宋体" w:hAnsi="宋体" w:eastAsia="仿宋_GB2312" w:cs="宋体" w:hint="eastAsia"/>
          <w:b w:val="false"/>
          <w:bCs w:val="false"/>
          <w:color w:val="000000"/>
          <w:sz w:val="32"/>
          <w:szCs w:val="32"/>
          <w:highlight w:val="none"/>
          <w:lang w:val="en"/>
        </w:rPr>
      </w:pPr>
      <w:r>
        <w:rPr>
          <w:rFonts w:ascii="黑体" w:hAnsi="黑体" w:hint="eastAsia" w:eastAsia="黑体"/>
          <w:b w:val="false"/>
          <w:bCs w:val="false"/>
          <w:color w:val="000000"/>
          <w:sz w:val="32"/>
          <w:szCs w:val="32"/>
        </w:rPr>
        <w:t>第五十条</w:t>
      </w:r>
      <w:r>
        <w:rPr>
          <w:rFonts w:ascii="黑体" w:hAnsi="黑体" w:eastAsia="黑体"/>
          <w:b w:val="false"/>
          <w:bCs w:val="false"/>
          <w:sz w:val="32"/>
          <w:szCs w:val="32"/>
        </w:rPr>
        <w:t xml:space="preserve">  </w:t>
      </w:r>
      <w:r>
        <w:rPr>
          <w:rFonts w:hint="eastAsia" w:eastAsia="仿宋_GB2312"/>
          <w:b w:val="false"/>
          <w:bCs w:val="false"/>
          <w:color w:val="000000"/>
          <w:sz w:val="32"/>
          <w:szCs w:val="32"/>
          <w:lang w:val="en"/>
        </w:rPr>
        <w:t>市和区</w:t>
      </w:r>
      <w:r>
        <w:rPr>
          <w:rFonts w:ascii="宋体" w:hAnsi="宋体" w:cs="宋体" w:hint="eastAsia" w:eastAsia="仿宋_GB2312"/>
          <w:b w:val="false"/>
          <w:bCs w:val="false"/>
          <w:color w:val="000000"/>
          <w:sz w:val="32"/>
          <w:szCs w:val="32"/>
          <w:lang w:val="en"/>
        </w:rPr>
        <w:t>人民政府应当加强对安全生产工作的领导，建立健全安全生产工作协调机制，</w:t>
      </w:r>
      <w:r>
        <w:rPr>
          <w:rFonts w:ascii="宋体" w:hAnsi="宋体" w:cs="宋体" w:hint="eastAsia" w:eastAsia="仿宋_GB2312"/>
          <w:b w:val="false"/>
          <w:bCs w:val="false"/>
          <w:color w:val="000000"/>
          <w:sz w:val="32"/>
          <w:szCs w:val="32"/>
        </w:rPr>
        <w:t>支持、督促各有关部门依法履行安全生产监督管理职责，</w:t>
      </w:r>
      <w:r>
        <w:rPr>
          <w:rFonts w:ascii="宋体" w:hAnsi="宋体" w:cs="宋体" w:hint="eastAsia" w:eastAsia="仿宋_GB2312"/>
          <w:b w:val="false"/>
          <w:bCs w:val="false"/>
          <w:color w:val="000000"/>
          <w:sz w:val="32"/>
          <w:szCs w:val="32"/>
          <w:lang w:val="en"/>
        </w:rPr>
        <w:t>及时协调、解决安全生产监督管理中存在的重大问题。</w:t>
      </w:r>
    </w:p>
    <w:p>
      <w:pPr>
        <w:pStyle w:val="BodyText"/>
        <w:keepNext w:val="false"/>
        <w:keepLines w:val="false"/>
        <w:pageBreakBefore w:val="false"/>
        <w:kinsoku w:val="true"/>
        <w:overflowPunct w:val="true"/>
        <w:autoSpaceDE w:val="true"/>
        <w:bidi w:val="0"/>
        <w:snapToGrid w:val="true"/>
        <w:spacing w:lineRule="auto" w:line="240"/>
        <w:ind w:firstLineChars="200" w:startChars="0" w:start="0" w:endChars="0" w:end="0"/>
        <w:jc w:val="both"/>
        <w:rPr>
          <w:rFonts w:ascii="宋体" w:hAnsi="宋体" w:eastAsia="仿宋_GB2312" w:cs="宋体" w:hint="eastAsia"/>
          <w:b w:val="false"/>
          <w:bCs w:val="false"/>
          <w:color w:val="000000"/>
          <w:sz w:val="32"/>
          <w:szCs w:val="32"/>
          <w:highlight w:val="none"/>
          <w:lang w:val="en"/>
        </w:rPr>
      </w:pPr>
      <w:r>
        <w:rPr>
          <w:rFonts w:ascii="宋体" w:hAnsi="宋体" w:cs="宋体" w:hint="eastAsia" w:eastAsia="仿宋_GB2312"/>
          <w:b w:val="false"/>
          <w:bCs w:val="false"/>
          <w:color w:val="000000"/>
          <w:sz w:val="32"/>
          <w:szCs w:val="32"/>
          <w:lang w:val="en"/>
        </w:rPr>
        <w:t>应急管理、发展改革、工业和信息化、交通运输、城市管理、市场监管等负有安全生产监督管理职责的部门，应当按照职责做好安全生产专项监督管理工作，依法建立健全安全风险评估与论证机制、隐患排查治理制度，对重大事故隐患实行挂牌督办。</w:t>
      </w:r>
    </w:p>
    <w:p>
      <w:pPr>
        <w:pStyle w:val="BodyText"/>
        <w:keepNext w:val="false"/>
        <w:keepLines w:val="false"/>
        <w:pageBreakBefore w:val="false"/>
        <w:kinsoku w:val="true"/>
        <w:overflowPunct w:val="true"/>
        <w:autoSpaceDE w:val="true"/>
        <w:bidi w:val="0"/>
        <w:snapToGrid w:val="true"/>
        <w:spacing w:lineRule="auto" w:line="240"/>
        <w:ind w:firstLineChars="200" w:startChars="0" w:start="0" w:endChars="0" w:end="0"/>
        <w:jc w:val="both"/>
        <w:rPr>
          <w:rFonts w:ascii="宋体" w:hAnsi="宋体" w:eastAsia="仿宋_GB2312" w:cs="宋体" w:hint="eastAsia"/>
          <w:b w:val="false"/>
          <w:bCs w:val="false"/>
          <w:color w:val="000000"/>
          <w:sz w:val="32"/>
          <w:szCs w:val="32"/>
          <w:highlight w:val="none"/>
          <w:lang w:val="en"/>
        </w:rPr>
      </w:pPr>
      <w:r>
        <w:rPr>
          <w:rFonts w:ascii="宋体" w:hAnsi="宋体" w:cs="宋体" w:hint="eastAsia" w:eastAsia="仿宋_GB2312"/>
          <w:b w:val="false"/>
          <w:bCs w:val="false"/>
          <w:color w:val="000000"/>
          <w:sz w:val="32"/>
          <w:szCs w:val="32"/>
          <w:lang w:val="en"/>
        </w:rPr>
        <w:t>生产经营单位</w:t>
      </w:r>
      <w:r>
        <w:rPr>
          <w:rFonts w:ascii="宋体" w:hAnsi="宋体" w:cs="宋体" w:hint="eastAsia" w:eastAsia="仿宋_GB2312"/>
          <w:b w:val="false"/>
          <w:bCs w:val="false"/>
          <w:color w:val="000000"/>
          <w:sz w:val="32"/>
          <w:szCs w:val="32"/>
        </w:rPr>
        <w:t>应当遵守安全生产相关法律、法规，加强安全生产管理，建立健全全员安全生产责任制和安全生产规章制度，加大对安全生产资金、物资、技术、人员的投入保障力度，改善安全生产条件，加强安全生产标准化、信息化建设，构建安全风险分级管控和隐患排查治理双重预防机制，健全风险防范化解机制，提高安全生产水平，确保安全生产</w:t>
      </w:r>
      <w:r>
        <w:rPr>
          <w:rFonts w:ascii="宋体" w:hAnsi="宋体" w:cs="宋体" w:hint="eastAsia" w:eastAsia="仿宋_GB2312"/>
          <w:b w:val="false"/>
          <w:bCs w:val="false"/>
          <w:color w:val="000000"/>
          <w:sz w:val="32"/>
          <w:szCs w:val="32"/>
          <w:lang w:val="en"/>
        </w:rPr>
        <w:t>。</w:t>
      </w:r>
    </w:p>
    <w:p>
      <w:pPr>
        <w:pStyle w:val="BodyText"/>
        <w:keepNext w:val="false"/>
        <w:keepLines w:val="false"/>
        <w:pageBreakBefore w:val="false"/>
        <w:kinsoku w:val="true"/>
        <w:overflowPunct w:val="true"/>
        <w:autoSpaceDE w:val="true"/>
        <w:bidi w:val="0"/>
        <w:snapToGrid w:val="true"/>
        <w:spacing w:lineRule="auto" w:line="240"/>
        <w:ind w:firstLineChars="200" w:startChars="0" w:start="0" w:endChars="0" w:end="0"/>
        <w:jc w:val="both"/>
        <w:rPr>
          <w:rFonts w:ascii="宋体" w:hAnsi="宋体" w:eastAsia="仿宋_GB2312" w:cs="宋体" w:hint="eastAsia"/>
          <w:b w:val="false"/>
          <w:bCs w:val="false"/>
          <w:color w:val="000000"/>
          <w:sz w:val="32"/>
          <w:szCs w:val="32"/>
          <w:highlight w:val="none"/>
        </w:rPr>
      </w:pPr>
      <w:r>
        <w:rPr>
          <w:rFonts w:ascii="黑体" w:hAnsi="黑体" w:hint="eastAsia" w:eastAsia="黑体"/>
          <w:b w:val="false"/>
          <w:bCs w:val="false"/>
          <w:color w:val="000000"/>
          <w:sz w:val="32"/>
          <w:szCs w:val="32"/>
        </w:rPr>
        <w:t>第</w:t>
      </w:r>
      <w:r>
        <w:rPr>
          <w:rFonts w:ascii="黑体" w:hAnsi="黑体" w:eastAsia="黑体"/>
          <w:b w:val="false"/>
          <w:bCs w:val="false"/>
          <w:color w:val="000000"/>
          <w:sz w:val="32"/>
          <w:szCs w:val="32"/>
        </w:rPr>
        <w:t>五十</w:t>
      </w:r>
      <w:r>
        <w:rPr>
          <w:rFonts w:ascii="黑体" w:hAnsi="黑体" w:hint="eastAsia" w:eastAsia="黑体"/>
          <w:b w:val="false"/>
          <w:bCs w:val="false"/>
          <w:color w:val="000000"/>
          <w:sz w:val="32"/>
          <w:szCs w:val="32"/>
        </w:rPr>
        <w:t>一条</w:t>
      </w:r>
      <w:r>
        <w:rPr>
          <w:rFonts w:ascii="黑体" w:hAnsi="黑体" w:eastAsia="黑体"/>
          <w:b w:val="false"/>
          <w:bCs w:val="false"/>
          <w:sz w:val="32"/>
          <w:szCs w:val="32"/>
        </w:rPr>
        <w:t xml:space="preserve">  </w:t>
      </w:r>
      <w:r>
        <w:rPr>
          <w:rFonts w:ascii="宋体" w:hAnsi="宋体" w:cs="宋体" w:hint="eastAsia" w:eastAsia="仿宋_GB2312"/>
          <w:b w:val="false"/>
          <w:bCs w:val="false"/>
          <w:color w:val="000000"/>
          <w:sz w:val="32"/>
          <w:szCs w:val="32"/>
        </w:rPr>
        <w:t>市和区人民政府应当统一领导、组织、协调本行政区域的食品安全监督管理工作以及食品安全突发事件应对工作，建立健全食品安全全程监督管理工作机制和信息共享机制。</w:t>
      </w:r>
    </w:p>
    <w:p>
      <w:pPr>
        <w:pStyle w:val="BodyText"/>
        <w:keepNext w:val="false"/>
        <w:keepLines w:val="false"/>
        <w:pageBreakBefore w:val="false"/>
        <w:kinsoku w:val="true"/>
        <w:overflowPunct w:val="true"/>
        <w:autoSpaceDE w:val="true"/>
        <w:bidi w:val="0"/>
        <w:snapToGrid w:val="true"/>
        <w:spacing w:lineRule="auto" w:line="240"/>
        <w:ind w:firstLineChars="200" w:startChars="0" w:start="0" w:endChars="0" w:end="0"/>
        <w:jc w:val="both"/>
        <w:rPr>
          <w:rFonts w:ascii="宋体" w:hAnsi="宋体" w:eastAsia="仿宋_GB2312" w:cs="宋体" w:hint="eastAsia"/>
          <w:b w:val="false"/>
          <w:bCs w:val="false"/>
          <w:color w:val="000000"/>
          <w:sz w:val="32"/>
          <w:szCs w:val="32"/>
          <w:highlight w:val="none"/>
          <w:lang w:val="en"/>
        </w:rPr>
      </w:pPr>
      <w:r>
        <w:rPr>
          <w:rFonts w:ascii="宋体" w:hAnsi="宋体" w:cs="宋体" w:hint="eastAsia" w:eastAsia="仿宋_GB2312"/>
          <w:b w:val="false"/>
          <w:bCs w:val="false"/>
          <w:color w:val="000000"/>
          <w:sz w:val="32"/>
          <w:szCs w:val="32"/>
          <w:lang w:val="en"/>
        </w:rPr>
        <w:t>市场监管部门和其他有关部门应当加强沟通、密切配合，按照职责分工，依法履行食品安全监督管理职责。</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eastAsia="仿宋_GB2312" w:hint="eastAsia"/>
          <w:b w:val="false"/>
          <w:bCs w:val="false"/>
          <w:color w:val="000000"/>
          <w:sz w:val="32"/>
          <w:szCs w:val="32"/>
          <w:highlight w:val="none"/>
        </w:rPr>
      </w:pPr>
      <w:r>
        <w:rPr>
          <w:rFonts w:ascii="黑体" w:hAnsi="黑体" w:hint="eastAsia" w:eastAsia="黑体"/>
          <w:b w:val="false"/>
          <w:bCs w:val="false"/>
          <w:color w:val="000000"/>
          <w:sz w:val="32"/>
          <w:szCs w:val="32"/>
        </w:rPr>
        <w:t>第五十二条</w:t>
      </w:r>
      <w:r>
        <w:rPr>
          <w:rFonts w:ascii="黑体" w:hAnsi="黑体" w:eastAsia="黑体"/>
          <w:b w:val="false"/>
          <w:bCs w:val="false"/>
          <w:sz w:val="32"/>
          <w:szCs w:val="32"/>
        </w:rPr>
        <w:t xml:space="preserve">  </w:t>
      </w:r>
      <w:r>
        <w:rPr>
          <w:rFonts w:hint="eastAsia"/>
          <w:b w:val="false"/>
          <w:bCs w:val="false"/>
          <w:color w:val="000000"/>
          <w:sz w:val="32"/>
          <w:szCs w:val="32"/>
        </w:rPr>
        <w:t>卫生健康部门应当监督、指导医院安全秩序管理工作，维护医院正常医疗秩序，保护医患双方合法权益。</w:t>
      </w:r>
    </w:p>
    <w:p>
      <w:pPr>
        <w:pStyle w:val="BodyText"/>
        <w:keepNext w:val="false"/>
        <w:keepLines w:val="false"/>
        <w:pageBreakBefore w:val="false"/>
        <w:kinsoku w:val="true"/>
        <w:overflowPunct w:val="true"/>
        <w:autoSpaceDE w:val="true"/>
        <w:bidi w:val="0"/>
        <w:snapToGrid w:val="true"/>
        <w:spacing w:lineRule="auto" w:line="240"/>
        <w:ind w:firstLineChars="200" w:startChars="0" w:start="0" w:endChars="0" w:end="0"/>
        <w:jc w:val="both"/>
        <w:rPr>
          <w:rFonts w:eastAsia="仿宋_GB2312" w:cs="Times New Roman" w:hint="eastAsia"/>
          <w:b w:val="false"/>
          <w:bCs w:val="false"/>
          <w:color w:val="000000"/>
          <w:sz w:val="32"/>
          <w:szCs w:val="32"/>
          <w:highlight w:val="none"/>
        </w:rPr>
      </w:pPr>
      <w:r>
        <w:rPr>
          <w:rFonts w:ascii="宋体" w:hAnsi="宋体" w:cs="宋体" w:hint="eastAsia" w:eastAsia="仿宋_GB2312"/>
          <w:b w:val="false"/>
          <w:bCs w:val="false"/>
          <w:color w:val="000000"/>
          <w:sz w:val="32"/>
          <w:szCs w:val="32"/>
        </w:rPr>
        <w:t>公安机关应当</w:t>
      </w:r>
      <w:r>
        <w:rPr>
          <w:rFonts w:cs="宋体" w:hint="eastAsia" w:eastAsia="仿宋_GB2312"/>
          <w:b w:val="false"/>
          <w:bCs w:val="false"/>
          <w:color w:val="000000"/>
          <w:sz w:val="32"/>
          <w:szCs w:val="32"/>
        </w:rPr>
        <w:t>依法</w:t>
      </w:r>
      <w:r>
        <w:rPr>
          <w:rFonts w:ascii="宋体" w:hAnsi="宋体" w:cs="宋体" w:hint="eastAsia" w:eastAsia="仿宋_GB2312"/>
          <w:b w:val="false"/>
          <w:bCs w:val="false"/>
          <w:color w:val="000000"/>
          <w:sz w:val="32"/>
          <w:szCs w:val="32"/>
        </w:rPr>
        <w:t>维护</w:t>
      </w:r>
      <w:r>
        <w:rPr>
          <w:rFonts w:hint="eastAsia" w:eastAsia="仿宋_GB2312"/>
          <w:b w:val="false"/>
          <w:bCs w:val="false"/>
          <w:color w:val="000000"/>
          <w:sz w:val="32"/>
          <w:szCs w:val="32"/>
        </w:rPr>
        <w:t>医院安全秩序</w:t>
      </w:r>
      <w:r>
        <w:rPr>
          <w:rFonts w:ascii="宋体" w:hAnsi="宋体" w:cs="宋体" w:hint="eastAsia" w:eastAsia="仿宋_GB2312"/>
          <w:b w:val="false"/>
          <w:bCs w:val="false"/>
          <w:color w:val="000000"/>
          <w:sz w:val="32"/>
          <w:szCs w:val="32"/>
        </w:rPr>
        <w:t>，</w:t>
      </w:r>
      <w:r>
        <w:rPr>
          <w:rFonts w:cs="宋体" w:hint="eastAsia" w:eastAsia="仿宋_GB2312"/>
          <w:b w:val="false"/>
          <w:bCs w:val="false"/>
          <w:color w:val="000000"/>
          <w:sz w:val="32"/>
          <w:szCs w:val="32"/>
        </w:rPr>
        <w:t>按照规定设立警务室，配备相应警力；</w:t>
      </w:r>
      <w:r>
        <w:rPr>
          <w:rFonts w:ascii="宋体" w:hAnsi="宋体" w:cs="宋体" w:hint="eastAsia" w:eastAsia="仿宋_GB2312"/>
          <w:b w:val="false"/>
          <w:bCs w:val="false"/>
          <w:color w:val="000000"/>
          <w:sz w:val="32"/>
          <w:szCs w:val="32"/>
        </w:rPr>
        <w:t>依法查处、打击侵害患者和医务人员人身安全以及扰乱</w:t>
      </w:r>
      <w:r>
        <w:rPr>
          <w:rFonts w:hint="eastAsia" w:eastAsia="仿宋_GB2312"/>
          <w:b w:val="false"/>
          <w:bCs w:val="false"/>
          <w:color w:val="000000"/>
          <w:sz w:val="32"/>
          <w:szCs w:val="32"/>
        </w:rPr>
        <w:t>医院安全秩序</w:t>
      </w:r>
      <w:r>
        <w:rPr>
          <w:rFonts w:ascii="宋体" w:hAnsi="宋体" w:cs="宋体" w:hint="eastAsia" w:eastAsia="仿宋_GB2312"/>
          <w:b w:val="false"/>
          <w:bCs w:val="false"/>
          <w:color w:val="000000"/>
          <w:sz w:val="32"/>
          <w:szCs w:val="32"/>
        </w:rPr>
        <w:t>等违法犯罪行为，保障患者和医护人员人身安全、财产安全。</w:t>
      </w:r>
    </w:p>
    <w:p>
      <w:pPr>
        <w:pStyle w:val="BodyText"/>
        <w:keepNext w:val="false"/>
        <w:keepLines w:val="false"/>
        <w:pageBreakBefore w:val="false"/>
        <w:kinsoku w:val="true"/>
        <w:overflowPunct w:val="true"/>
        <w:autoSpaceDE w:val="true"/>
        <w:bidi w:val="0"/>
        <w:snapToGrid w:val="true"/>
        <w:spacing w:lineRule="auto" w:line="240"/>
        <w:ind w:firstLineChars="200" w:startChars="0" w:start="0" w:endChars="0" w:end="0"/>
        <w:jc w:val="both"/>
        <w:rPr>
          <w:rFonts w:eastAsia="仿宋_GB2312" w:cs="Times New Roman" w:hint="eastAsia"/>
          <w:b w:val="false"/>
          <w:bCs w:val="false"/>
          <w:color w:val="000000"/>
          <w:sz w:val="32"/>
          <w:szCs w:val="32"/>
          <w:highlight w:val="none"/>
        </w:rPr>
      </w:pPr>
      <w:r>
        <w:rPr>
          <w:rFonts w:cs="Times New Roman" w:hint="eastAsia" w:eastAsia="仿宋_GB2312"/>
          <w:b w:val="false"/>
          <w:bCs w:val="false"/>
          <w:color w:val="000000"/>
          <w:sz w:val="32"/>
          <w:szCs w:val="32"/>
        </w:rPr>
        <w:t>医院应当建立安全秩序管理责任制，健全安全保卫制度，配备或者聘用符合条件的人员从事保安工作，加强安全防护设施配备，履行医院安全秩序管理主体责任。</w:t>
      </w:r>
    </w:p>
    <w:p>
      <w:pPr>
        <w:pStyle w:val="BodyText"/>
        <w:keepNext w:val="false"/>
        <w:keepLines w:val="false"/>
        <w:pageBreakBefore w:val="false"/>
        <w:kinsoku w:val="true"/>
        <w:overflowPunct w:val="true"/>
        <w:autoSpaceDE w:val="true"/>
        <w:bidi w:val="0"/>
        <w:snapToGrid w:val="true"/>
        <w:spacing w:lineRule="auto" w:line="240"/>
        <w:ind w:firstLineChars="200" w:startChars="0" w:start="0" w:endChars="0" w:end="0"/>
        <w:jc w:val="both"/>
        <w:rPr>
          <w:rFonts w:eastAsia="仿宋_GB2312" w:cs="Times New Roman" w:hint="eastAsia"/>
          <w:b w:val="false"/>
          <w:bCs w:val="false"/>
          <w:color w:val="000000"/>
          <w:sz w:val="32"/>
          <w:szCs w:val="32"/>
          <w:highlight w:val="none"/>
        </w:rPr>
      </w:pPr>
      <w:r>
        <w:rPr>
          <w:rFonts w:ascii="黑体" w:hAnsi="黑体" w:hint="eastAsia" w:eastAsia="黑体"/>
          <w:b w:val="false"/>
          <w:bCs w:val="false"/>
          <w:color w:val="000000"/>
          <w:sz w:val="32"/>
          <w:szCs w:val="32"/>
        </w:rPr>
        <w:t>第</w:t>
      </w:r>
      <w:r>
        <w:rPr>
          <w:rFonts w:ascii="黑体" w:hAnsi="黑体" w:eastAsia="黑体"/>
          <w:b w:val="false"/>
          <w:bCs w:val="false"/>
          <w:color w:val="000000"/>
          <w:sz w:val="32"/>
          <w:szCs w:val="32"/>
        </w:rPr>
        <w:t>五十</w:t>
      </w:r>
      <w:r>
        <w:rPr>
          <w:rFonts w:ascii="黑体" w:hAnsi="黑体" w:hint="eastAsia" w:eastAsia="黑体"/>
          <w:b w:val="false"/>
          <w:bCs w:val="false"/>
          <w:color w:val="000000"/>
          <w:sz w:val="32"/>
          <w:szCs w:val="32"/>
        </w:rPr>
        <w:t>三条</w:t>
      </w:r>
      <w:r>
        <w:rPr>
          <w:rFonts w:ascii="黑体" w:hAnsi="黑体" w:eastAsia="黑体"/>
          <w:b w:val="false"/>
          <w:bCs w:val="false"/>
          <w:sz w:val="32"/>
          <w:szCs w:val="32"/>
        </w:rPr>
        <w:t xml:space="preserve">  </w:t>
      </w:r>
      <w:r>
        <w:rPr>
          <w:rFonts w:hint="eastAsia" w:eastAsia="仿宋_GB2312"/>
          <w:b w:val="false"/>
          <w:bCs w:val="false"/>
          <w:color w:val="000000"/>
          <w:sz w:val="32"/>
          <w:szCs w:val="32"/>
        </w:rPr>
        <w:t>教育、人</w:t>
      </w:r>
      <w:r>
        <w:rPr>
          <w:rFonts w:cs="Times New Roman" w:hint="eastAsia" w:eastAsia="仿宋_GB2312"/>
          <w:b w:val="false"/>
          <w:bCs w:val="false"/>
          <w:color w:val="000000"/>
          <w:sz w:val="32"/>
          <w:szCs w:val="32"/>
        </w:rPr>
        <w:t>力资源社会保障等部门应当依法加强对学校安全管理工作的监督、检查和考核，督促学校建立并落实安全管理制度，及时消除安全隐患，保障学生、教职工合法权益。</w:t>
      </w:r>
    </w:p>
    <w:p>
      <w:pPr>
        <w:pStyle w:val="BodyText"/>
        <w:keepNext w:val="false"/>
        <w:keepLines w:val="false"/>
        <w:pageBreakBefore w:val="false"/>
        <w:kinsoku w:val="true"/>
        <w:overflowPunct w:val="true"/>
        <w:autoSpaceDE w:val="true"/>
        <w:bidi w:val="0"/>
        <w:snapToGrid w:val="true"/>
        <w:spacing w:lineRule="auto" w:line="240"/>
        <w:ind w:firstLineChars="200" w:startChars="0" w:start="0" w:endChars="0" w:end="0"/>
        <w:jc w:val="both"/>
        <w:rPr>
          <w:rFonts w:eastAsia="仿宋_GB2312" w:cs="Times New Roman" w:hint="eastAsia"/>
          <w:b w:val="false"/>
          <w:bCs w:val="false"/>
          <w:color w:val="000000"/>
          <w:sz w:val="32"/>
          <w:szCs w:val="32"/>
          <w:highlight w:val="none"/>
        </w:rPr>
      </w:pPr>
      <w:r>
        <w:rPr>
          <w:rFonts w:cs="Times New Roman" w:hint="eastAsia" w:eastAsia="仿宋_GB2312"/>
          <w:b w:val="false"/>
          <w:bCs w:val="false"/>
          <w:color w:val="000000"/>
          <w:sz w:val="32"/>
          <w:szCs w:val="32"/>
        </w:rPr>
        <w:t>公安机关应当依法对学校保安服务工作情况以及技防设施设备使用情况进行监督检查，及时制止和查处危害师生人身安全、财产安全的违法行为，在学生上学和放学时段安排警力维护学校周边治安和交通秩序。</w:t>
      </w:r>
    </w:p>
    <w:p>
      <w:pPr>
        <w:pStyle w:val="BodyText"/>
        <w:keepNext w:val="false"/>
        <w:keepLines w:val="false"/>
        <w:pageBreakBefore w:val="false"/>
        <w:kinsoku w:val="true"/>
        <w:overflowPunct w:val="true"/>
        <w:autoSpaceDE w:val="true"/>
        <w:bidi w:val="0"/>
        <w:snapToGrid w:val="true"/>
        <w:spacing w:lineRule="auto" w:line="240"/>
        <w:ind w:firstLineChars="200" w:startChars="0" w:start="0" w:endChars="0" w:end="0"/>
        <w:jc w:val="both"/>
        <w:rPr>
          <w:rFonts w:eastAsia="仿宋_GB2312" w:cs="Times New Roman" w:hint="eastAsia"/>
          <w:b w:val="false"/>
          <w:bCs w:val="false"/>
          <w:color w:val="000000"/>
          <w:sz w:val="32"/>
          <w:szCs w:val="32"/>
          <w:highlight w:val="none"/>
        </w:rPr>
      </w:pPr>
      <w:r>
        <w:rPr>
          <w:rFonts w:cs="Times New Roman" w:hint="eastAsia" w:eastAsia="仿宋_GB2312"/>
          <w:b w:val="false"/>
          <w:bCs w:val="false"/>
          <w:color w:val="000000"/>
          <w:sz w:val="32"/>
          <w:szCs w:val="32"/>
        </w:rPr>
        <w:t>教育、市场监管、卫生健康、公安等部门应当按照职责，依法加强对学校食堂、学校校外配餐企业的监督管理，督促学校建立健全饮食卫生安全制度，保障学校食品安全。</w:t>
      </w:r>
    </w:p>
    <w:p>
      <w:pPr>
        <w:pStyle w:val="BodyText"/>
        <w:keepNext w:val="false"/>
        <w:keepLines w:val="false"/>
        <w:pageBreakBefore w:val="false"/>
        <w:kinsoku w:val="true"/>
        <w:overflowPunct w:val="true"/>
        <w:autoSpaceDE w:val="true"/>
        <w:bidi w:val="0"/>
        <w:snapToGrid w:val="true"/>
        <w:spacing w:lineRule="auto" w:line="240"/>
        <w:ind w:firstLineChars="200" w:startChars="0" w:start="0" w:endChars="0" w:end="0"/>
        <w:jc w:val="both"/>
        <w:rPr>
          <w:rFonts w:eastAsia="仿宋_GB2312" w:cs="Times New Roman" w:hint="eastAsia"/>
          <w:b w:val="false"/>
          <w:bCs w:val="false"/>
          <w:color w:val="000000"/>
          <w:sz w:val="32"/>
          <w:szCs w:val="32"/>
          <w:highlight w:val="none"/>
        </w:rPr>
      </w:pPr>
      <w:r>
        <w:rPr>
          <w:rFonts w:cs="Times New Roman" w:hint="eastAsia" w:eastAsia="仿宋_GB2312"/>
          <w:b w:val="false"/>
          <w:bCs w:val="false"/>
          <w:color w:val="000000"/>
          <w:sz w:val="32"/>
          <w:szCs w:val="32"/>
        </w:rPr>
        <w:t>学校应当建立并落实内部安全管理、周边安全、消防安全、食品安全、校园欺凌防控等安全管理制度。学校按照规定聘任的法治副校长，履职期间应当协助开展法治教育、学生保护、安全管理、预防犯罪、依法治理等工作。</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eastAsia="仿宋_GB2312" w:hint="eastAsia"/>
          <w:b w:val="false"/>
          <w:bCs w:val="false"/>
          <w:color w:val="000000"/>
          <w:position w:val="0"/>
          <w:sz w:val="24"/>
          <w:szCs w:val="32"/>
          <w:highlight w:val="none"/>
          <w:vertAlign w:val="baseline"/>
        </w:rPr>
      </w:pPr>
      <w:r>
        <w:rPr>
          <w:rFonts w:ascii="黑体" w:hAnsi="黑体" w:hint="eastAsia" w:eastAsia="黑体"/>
          <w:b w:val="false"/>
          <w:bCs w:val="false"/>
          <w:color w:val="000000"/>
          <w:sz w:val="32"/>
          <w:szCs w:val="32"/>
        </w:rPr>
        <w:t>第</w:t>
      </w:r>
      <w:r>
        <w:rPr>
          <w:rFonts w:ascii="黑体" w:hAnsi="黑体" w:eastAsia="黑体"/>
          <w:b w:val="false"/>
          <w:bCs w:val="false"/>
          <w:color w:val="000000"/>
          <w:sz w:val="32"/>
          <w:szCs w:val="32"/>
        </w:rPr>
        <w:t>五十</w:t>
      </w:r>
      <w:r>
        <w:rPr>
          <w:rFonts w:ascii="黑体" w:hAnsi="黑体" w:hint="eastAsia" w:eastAsia="黑体"/>
          <w:b w:val="false"/>
          <w:bCs w:val="false"/>
          <w:color w:val="000000"/>
          <w:sz w:val="32"/>
          <w:szCs w:val="32"/>
        </w:rPr>
        <w:t>四条</w:t>
      </w:r>
      <w:r>
        <w:rPr>
          <w:rFonts w:ascii="黑体" w:hAnsi="黑体" w:eastAsia="黑体"/>
          <w:b w:val="false"/>
          <w:bCs w:val="false"/>
          <w:sz w:val="32"/>
          <w:szCs w:val="32"/>
        </w:rPr>
        <w:t xml:space="preserve">  </w:t>
      </w:r>
      <w:r>
        <w:rPr>
          <w:rFonts w:hint="eastAsia"/>
          <w:b w:val="false"/>
          <w:bCs w:val="false"/>
          <w:color w:val="000000"/>
          <w:szCs w:val="32"/>
        </w:rPr>
        <w:t>人力资源社会保障等部门应当依法对用人单位遵守劳动法律</w:t>
      </w:r>
      <w:r>
        <w:rPr>
          <w:rFonts w:hint="eastAsia"/>
          <w:b w:val="false"/>
          <w:bCs w:val="false"/>
          <w:color w:val="000000"/>
          <w:szCs w:val="32"/>
        </w:rPr>
        <w:t>、</w:t>
      </w:r>
      <w:r>
        <w:rPr>
          <w:rFonts w:hint="eastAsia"/>
          <w:b w:val="false"/>
          <w:bCs w:val="false"/>
          <w:color w:val="000000"/>
          <w:szCs w:val="32"/>
        </w:rPr>
        <w:t>法规的情况进行监督检查，及时处理用人单位违反国家规定拖欠或者未足额支付劳动</w:t>
      </w:r>
      <w:r>
        <w:rPr>
          <w:rFonts w:cs="Times New Roman" w:hint="eastAsia"/>
          <w:b w:val="false"/>
          <w:bCs w:val="false"/>
          <w:color w:val="000000"/>
          <w:szCs w:val="32"/>
        </w:rPr>
        <w:t>报酬等违法用工行为，依法</w:t>
      </w:r>
      <w:r>
        <w:rPr>
          <w:rFonts w:hint="eastAsia"/>
          <w:b w:val="false"/>
          <w:bCs w:val="false"/>
          <w:color w:val="000000"/>
          <w:szCs w:val="32"/>
        </w:rPr>
        <w:t>对劳动</w:t>
      </w:r>
      <w:r>
        <w:rPr>
          <w:rFonts w:hint="eastAsia"/>
          <w:b w:val="false"/>
          <w:bCs w:val="false"/>
          <w:color w:val="000000"/>
          <w:szCs w:val="32"/>
        </w:rPr>
        <w:t>争议</w:t>
      </w:r>
      <w:r>
        <w:rPr>
          <w:rFonts w:hint="eastAsia"/>
          <w:b w:val="false"/>
          <w:bCs w:val="false"/>
          <w:color w:val="000000"/>
          <w:szCs w:val="32"/>
        </w:rPr>
        <w:t>仲裁工作进行指导。</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eastAsia="仿宋_GB2312" w:hint="eastAsia"/>
          <w:b w:val="false"/>
          <w:bCs w:val="false"/>
          <w:color w:val="000000"/>
          <w:sz w:val="32"/>
          <w:szCs w:val="32"/>
          <w:highlight w:val="none"/>
          <w:lang w:val="en"/>
        </w:rPr>
      </w:pPr>
      <w:r>
        <w:rPr>
          <w:rFonts w:ascii="黑体" w:hAnsi="黑体" w:hint="eastAsia" w:eastAsia="黑体"/>
          <w:b w:val="false"/>
          <w:bCs w:val="false"/>
          <w:color w:val="000000"/>
          <w:sz w:val="32"/>
          <w:szCs w:val="32"/>
        </w:rPr>
        <w:t>第五十五条</w:t>
      </w:r>
      <w:r>
        <w:rPr>
          <w:rFonts w:ascii="黑体" w:hAnsi="黑体" w:eastAsia="黑体"/>
          <w:b w:val="false"/>
          <w:bCs w:val="false"/>
          <w:sz w:val="32"/>
          <w:szCs w:val="32"/>
        </w:rPr>
        <w:t xml:space="preserve">  </w:t>
      </w:r>
      <w:r>
        <w:rPr>
          <w:rFonts w:hint="eastAsia"/>
          <w:b w:val="false"/>
          <w:bCs w:val="false"/>
          <w:color w:val="000000"/>
          <w:sz w:val="32"/>
          <w:szCs w:val="32"/>
        </w:rPr>
        <w:t>市和区人民政府应当加强对本行政区域内出租房屋服务管理工作的组织领导，健全完善相关工作机制。</w:t>
      </w:r>
      <w:r>
        <w:rPr>
          <w:rFonts w:hint="eastAsia"/>
          <w:b w:val="false"/>
          <w:bCs w:val="false"/>
          <w:color w:val="000000"/>
          <w:sz w:val="32"/>
          <w:szCs w:val="32"/>
          <w:lang w:val="en"/>
        </w:rPr>
        <w:t>公安、住房城乡建设、市场监管、民政等部门应当按照职责分工，做好出租房屋服务管理工作</w:t>
      </w:r>
      <w:r>
        <w:rPr>
          <w:rFonts w:hint="eastAsia"/>
          <w:b w:val="false"/>
          <w:bCs w:val="false"/>
          <w:color w:val="000000"/>
          <w:sz w:val="32"/>
          <w:szCs w:val="32"/>
        </w:rPr>
        <w:t>。</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both"/>
        <w:rPr>
          <w:rFonts w:ascii="黑体" w:hAnsi="黑体" w:eastAsia="黑体" w:hint="eastAsia"/>
          <w:b w:val="false"/>
          <w:bCs w:val="false"/>
          <w:color w:val="000000"/>
          <w:sz w:val="32"/>
          <w:szCs w:val="32"/>
          <w:highlight w:val="none"/>
        </w:rPr>
      </w:pPr>
      <w:r>
        <w:rPr>
          <w:rFonts w:hint="eastAsia"/>
          <w:b w:val="false"/>
          <w:bCs w:val="false"/>
          <w:color w:val="000000"/>
          <w:sz w:val="32"/>
          <w:szCs w:val="32"/>
          <w:lang w:val="en"/>
        </w:rPr>
        <w:t>房屋</w:t>
      </w:r>
      <w:r>
        <w:rPr>
          <w:rFonts w:hint="eastAsia"/>
          <w:b w:val="false"/>
          <w:bCs w:val="false"/>
          <w:color w:val="000000"/>
          <w:sz w:val="32"/>
          <w:szCs w:val="32"/>
          <w:lang w:val="en"/>
        </w:rPr>
        <w:t>出租人应当按照规定申报房屋出租信息，保障出租房屋设施安全，及时排除或者督促承租人及时排除安全隐患，发现承租人涉嫌违法犯罪的，应当及时向公安机关或者相关部门报告。</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both"/>
        <w:rPr>
          <w:rFonts w:eastAsia="仿宋_GB2312" w:cs="Times New Roman" w:hint="eastAsia"/>
          <w:b w:val="false"/>
          <w:bCs w:val="false"/>
          <w:color w:val="000000"/>
          <w:sz w:val="32"/>
          <w:szCs w:val="32"/>
          <w:highlight w:val="none"/>
        </w:rPr>
      </w:pPr>
      <w:r>
        <w:rPr>
          <w:rFonts w:ascii="黑体" w:hAnsi="黑体" w:hint="eastAsia" w:eastAsia="黑体"/>
          <w:b w:val="false"/>
          <w:bCs w:val="false"/>
          <w:color w:val="000000"/>
          <w:sz w:val="32"/>
          <w:szCs w:val="32"/>
        </w:rPr>
        <w:t>第五十六条</w:t>
      </w:r>
      <w:r>
        <w:rPr>
          <w:rFonts w:ascii="黑体" w:hAnsi="黑体" w:eastAsia="黑体"/>
          <w:b w:val="false"/>
          <w:bCs w:val="false"/>
          <w:sz w:val="32"/>
          <w:szCs w:val="32"/>
        </w:rPr>
        <w:t xml:space="preserve">  </w:t>
      </w:r>
      <w:r>
        <w:rPr>
          <w:rFonts w:cs="Times New Roman" w:hint="eastAsia"/>
          <w:b w:val="false"/>
          <w:bCs w:val="false"/>
          <w:color w:val="000000"/>
          <w:sz w:val="32"/>
          <w:szCs w:val="32"/>
        </w:rPr>
        <w:t>市和区人民政府应急管理部门应当对本行政区域内的消防工作实施监督管理，并由本级消防救援机构负责实施。其他有关部门在各自职责范围内依法依规做好本行业、本领域的消防安全工作。</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both"/>
        <w:rPr>
          <w:rFonts w:eastAsia="仿宋_GB2312" w:cs="Times New Roman" w:hint="eastAsia"/>
          <w:b w:val="false"/>
          <w:bCs w:val="false"/>
          <w:color w:val="000000"/>
          <w:sz w:val="32"/>
          <w:szCs w:val="32"/>
          <w:highlight w:val="none"/>
        </w:rPr>
      </w:pPr>
      <w:r>
        <w:rPr>
          <w:rFonts w:cs="Times New Roman" w:hint="eastAsia"/>
          <w:b w:val="false"/>
          <w:bCs w:val="false"/>
          <w:color w:val="000000"/>
          <w:sz w:val="32"/>
          <w:szCs w:val="32"/>
        </w:rPr>
        <w:t>单位和个人应当严格遵守消防安全相关法律、法规、规章和其他规定，履行维护消防安全、保护消防设施、预防火灾、报告火警的义务。</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both"/>
        <w:rPr>
          <w:rFonts w:eastAsia="仿宋_GB2312" w:cs="Times New Roman" w:hint="eastAsia"/>
          <w:b w:val="false"/>
          <w:bCs w:val="false"/>
          <w:color w:val="000000"/>
          <w:sz w:val="32"/>
          <w:szCs w:val="32"/>
          <w:highlight w:val="none"/>
          <w:lang w:val="en"/>
        </w:rPr>
      </w:pPr>
      <w:r>
        <w:rPr>
          <w:rFonts w:cs="Times New Roman" w:hint="eastAsia"/>
          <w:b w:val="false"/>
          <w:bCs w:val="false"/>
          <w:color w:val="000000"/>
          <w:sz w:val="32"/>
          <w:szCs w:val="32"/>
        </w:rPr>
        <w:t>人员密集场所应当在醒目位置设置视频、警示牌或者采用广播等形式对公众提示消防安全注意事项、安全逃生路线、安全出口的具体位置以及灭火、逃生设备器材的具体位置和使用方法等内容，保障疏散通道、安全出口、消防车通道畅通。</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仿宋_GB2312" w:hAnsi="仿宋_GB2312" w:eastAsia="仿宋_GB2312" w:cs="仿宋_GB2312" w:hint="eastAsia"/>
          <w:b w:val="false"/>
          <w:bCs w:val="false"/>
          <w:color w:val="000000"/>
          <w:sz w:val="32"/>
          <w:szCs w:val="32"/>
          <w:highlight w:val="none"/>
        </w:rPr>
      </w:pPr>
      <w:r>
        <w:rPr>
          <w:rFonts w:ascii="黑体" w:hAnsi="黑体" w:hint="eastAsia" w:eastAsia="黑体"/>
          <w:b w:val="false"/>
          <w:bCs w:val="false"/>
          <w:color w:val="000000"/>
          <w:sz w:val="32"/>
          <w:szCs w:val="32"/>
        </w:rPr>
        <w:t>第五十七条</w:t>
      </w:r>
      <w:r>
        <w:rPr>
          <w:rFonts w:ascii="黑体" w:hAnsi="黑体" w:eastAsia="黑体"/>
          <w:b w:val="false"/>
          <w:bCs w:val="false"/>
          <w:sz w:val="32"/>
          <w:szCs w:val="32"/>
        </w:rPr>
        <w:t xml:space="preserve">  </w:t>
      </w:r>
      <w:r>
        <w:rPr>
          <w:rFonts w:hint="eastAsia"/>
          <w:b w:val="false"/>
          <w:bCs w:val="false"/>
          <w:color w:val="000000"/>
          <w:sz w:val="32"/>
          <w:szCs w:val="32"/>
        </w:rPr>
        <w:t>应急</w:t>
      </w:r>
      <w:r>
        <w:rPr>
          <w:rFonts w:cs="Times New Roman" w:hint="eastAsia"/>
          <w:b w:val="false"/>
          <w:bCs w:val="false"/>
          <w:color w:val="000000"/>
          <w:sz w:val="32"/>
          <w:szCs w:val="32"/>
          <w:lang w:val="en"/>
        </w:rPr>
        <w:t>管理</w:t>
      </w:r>
      <w:r>
        <w:rPr>
          <w:rFonts w:hint="eastAsia"/>
          <w:b w:val="false"/>
          <w:bCs w:val="false"/>
          <w:color w:val="000000"/>
          <w:sz w:val="32"/>
          <w:szCs w:val="32"/>
        </w:rPr>
        <w:t>、市场监管、公安等部门应当根据各自职责，加强对危险化学品、易燃易爆品、管制器具等的安全管理工作，对非法生产、运输、储存、销售、使用等行为依法及时处理。</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both"/>
        <w:rPr>
          <w:rFonts w:eastAsia="仿宋_GB2312" w:hint="eastAsia"/>
          <w:b w:val="false"/>
          <w:bCs w:val="false"/>
          <w:color w:val="000000"/>
          <w:sz w:val="32"/>
          <w:szCs w:val="32"/>
          <w:highlight w:val="none"/>
        </w:rPr>
      </w:pPr>
      <w:r>
        <w:rPr>
          <w:rFonts w:ascii="黑体" w:hAnsi="黑体" w:hint="eastAsia" w:eastAsia="黑体"/>
          <w:b w:val="false"/>
          <w:bCs w:val="false"/>
          <w:color w:val="000000"/>
          <w:sz w:val="32"/>
          <w:szCs w:val="32"/>
        </w:rPr>
        <w:t>第五十八条</w:t>
      </w:r>
      <w:r>
        <w:rPr>
          <w:rFonts w:ascii="黑体" w:hAnsi="黑体" w:eastAsia="黑体"/>
          <w:b w:val="false"/>
          <w:bCs w:val="false"/>
          <w:sz w:val="32"/>
          <w:szCs w:val="32"/>
        </w:rPr>
        <w:t xml:space="preserve">  </w:t>
      </w:r>
      <w:r>
        <w:rPr>
          <w:rFonts w:hint="eastAsia"/>
          <w:b w:val="false"/>
          <w:bCs w:val="false"/>
          <w:color w:val="000000"/>
          <w:sz w:val="32"/>
          <w:szCs w:val="32"/>
        </w:rPr>
        <w:t>市和区人民政府应当加强对本行政区域内突发公共卫生事件应急工作的组织领导和统筹协调，完善应急预案，健全应急工作机制，提高科学精准防控水平。</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both"/>
        <w:rPr>
          <w:rFonts w:eastAsia="仿宋_GB2312" w:hint="eastAsia"/>
          <w:b w:val="false"/>
          <w:bCs w:val="false"/>
          <w:color w:val="000000"/>
          <w:sz w:val="32"/>
          <w:szCs w:val="32"/>
          <w:highlight w:val="none"/>
        </w:rPr>
      </w:pPr>
      <w:r>
        <w:rPr>
          <w:rFonts w:hint="eastAsia"/>
          <w:b w:val="false"/>
          <w:bCs w:val="false"/>
          <w:color w:val="000000"/>
          <w:sz w:val="32"/>
          <w:szCs w:val="32"/>
        </w:rPr>
        <w:t>卫生健康、发展改革、工业和信息化、商务、市场监管、城市管理、交通运输、公安等有关部门，按照应急处置工作要求，做好</w:t>
      </w:r>
      <w:r>
        <w:rPr>
          <w:b w:val="false"/>
          <w:bCs w:val="false"/>
          <w:color w:val="000000"/>
          <w:sz w:val="32"/>
          <w:szCs w:val="32"/>
        </w:rPr>
        <w:t>医疗救治、</w:t>
      </w:r>
      <w:r>
        <w:rPr>
          <w:rFonts w:hint="eastAsia"/>
          <w:b w:val="false"/>
          <w:bCs w:val="false"/>
          <w:color w:val="000000"/>
          <w:sz w:val="32"/>
          <w:szCs w:val="32"/>
        </w:rPr>
        <w:t>物资生产调配、群众生活供给、市场秩序监管、环境卫生清整、交通运输保障、维护社会稳定等突发公共卫生事件应急处置工作。</w:t>
      </w:r>
    </w:p>
    <w:p>
      <w:pPr>
        <w:pStyle w:val="BodyText"/>
        <w:keepNext w:val="false"/>
        <w:keepLines w:val="false"/>
        <w:pageBreakBefore w:val="false"/>
        <w:kinsoku w:val="true"/>
        <w:overflowPunct w:val="true"/>
        <w:autoSpaceDE w:val="true"/>
        <w:bidi w:val="0"/>
        <w:snapToGrid w:val="true"/>
        <w:spacing w:lineRule="auto" w:line="240"/>
        <w:ind w:firstLine="631" w:end="0"/>
        <w:rPr>
          <w:rFonts w:ascii="Times New Roman" w:hAnsi="Times New Roman" w:eastAsia="仿宋_GB2312" w:cs="Times New Roman" w:hint="eastAsia"/>
          <w:b w:val="false"/>
          <w:bCs w:val="false"/>
          <w:color w:val="000000"/>
          <w:kern w:val="2"/>
          <w:sz w:val="32"/>
          <w:szCs w:val="32"/>
          <w:highlight w:val="none"/>
          <w:lang w:val="en"/>
        </w:rPr>
      </w:pPr>
      <w:r>
        <w:rPr>
          <w:rFonts w:ascii="Times New Roman" w:hAnsi="Times New Roman" w:cs="Times New Roman" w:hint="eastAsia" w:eastAsia="仿宋_GB2312"/>
          <w:b w:val="false"/>
          <w:bCs w:val="false"/>
          <w:color w:val="000000"/>
          <w:kern w:val="2"/>
          <w:sz w:val="32"/>
          <w:szCs w:val="32"/>
          <w:lang w:val="en"/>
        </w:rPr>
        <w:t>在本市居住、工作、学习、旅游以及从事其他活动的个人，应当增强自我防范意识和防护能力，遵守服从应急措施，履行防控义务。根据防控需要，自觉接受调查、医学监测、医学观察、隔离治疗等防控措施，如实提供个人有关信息。</w:t>
      </w:r>
    </w:p>
    <w:p>
      <w:pPr>
        <w:pStyle w:val="BodyText"/>
        <w:keepNext w:val="false"/>
        <w:keepLines w:val="false"/>
        <w:pageBreakBefore w:val="false"/>
        <w:kinsoku w:val="true"/>
        <w:overflowPunct w:val="true"/>
        <w:autoSpaceDE w:val="true"/>
        <w:bidi w:val="0"/>
        <w:snapToGrid w:val="true"/>
        <w:spacing w:lineRule="auto" w:line="240"/>
        <w:ind w:firstLine="631" w:end="0"/>
        <w:rPr>
          <w:rFonts w:ascii="Times New Roman" w:hAnsi="Times New Roman" w:eastAsia="仿宋_GB2312" w:cs="Times New Roman" w:hint="eastAsia"/>
          <w:b w:val="false"/>
          <w:bCs w:val="false"/>
          <w:color w:val="000000"/>
          <w:kern w:val="2"/>
          <w:sz w:val="32"/>
          <w:szCs w:val="32"/>
          <w:highlight w:val="none"/>
        </w:rPr>
      </w:pPr>
      <w:r>
        <w:rPr>
          <w:rFonts w:ascii="黑体" w:hAnsi="黑体" w:hint="eastAsia" w:eastAsia="黑体"/>
          <w:b w:val="false"/>
          <w:bCs w:val="false"/>
          <w:color w:val="000000"/>
          <w:sz w:val="32"/>
          <w:szCs w:val="32"/>
        </w:rPr>
        <w:t xml:space="preserve">第五十九条  </w:t>
      </w:r>
      <w:r>
        <w:rPr>
          <w:rFonts w:ascii="Times New Roman" w:hAnsi="Times New Roman" w:cs="Times New Roman" w:hint="eastAsia" w:eastAsia="仿宋_GB2312"/>
          <w:b w:val="false"/>
          <w:bCs w:val="false"/>
          <w:color w:val="000000"/>
          <w:kern w:val="2"/>
          <w:sz w:val="32"/>
          <w:szCs w:val="32"/>
        </w:rPr>
        <w:t>市和区人民政府应当健全防灾减灾救灾工作机制，</w:t>
      </w:r>
      <w:r>
        <w:rPr>
          <w:rFonts w:ascii="Times New Roman" w:hAnsi="Times New Roman" w:cs="Times New Roman" w:hint="eastAsia" w:eastAsia="仿宋_GB2312"/>
          <w:b w:val="false"/>
          <w:bCs w:val="false"/>
          <w:color w:val="000000"/>
          <w:kern w:val="2"/>
          <w:sz w:val="32"/>
          <w:szCs w:val="32"/>
          <w:lang w:val="en"/>
        </w:rPr>
        <w:t>完善各类应急预案，</w:t>
      </w:r>
      <w:r>
        <w:rPr>
          <w:rFonts w:ascii="Times New Roman" w:hAnsi="Times New Roman" w:cs="Times New Roman" w:hint="eastAsia" w:eastAsia="仿宋_GB2312"/>
          <w:b w:val="false"/>
          <w:bCs w:val="false"/>
          <w:color w:val="000000"/>
          <w:kern w:val="2"/>
          <w:sz w:val="32"/>
          <w:szCs w:val="32"/>
        </w:rPr>
        <w:t>加强防灾减灾救灾队伍建设，提升抵御自然灾害的综合防范能力。</w:t>
      </w:r>
    </w:p>
    <w:p>
      <w:pPr>
        <w:pStyle w:val="BodyText"/>
        <w:keepNext w:val="false"/>
        <w:keepLines w:val="false"/>
        <w:pageBreakBefore w:val="false"/>
        <w:kinsoku w:val="true"/>
        <w:overflowPunct w:val="true"/>
        <w:autoSpaceDE w:val="true"/>
        <w:bidi w:val="0"/>
        <w:snapToGrid w:val="true"/>
        <w:spacing w:lineRule="auto" w:line="240"/>
        <w:ind w:firstLine="631" w:end="0"/>
        <w:rPr>
          <w:rFonts w:ascii="Times New Roman" w:hAnsi="Times New Roman" w:eastAsia="仿宋_GB2312" w:cs="Times New Roman" w:hint="eastAsia"/>
          <w:b w:val="false"/>
          <w:bCs w:val="false"/>
          <w:color w:val="000000"/>
          <w:kern w:val="2"/>
          <w:sz w:val="32"/>
          <w:szCs w:val="32"/>
          <w:highlight w:val="none"/>
        </w:rPr>
      </w:pPr>
      <w:r>
        <w:rPr>
          <w:rFonts w:ascii="Times New Roman" w:hAnsi="Times New Roman" w:cs="Times New Roman" w:hint="eastAsia" w:eastAsia="仿宋_GB2312"/>
          <w:b w:val="false"/>
          <w:bCs w:val="false"/>
          <w:color w:val="000000"/>
          <w:kern w:val="2"/>
          <w:sz w:val="32"/>
          <w:szCs w:val="32"/>
        </w:rPr>
        <w:t>应急管理、发展改革、公安、规划资源、住房城乡建设、农业农村、水务、卫生健康、交通运输、地震、气象等有关部门应当按照职责分工，加强自然灾害风险调查评估、监测预报预警、灾害防御、应急准备、紧急救援、转移安置、生活救助、卫生防疫、灾后重建等工作，维护人民群众生命财产安全。</w:t>
      </w:r>
    </w:p>
    <w:p>
      <w:pPr>
        <w:pStyle w:val="BodyText"/>
        <w:keepNext w:val="false"/>
        <w:keepLines w:val="false"/>
        <w:pageBreakBefore w:val="false"/>
        <w:kinsoku w:val="true"/>
        <w:overflowPunct w:val="true"/>
        <w:autoSpaceDE w:val="true"/>
        <w:bidi w:val="0"/>
        <w:snapToGrid w:val="true"/>
        <w:spacing w:lineRule="auto" w:line="240"/>
        <w:rPr>
          <w:rFonts w:ascii="宋体" w:hAnsi="宋体" w:eastAsia="宋体" w:cs="宋体" w:hint="eastAsia"/>
          <w:b w:val="false"/>
          <w:bCs w:val="false"/>
          <w:color w:val="000000"/>
          <w:kern w:val="2"/>
          <w:sz w:val="32"/>
          <w:szCs w:val="32"/>
          <w:highlight w:val="none"/>
        </w:rPr>
      </w:pPr>
      <w:r>
        <w:rPr>
          <w:rFonts w:eastAsia="宋体" w:cs="宋体" w:hint="eastAsia" w:ascii="宋体" w:hAnsi="宋体"/>
          <w:b w:val="false"/>
          <w:bCs w:val="false"/>
          <w:color w:val="000000"/>
          <w:kern w:val="2"/>
          <w:sz w:val="32"/>
          <w:szCs w:val="32"/>
        </w:rPr>
      </w:r>
    </w:p>
    <w:p>
      <w:pPr>
        <w:pStyle w:val="Normal"/>
        <w:keepNext w:val="false"/>
        <w:keepLines w:val="false"/>
        <w:pageBreakBefore w:val="false"/>
        <w:numPr>
          <w:ilvl w:val="0"/>
          <w:numId w:val="0"/>
        </w:numPr>
        <w:kinsoku w:val="true"/>
        <w:overflowPunct w:val="true"/>
        <w:autoSpaceDE w:val="true"/>
        <w:bidi w:val="0"/>
        <w:snapToGrid w:val="true"/>
        <w:spacing w:lineRule="auto" w:line="240"/>
        <w:jc w:val="center"/>
        <w:outlineLvl w:val="0"/>
        <w:rPr>
          <w:rFonts w:ascii="黑体" w:hAnsi="黑体" w:eastAsia="黑体" w:hint="eastAsia"/>
          <w:b w:val="false"/>
          <w:bCs w:val="false"/>
          <w:color w:val="000000"/>
          <w:sz w:val="32"/>
          <w:szCs w:val="32"/>
          <w:highlight w:val="none"/>
        </w:rPr>
      </w:pPr>
      <w:r>
        <w:rPr>
          <w:rFonts w:ascii="黑体" w:hAnsi="黑体" w:hint="eastAsia" w:eastAsia="黑体"/>
          <w:b w:val="false"/>
          <w:bCs w:val="false"/>
          <w:color w:val="000000"/>
          <w:sz w:val="32"/>
          <w:szCs w:val="32"/>
        </w:rPr>
        <w:t>第六章  保障与监督</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宋体" w:hAnsi="宋体" w:eastAsia="宋体" w:cs="宋体" w:hint="eastAsia"/>
          <w:b w:val="false"/>
          <w:bCs w:val="false"/>
          <w:color w:val="000000"/>
          <w:sz w:val="32"/>
          <w:szCs w:val="32"/>
          <w:highlight w:val="none"/>
        </w:rPr>
      </w:pPr>
      <w:r>
        <w:rPr>
          <w:rFonts w:eastAsia="宋体" w:cs="宋体" w:hint="eastAsia" w:ascii="宋体" w:hAnsi="宋体"/>
          <w:b w:val="false"/>
          <w:bCs w:val="false"/>
          <w:color w:val="000000"/>
          <w:sz w:val="32"/>
          <w:szCs w:val="32"/>
        </w:rPr>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eastAsia="仿宋_GB2312" w:hint="eastAsia"/>
          <w:b w:val="false"/>
          <w:bCs w:val="false"/>
          <w:color w:val="000000"/>
          <w:szCs w:val="32"/>
          <w:highlight w:val="none"/>
        </w:rPr>
      </w:pPr>
      <w:r>
        <w:rPr>
          <w:rFonts w:ascii="黑体" w:hAnsi="黑体" w:eastAsia="黑体"/>
          <w:b w:val="false"/>
          <w:bCs w:val="false"/>
          <w:color w:val="000000"/>
          <w:sz w:val="32"/>
          <w:szCs w:val="32"/>
        </w:rPr>
        <w:t>第</w:t>
      </w:r>
      <w:r>
        <w:rPr>
          <w:rFonts w:ascii="黑体" w:hAnsi="黑体" w:hint="eastAsia" w:eastAsia="黑体"/>
          <w:b w:val="false"/>
          <w:bCs w:val="false"/>
          <w:color w:val="000000"/>
          <w:sz w:val="32"/>
          <w:szCs w:val="32"/>
        </w:rPr>
        <w:t>六十</w:t>
      </w:r>
      <w:r>
        <w:rPr>
          <w:rFonts w:ascii="黑体" w:hAnsi="黑体" w:eastAsia="黑体"/>
          <w:b w:val="false"/>
          <w:bCs w:val="false"/>
          <w:color w:val="000000"/>
          <w:sz w:val="32"/>
          <w:szCs w:val="32"/>
        </w:rPr>
        <w:t>条</w:t>
      </w:r>
      <w:r>
        <w:rPr>
          <w:rFonts w:ascii="黑体" w:hAnsi="黑体" w:eastAsia="黑体"/>
          <w:b w:val="false"/>
          <w:bCs w:val="false"/>
          <w:sz w:val="32"/>
          <w:szCs w:val="32"/>
        </w:rPr>
        <w:t xml:space="preserve">  </w:t>
      </w:r>
      <w:r>
        <w:rPr>
          <w:rFonts w:hint="eastAsia"/>
          <w:b w:val="false"/>
          <w:bCs w:val="false"/>
          <w:color w:val="000000"/>
          <w:szCs w:val="32"/>
        </w:rPr>
        <w:t>本市建立健全平安建设信息共享机制。各有关部门应当将平安建设相关信息推送至市信息资源统一共享交换平台，为政治安全维护、矛盾纠纷化解、社会治安防控、公共安全保障等提供数据</w:t>
      </w:r>
      <w:r>
        <w:rPr>
          <w:rFonts w:hint="eastAsia"/>
          <w:b w:val="false"/>
          <w:bCs w:val="false"/>
          <w:color w:val="000000"/>
          <w:szCs w:val="32"/>
        </w:rPr>
        <w:t>信息</w:t>
      </w:r>
      <w:r>
        <w:rPr>
          <w:rFonts w:hint="eastAsia"/>
          <w:b w:val="false"/>
          <w:bCs w:val="false"/>
          <w:color w:val="000000"/>
          <w:szCs w:val="32"/>
        </w:rPr>
        <w:t>支撑。</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both"/>
        <w:rPr>
          <w:rFonts w:eastAsia="仿宋_GB2312" w:hint="eastAsia"/>
          <w:b w:val="false"/>
          <w:bCs w:val="false"/>
          <w:color w:val="000000"/>
          <w:position w:val="0"/>
          <w:sz w:val="32"/>
          <w:szCs w:val="32"/>
          <w:highlight w:val="none"/>
          <w:vertAlign w:val="baseline"/>
        </w:rPr>
      </w:pPr>
      <w:r>
        <w:rPr>
          <w:rFonts w:ascii="黑体" w:hAnsi="黑体" w:hint="eastAsia" w:eastAsia="黑体"/>
          <w:b w:val="false"/>
          <w:bCs w:val="false"/>
          <w:color w:val="000000"/>
          <w:sz w:val="32"/>
          <w:szCs w:val="32"/>
        </w:rPr>
        <w:t>第六十一条</w:t>
      </w:r>
      <w:r>
        <w:rPr>
          <w:rFonts w:ascii="黑体" w:hAnsi="黑体" w:eastAsia="黑体"/>
          <w:b w:val="false"/>
          <w:bCs w:val="false"/>
          <w:color w:val="000000"/>
          <w:sz w:val="32"/>
          <w:szCs w:val="32"/>
        </w:rPr>
        <w:t xml:space="preserve">  </w:t>
      </w:r>
      <w:r>
        <w:rPr>
          <w:rFonts w:hint="eastAsia"/>
          <w:b w:val="false"/>
          <w:bCs w:val="false"/>
          <w:color w:val="000000"/>
          <w:sz w:val="32"/>
          <w:szCs w:val="32"/>
        </w:rPr>
        <w:t>本市推进大数据、云计算、人工智能等信息技术与平安建设的深度融合，深化公安专业平台、公共安全视频监控系统的建设和联网应用，推进交通、警务、消防、城市管理、市场监管、安全生产、生态环保等平安建设重点领域的</w:t>
      </w:r>
      <w:r>
        <w:rPr>
          <w:rFonts w:cs="Times New Roman" w:hint="eastAsia"/>
          <w:b w:val="false"/>
          <w:bCs w:val="false"/>
          <w:color w:val="000000"/>
          <w:sz w:val="32"/>
          <w:szCs w:val="32"/>
        </w:rPr>
        <w:t>智能</w:t>
      </w:r>
      <w:r>
        <w:rPr>
          <w:rFonts w:hint="eastAsia"/>
          <w:b w:val="false"/>
          <w:bCs w:val="false"/>
          <w:color w:val="000000"/>
          <w:sz w:val="32"/>
          <w:szCs w:val="32"/>
        </w:rPr>
        <w:t>化建设，提升预测社会需求、预判社会发展、预警社会风险的智慧治理水平。</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both"/>
        <w:rPr>
          <w:rFonts w:eastAsia="仿宋_GB2312" w:cs="Times New Roman" w:hint="eastAsia"/>
          <w:b w:val="false"/>
          <w:bCs w:val="false"/>
          <w:color w:val="000000"/>
          <w:sz w:val="32"/>
          <w:szCs w:val="32"/>
          <w:highlight w:val="none"/>
        </w:rPr>
      </w:pPr>
      <w:r>
        <w:rPr>
          <w:rFonts w:ascii="黑体" w:hAnsi="黑体" w:hint="eastAsia" w:eastAsia="黑体"/>
          <w:b w:val="false"/>
          <w:bCs w:val="false"/>
          <w:color w:val="000000"/>
          <w:sz w:val="32"/>
          <w:szCs w:val="32"/>
        </w:rPr>
        <w:t>第六十二条</w:t>
      </w:r>
      <w:r>
        <w:rPr>
          <w:rFonts w:ascii="黑体" w:hAnsi="黑体" w:eastAsia="黑体"/>
          <w:b w:val="false"/>
          <w:bCs w:val="false"/>
          <w:color w:val="000000"/>
          <w:sz w:val="32"/>
          <w:szCs w:val="32"/>
        </w:rPr>
        <w:t xml:space="preserve">  </w:t>
      </w:r>
      <w:r>
        <w:rPr>
          <w:rFonts w:cs="Times New Roman" w:hint="eastAsia"/>
          <w:b w:val="false"/>
          <w:bCs w:val="false"/>
          <w:color w:val="000000"/>
          <w:sz w:val="32"/>
          <w:szCs w:val="32"/>
        </w:rPr>
        <w:t>本市加强智慧平安社区建设，提升社区、村智能化安防水平。</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both"/>
        <w:rPr>
          <w:rFonts w:eastAsia="仿宋_GB2312" w:cs="Times New Roman" w:hint="eastAsia"/>
          <w:b w:val="false"/>
          <w:bCs w:val="false"/>
          <w:color w:val="000000"/>
          <w:position w:val="0"/>
          <w:sz w:val="32"/>
          <w:szCs w:val="32"/>
          <w:highlight w:val="none"/>
          <w:vertAlign w:val="baseline"/>
        </w:rPr>
      </w:pPr>
      <w:r>
        <w:rPr>
          <w:rFonts w:cs="Times New Roman" w:hint="eastAsia"/>
          <w:b w:val="false"/>
          <w:bCs w:val="false"/>
          <w:color w:val="000000"/>
          <w:sz w:val="32"/>
          <w:szCs w:val="32"/>
        </w:rPr>
        <w:t>区人民政府以及市公安、住房城乡建设、城市管理等有关部门应当按照职责分工，推进全域感知、数据融合、立体防控、安全可靠的智慧平安社区网络建设，依法对数据信息进行采集、传输、处理和共享应用。</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eastAsia="仿宋_GB2312" w:hint="eastAsia"/>
          <w:b w:val="false"/>
          <w:bCs w:val="false"/>
          <w:color w:val="000000"/>
          <w:szCs w:val="32"/>
          <w:highlight w:val="none"/>
        </w:rPr>
      </w:pPr>
      <w:r>
        <w:rPr>
          <w:rFonts w:ascii="黑体" w:hAnsi="黑体" w:eastAsia="黑体"/>
          <w:b w:val="false"/>
          <w:bCs w:val="false"/>
          <w:color w:val="000000"/>
          <w:sz w:val="32"/>
          <w:szCs w:val="32"/>
        </w:rPr>
        <w:t>第</w:t>
      </w:r>
      <w:r>
        <w:rPr>
          <w:rFonts w:ascii="黑体" w:hAnsi="黑体" w:hint="eastAsia" w:eastAsia="黑体"/>
          <w:b w:val="false"/>
          <w:bCs w:val="false"/>
          <w:color w:val="000000"/>
          <w:sz w:val="32"/>
          <w:szCs w:val="32"/>
        </w:rPr>
        <w:t>六十三</w:t>
      </w:r>
      <w:r>
        <w:rPr>
          <w:rFonts w:ascii="黑体" w:hAnsi="黑体" w:eastAsia="黑体"/>
          <w:b w:val="false"/>
          <w:bCs w:val="false"/>
          <w:color w:val="000000"/>
          <w:sz w:val="32"/>
          <w:szCs w:val="32"/>
        </w:rPr>
        <w:t>条</w:t>
      </w:r>
      <w:r>
        <w:rPr>
          <w:rFonts w:ascii="黑体" w:hAnsi="黑体" w:eastAsia="黑体"/>
          <w:b w:val="false"/>
          <w:bCs w:val="false"/>
          <w:sz w:val="32"/>
          <w:szCs w:val="32"/>
        </w:rPr>
        <w:t xml:space="preserve">  </w:t>
      </w:r>
      <w:r>
        <w:rPr>
          <w:rFonts w:hint="eastAsia"/>
          <w:b w:val="false"/>
          <w:bCs w:val="false"/>
          <w:color w:val="000000"/>
          <w:szCs w:val="32"/>
        </w:rPr>
        <w:t>本市对在平安建设工作中做出突出成绩的地区、单位和个人</w:t>
      </w:r>
      <w:r>
        <w:rPr>
          <w:rFonts w:hint="eastAsia"/>
          <w:b w:val="false"/>
          <w:bCs w:val="false"/>
          <w:color w:val="000000"/>
          <w:sz w:val="32"/>
          <w:szCs w:val="32"/>
        </w:rPr>
        <w:t>，按照有关规定给予表</w:t>
      </w:r>
      <w:r>
        <w:rPr>
          <w:rFonts w:hint="eastAsia"/>
          <w:b w:val="false"/>
          <w:bCs w:val="false"/>
          <w:color w:val="000000"/>
          <w:szCs w:val="32"/>
        </w:rPr>
        <w:t>彰和奖励。</w:t>
      </w:r>
    </w:p>
    <w:p>
      <w:pPr>
        <w:pStyle w:val="BodyText"/>
        <w:keepNext w:val="false"/>
        <w:keepLines w:val="false"/>
        <w:pageBreakBefore w:val="false"/>
        <w:kinsoku w:val="true"/>
        <w:overflowPunct w:val="true"/>
        <w:autoSpaceDE w:val="true"/>
        <w:bidi w:val="0"/>
        <w:snapToGrid w:val="true"/>
        <w:spacing w:lineRule="auto" w:line="240"/>
        <w:ind w:firstLineChars="200" w:startChars="0" w:start="0" w:endChars="0" w:end="0"/>
        <w:jc w:val="both"/>
        <w:rPr>
          <w:rFonts w:eastAsia="仿宋_GB2312" w:hint="eastAsia"/>
          <w:b w:val="false"/>
          <w:bCs w:val="false"/>
          <w:color w:val="000000"/>
          <w:szCs w:val="32"/>
          <w:highlight w:val="none"/>
        </w:rPr>
      </w:pPr>
      <w:r>
        <w:rPr>
          <w:rFonts w:hint="eastAsia" w:eastAsia="仿宋_GB2312"/>
          <w:b w:val="false"/>
          <w:bCs w:val="false"/>
          <w:color w:val="000000"/>
          <w:szCs w:val="32"/>
        </w:rPr>
        <w:t>对见义勇为人员应当按照有关法律、法规予以奖励和保护。</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eastAsia="仿宋_GB2312" w:hint="eastAsia"/>
          <w:b w:val="false"/>
          <w:bCs w:val="false"/>
          <w:color w:val="000000"/>
          <w:sz w:val="32"/>
          <w:szCs w:val="32"/>
          <w:highlight w:val="none"/>
        </w:rPr>
      </w:pPr>
      <w:r>
        <w:rPr>
          <w:rFonts w:ascii="黑体" w:hAnsi="黑体" w:hint="eastAsia" w:eastAsia="黑体"/>
          <w:b w:val="false"/>
          <w:bCs w:val="false"/>
          <w:color w:val="000000"/>
          <w:sz w:val="32"/>
          <w:szCs w:val="32"/>
        </w:rPr>
        <w:t>第六十四条</w:t>
      </w:r>
      <w:r>
        <w:rPr>
          <w:rFonts w:ascii="黑体" w:hAnsi="黑体"/>
          <w:b w:val="false"/>
          <w:bCs w:val="false"/>
          <w:sz w:val="32"/>
          <w:szCs w:val="32"/>
        </w:rPr>
        <w:t xml:space="preserve">  </w:t>
      </w:r>
      <w:r>
        <w:rPr>
          <w:rFonts w:hint="eastAsia"/>
          <w:b w:val="false"/>
          <w:bCs w:val="false"/>
          <w:color w:val="000000"/>
          <w:sz w:val="32"/>
          <w:szCs w:val="32"/>
        </w:rPr>
        <w:t>平安建设领导机构建立健全平安建设考核评价机制，制定完善考核评价标准和指标体系。</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both"/>
        <w:rPr>
          <w:rFonts w:eastAsia="仿宋_GB2312" w:hint="eastAsia"/>
          <w:b w:val="false"/>
          <w:bCs w:val="false"/>
          <w:color w:val="000000"/>
          <w:sz w:val="32"/>
          <w:szCs w:val="32"/>
          <w:highlight w:val="none"/>
        </w:rPr>
      </w:pPr>
      <w:r>
        <w:rPr>
          <w:rFonts w:hint="eastAsia"/>
          <w:b w:val="false"/>
          <w:bCs w:val="false"/>
          <w:color w:val="000000"/>
          <w:sz w:val="32"/>
          <w:szCs w:val="32"/>
        </w:rPr>
        <w:t>市平安建设领导机构应当对市级部门、各区和有关单位平安建设情况进行考核；区平安建设领导机构应当对区属部门、乡镇</w:t>
      </w:r>
      <w:r>
        <w:rPr>
          <w:rFonts w:hint="eastAsia"/>
          <w:b w:val="false"/>
          <w:bCs w:val="false"/>
          <w:color w:val="000000"/>
          <w:sz w:val="32"/>
          <w:szCs w:val="32"/>
        </w:rPr>
        <w:t>（</w:t>
      </w:r>
      <w:r>
        <w:rPr>
          <w:rFonts w:hint="eastAsia"/>
          <w:b w:val="false"/>
          <w:bCs w:val="false"/>
          <w:color w:val="000000"/>
          <w:sz w:val="32"/>
          <w:szCs w:val="32"/>
        </w:rPr>
        <w:t>街道</w:t>
      </w:r>
      <w:r>
        <w:rPr>
          <w:rFonts w:hint="eastAsia"/>
          <w:b w:val="false"/>
          <w:bCs w:val="false"/>
          <w:color w:val="000000"/>
          <w:sz w:val="32"/>
          <w:szCs w:val="32"/>
        </w:rPr>
        <w:t>）</w:t>
      </w:r>
      <w:r>
        <w:rPr>
          <w:rFonts w:hint="eastAsia"/>
          <w:b w:val="false"/>
          <w:bCs w:val="false"/>
          <w:color w:val="000000"/>
          <w:sz w:val="32"/>
          <w:szCs w:val="32"/>
        </w:rPr>
        <w:t>和有关单位平安建设情况进行考核。行业主管部门应当对本行业领域有关部门及单位平安建设情况进行考核。平安建设考核结果纳入绩效考核内容。</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both"/>
        <w:rPr>
          <w:rFonts w:eastAsia="仿宋_GB2312" w:hint="eastAsia"/>
          <w:b w:val="false"/>
          <w:bCs w:val="false"/>
          <w:color w:val="000000"/>
          <w:sz w:val="32"/>
          <w:szCs w:val="32"/>
          <w:highlight w:val="none"/>
        </w:rPr>
      </w:pPr>
      <w:r>
        <w:rPr>
          <w:rFonts w:hint="eastAsia"/>
          <w:b w:val="false"/>
          <w:bCs w:val="false"/>
          <w:color w:val="000000"/>
          <w:sz w:val="32"/>
          <w:szCs w:val="32"/>
        </w:rPr>
        <w:t>被考核单位责任不落实、考核不达标的，由平安建设领导机构通过约谈、通报、挂牌督办等方式督促整改。</w:t>
      </w:r>
    </w:p>
    <w:p>
      <w:pPr>
        <w:pStyle w:val="Normal"/>
        <w:keepNext w:val="false"/>
        <w:keepLines w:val="false"/>
        <w:pageBreakBefore w:val="false"/>
        <w:kinsoku w:val="true"/>
        <w:overflowPunct w:val="true"/>
        <w:autoSpaceDE w:val="true"/>
        <w:bidi w:val="0"/>
        <w:snapToGrid w:val="true"/>
        <w:spacing w:lineRule="auto" w:line="240"/>
        <w:ind w:firstLine="640" w:end="0"/>
        <w:rPr>
          <w:rFonts w:ascii="黑体" w:hAnsi="黑体" w:eastAsia="黑体" w:cs="黑体" w:hint="eastAsia"/>
          <w:b w:val="false"/>
          <w:bCs w:val="false"/>
          <w:color w:val="000000"/>
          <w:kern w:val="2"/>
          <w:sz w:val="32"/>
          <w:szCs w:val="32"/>
        </w:rPr>
      </w:pPr>
      <w:r>
        <w:rPr>
          <w:rFonts w:ascii="黑体" w:hAnsi="黑体" w:cs="黑体" w:hint="eastAsia" w:eastAsia="黑体"/>
          <w:b w:val="false"/>
          <w:bCs w:val="false"/>
          <w:color w:val="000000"/>
          <w:kern w:val="2"/>
          <w:sz w:val="32"/>
          <w:szCs w:val="32"/>
        </w:rPr>
        <w:t>第</w:t>
      </w:r>
      <w:r>
        <w:rPr>
          <w:rFonts w:ascii="黑体" w:hAnsi="黑体" w:hint="eastAsia" w:eastAsia="黑体"/>
          <w:b w:val="false"/>
          <w:bCs w:val="false"/>
          <w:color w:val="000000"/>
          <w:sz w:val="32"/>
          <w:szCs w:val="32"/>
        </w:rPr>
        <w:t>六十五</w:t>
      </w:r>
      <w:r>
        <w:rPr>
          <w:rFonts w:ascii="黑体" w:hAnsi="黑体" w:cs="黑体" w:hint="eastAsia" w:eastAsia="黑体"/>
          <w:b w:val="false"/>
          <w:bCs w:val="false"/>
          <w:color w:val="000000"/>
          <w:kern w:val="2"/>
          <w:sz w:val="32"/>
          <w:szCs w:val="32"/>
        </w:rPr>
        <w:t xml:space="preserve">条  </w:t>
      </w:r>
      <w:r>
        <w:rPr>
          <w:rFonts w:cs="Times New Roman" w:hint="eastAsia"/>
          <w:b w:val="false"/>
          <w:bCs w:val="false"/>
          <w:color w:val="000000"/>
          <w:sz w:val="32"/>
          <w:szCs w:val="32"/>
        </w:rPr>
        <w:t>平安建设领导机构建立人民群众安全感、满意度测评机制，通过委托第三方评估等方式，了解人民群众对平安建设的需求，接受社会监督和评价，测评结果纳入平安建设考核评价指标体系。</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eastAsia="仿宋_GB2312" w:hint="eastAsia"/>
          <w:b w:val="false"/>
          <w:bCs w:val="false"/>
          <w:color w:val="000000"/>
          <w:szCs w:val="32"/>
          <w:highlight w:val="none"/>
        </w:rPr>
      </w:pPr>
      <w:r>
        <w:rPr>
          <w:rFonts w:ascii="黑体" w:hAnsi="黑体" w:hint="eastAsia" w:eastAsia="黑体"/>
          <w:b w:val="false"/>
          <w:bCs w:val="false"/>
          <w:color w:val="000000"/>
          <w:sz w:val="32"/>
          <w:szCs w:val="32"/>
        </w:rPr>
        <w:t>第六十六条</w:t>
      </w:r>
      <w:r>
        <w:rPr>
          <w:rFonts w:ascii="黑体" w:hAnsi="黑体" w:eastAsia="黑体"/>
          <w:b w:val="false"/>
          <w:bCs w:val="false"/>
          <w:color w:val="000000"/>
          <w:sz w:val="32"/>
          <w:szCs w:val="32"/>
        </w:rPr>
        <w:t xml:space="preserve">  </w:t>
      </w:r>
      <w:r>
        <w:rPr>
          <w:rFonts w:hint="eastAsia"/>
          <w:b w:val="false"/>
          <w:bCs w:val="false"/>
          <w:color w:val="000000"/>
          <w:szCs w:val="32"/>
        </w:rPr>
        <w:t>国家机关、人民团体、企业事业单位以及其他社会组织工作人员拒不履行平安建设工作职责或者在平安建设工作中滥用职权、玩忽职守、徇私舞弊的，由有权机关依法给予处理；构成犯罪的，依法追究刑事责任。</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eastAsia="仿宋_GB2312" w:hint="eastAsia"/>
          <w:b w:val="false"/>
          <w:bCs w:val="false"/>
          <w:color w:val="000000"/>
          <w:szCs w:val="32"/>
          <w:highlight w:val="none"/>
        </w:rPr>
      </w:pPr>
      <w:r>
        <w:rPr>
          <w:rFonts w:ascii="黑体" w:hAnsi="黑体" w:eastAsia="黑体"/>
          <w:b w:val="false"/>
          <w:bCs w:val="false"/>
          <w:color w:val="000000"/>
          <w:sz w:val="32"/>
          <w:szCs w:val="32"/>
        </w:rPr>
        <w:t>第</w:t>
      </w:r>
      <w:r>
        <w:rPr>
          <w:rFonts w:ascii="黑体" w:hAnsi="黑体" w:hint="eastAsia" w:eastAsia="黑体"/>
          <w:b w:val="false"/>
          <w:bCs w:val="false"/>
          <w:color w:val="000000"/>
          <w:sz w:val="32"/>
          <w:szCs w:val="32"/>
        </w:rPr>
        <w:t>六十七</w:t>
      </w:r>
      <w:r>
        <w:rPr>
          <w:rFonts w:ascii="黑体" w:hAnsi="黑体" w:eastAsia="黑体"/>
          <w:b w:val="false"/>
          <w:bCs w:val="false"/>
          <w:color w:val="000000"/>
          <w:sz w:val="32"/>
          <w:szCs w:val="32"/>
        </w:rPr>
        <w:t>条</w:t>
      </w:r>
      <w:r>
        <w:rPr>
          <w:rFonts w:ascii="黑体" w:hAnsi="黑体" w:eastAsia="黑体"/>
          <w:b w:val="false"/>
          <w:bCs w:val="false"/>
          <w:sz w:val="32"/>
          <w:szCs w:val="32"/>
        </w:rPr>
        <w:t xml:space="preserve">  </w:t>
      </w:r>
      <w:r>
        <w:rPr>
          <w:rFonts w:hint="eastAsia"/>
          <w:b w:val="false"/>
          <w:bCs w:val="false"/>
          <w:color w:val="000000"/>
          <w:szCs w:val="32"/>
        </w:rPr>
        <w:t>违反本条例的行为，法律或者法规已有处理规定的，从其规定；构成犯罪的，依法追究刑事责任。</w:t>
      </w:r>
    </w:p>
    <w:p>
      <w:pPr>
        <w:pStyle w:val="Normal"/>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jc w:val="center"/>
        <w:outlineLvl w:val="0"/>
        <w:rPr>
          <w:rFonts w:ascii="宋体" w:hAnsi="宋体" w:eastAsia="宋体" w:cs="宋体" w:hint="eastAsia"/>
          <w:b w:val="false"/>
          <w:bCs w:val="false"/>
          <w:color w:val="000000"/>
          <w:sz w:val="32"/>
          <w:szCs w:val="32"/>
          <w:highlight w:val="none"/>
        </w:rPr>
      </w:pPr>
      <w:r>
        <w:rPr>
          <w:rFonts w:eastAsia="宋体" w:cs="宋体" w:hint="eastAsia" w:ascii="宋体" w:hAnsi="宋体"/>
          <w:b w:val="false"/>
          <w:bCs w:val="false"/>
          <w:color w:val="000000"/>
          <w:sz w:val="32"/>
          <w:szCs w:val="32"/>
        </w:rPr>
      </w:r>
    </w:p>
    <w:p>
      <w:pPr>
        <w:pStyle w:val="Normal"/>
        <w:keepNext w:val="false"/>
        <w:keepLines w:val="false"/>
        <w:pageBreakBefore w:val="false"/>
        <w:numPr>
          <w:ilvl w:val="0"/>
          <w:numId w:val="0"/>
        </w:numPr>
        <w:kinsoku w:val="true"/>
        <w:overflowPunct w:val="true"/>
        <w:autoSpaceDE w:val="true"/>
        <w:bidi w:val="0"/>
        <w:snapToGrid w:val="true"/>
        <w:spacing w:lineRule="auto" w:line="240"/>
        <w:jc w:val="center"/>
        <w:outlineLvl w:val="0"/>
        <w:rPr>
          <w:rFonts w:ascii="黑体" w:hAnsi="黑体" w:eastAsia="黑体" w:hint="eastAsia"/>
          <w:b w:val="false"/>
          <w:bCs w:val="false"/>
          <w:color w:val="000000"/>
          <w:sz w:val="32"/>
          <w:szCs w:val="32"/>
          <w:highlight w:val="none"/>
        </w:rPr>
      </w:pPr>
      <w:r>
        <w:rPr>
          <w:rFonts w:ascii="黑体" w:hAnsi="黑体" w:hint="eastAsia" w:eastAsia="黑体"/>
          <w:b w:val="false"/>
          <w:bCs w:val="false"/>
          <w:color w:val="000000"/>
          <w:sz w:val="32"/>
          <w:szCs w:val="32"/>
        </w:rPr>
        <w:t>第七章  附则</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rFonts w:ascii="宋体" w:hAnsi="宋体" w:eastAsia="宋体" w:cs="宋体" w:hint="eastAsia"/>
          <w:b w:val="false"/>
          <w:bCs w:val="false"/>
          <w:color w:val="000000"/>
          <w:sz w:val="32"/>
          <w:szCs w:val="32"/>
          <w:highlight w:val="none"/>
        </w:rPr>
      </w:pPr>
      <w:r>
        <w:rPr>
          <w:rFonts w:eastAsia="宋体" w:cs="宋体" w:hint="eastAsia" w:ascii="宋体" w:hAnsi="宋体"/>
          <w:b w:val="false"/>
          <w:bCs w:val="false"/>
          <w:color w:val="000000"/>
          <w:sz w:val="32"/>
          <w:szCs w:val="32"/>
        </w:rPr>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rPr/>
      </w:pPr>
      <w:r>
        <w:rPr>
          <w:rFonts w:ascii="黑体" w:hAnsi="黑体" w:eastAsia="黑体"/>
          <w:b w:val="false"/>
          <w:bCs w:val="false"/>
          <w:color w:val="000000"/>
          <w:sz w:val="32"/>
          <w:szCs w:val="32"/>
        </w:rPr>
        <w:t>第</w:t>
      </w:r>
      <w:r>
        <w:rPr>
          <w:rFonts w:ascii="黑体" w:hAnsi="黑体" w:hint="eastAsia" w:eastAsia="黑体"/>
          <w:b w:val="false"/>
          <w:bCs w:val="false"/>
          <w:color w:val="000000"/>
          <w:sz w:val="32"/>
          <w:szCs w:val="32"/>
        </w:rPr>
        <w:t>六十八</w:t>
      </w:r>
      <w:r>
        <w:rPr>
          <w:rFonts w:ascii="黑体" w:hAnsi="黑体" w:eastAsia="黑体"/>
          <w:b w:val="false"/>
          <w:bCs w:val="false"/>
          <w:color w:val="000000"/>
          <w:sz w:val="32"/>
          <w:szCs w:val="32"/>
        </w:rPr>
        <w:t>条</w:t>
      </w:r>
      <w:r>
        <w:rPr>
          <w:rFonts w:ascii="黑体" w:hAnsi="黑体" w:eastAsia="黑体"/>
          <w:b w:val="false"/>
          <w:bCs w:val="false"/>
          <w:sz w:val="32"/>
          <w:szCs w:val="32"/>
        </w:rPr>
        <w:t xml:space="preserve">  </w:t>
      </w:r>
      <w:r>
        <w:rPr>
          <w:rFonts w:ascii="仿宋_GB2312" w:hAnsi="仿宋_GB2312" w:cs="仿宋_GB2312" w:hint="eastAsia"/>
          <w:b w:val="false"/>
          <w:bCs w:val="false"/>
          <w:color w:val="000000"/>
          <w:sz w:val="32"/>
          <w:szCs w:val="32"/>
        </w:rPr>
        <w:t>本条例自</w:t>
      </w:r>
      <w:r>
        <w:rPr>
          <w:rFonts w:cs="仿宋_GB2312" w:hint="eastAsia" w:ascii="仿宋_GB2312" w:hAnsi="仿宋_GB2312"/>
          <w:b w:val="false"/>
          <w:bCs w:val="false"/>
          <w:color w:val="000000"/>
          <w:sz w:val="32"/>
          <w:szCs w:val="32"/>
        </w:rPr>
        <w:t>2022</w:t>
      </w:r>
      <w:r>
        <w:rPr>
          <w:rFonts w:ascii="仿宋_GB2312" w:hAnsi="仿宋_GB2312" w:cs="仿宋_GB2312" w:hint="eastAsia"/>
          <w:b w:val="false"/>
          <w:bCs w:val="false"/>
          <w:color w:val="000000"/>
          <w:sz w:val="32"/>
          <w:szCs w:val="32"/>
        </w:rPr>
        <w:t>年</w:t>
      </w:r>
      <w:r>
        <w:rPr>
          <w:rFonts w:cs="仿宋_GB2312" w:hint="eastAsia" w:ascii="仿宋_GB2312" w:hAnsi="仿宋_GB2312"/>
          <w:b w:val="false"/>
          <w:bCs w:val="false"/>
          <w:color w:val="000000"/>
          <w:sz w:val="32"/>
          <w:szCs w:val="32"/>
        </w:rPr>
        <w:t>8</w:t>
      </w:r>
      <w:r>
        <w:rPr>
          <w:rFonts w:ascii="仿宋_GB2312" w:hAnsi="仿宋_GB2312" w:cs="仿宋_GB2312" w:hint="eastAsia"/>
          <w:b w:val="false"/>
          <w:bCs w:val="false"/>
          <w:color w:val="000000"/>
          <w:sz w:val="32"/>
          <w:szCs w:val="32"/>
        </w:rPr>
        <w:t>月</w:t>
      </w:r>
      <w:r>
        <w:rPr>
          <w:rFonts w:cs="仿宋_GB2312" w:hint="eastAsia" w:ascii="仿宋_GB2312" w:hAnsi="仿宋_GB2312"/>
          <w:b w:val="false"/>
          <w:bCs w:val="false"/>
          <w:color w:val="000000"/>
          <w:sz w:val="32"/>
          <w:szCs w:val="32"/>
        </w:rPr>
        <w:t>1</w:t>
      </w:r>
      <w:r>
        <w:rPr>
          <w:rFonts w:ascii="仿宋_GB2312" w:hAnsi="仿宋_GB2312" w:cs="仿宋_GB2312" w:hint="eastAsia"/>
          <w:b w:val="false"/>
          <w:bCs w:val="false"/>
          <w:color w:val="000000"/>
          <w:sz w:val="32"/>
          <w:szCs w:val="32"/>
        </w:rPr>
        <w:t>日起施行。</w:t>
      </w:r>
      <w:r>
        <w:rPr>
          <w:rFonts w:eastAsia="仿宋_GB2312" w:cs="仿宋_GB2312" w:hint="eastAsia" w:ascii="仿宋_GB2312" w:hAnsi="仿宋_GB2312"/>
          <w:b w:val="false"/>
          <w:bCs w:val="false"/>
          <w:color w:val="000000"/>
          <w:sz w:val="32"/>
          <w:szCs w:val="32"/>
        </w:rPr>
        <w:t>2004</w:t>
      </w:r>
      <w:r>
        <w:rPr>
          <w:rFonts w:ascii="仿宋_GB2312" w:hAnsi="仿宋_GB2312" w:cs="仿宋_GB2312" w:hint="eastAsia"/>
          <w:b w:val="false"/>
          <w:bCs w:val="false"/>
          <w:color w:val="000000"/>
          <w:sz w:val="32"/>
          <w:szCs w:val="32"/>
        </w:rPr>
        <w:t>年</w:t>
      </w:r>
      <w:r>
        <w:rPr>
          <w:rFonts w:eastAsia="仿宋_GB2312" w:cs="仿宋_GB2312" w:hint="eastAsia" w:ascii="仿宋_GB2312" w:hAnsi="仿宋_GB2312"/>
          <w:b w:val="false"/>
          <w:bCs w:val="false"/>
          <w:color w:val="000000"/>
          <w:sz w:val="32"/>
          <w:szCs w:val="32"/>
        </w:rPr>
        <w:t>1</w:t>
      </w:r>
      <w:r>
        <w:rPr>
          <w:rFonts w:ascii="仿宋_GB2312" w:hAnsi="仿宋_GB2312" w:cs="仿宋_GB2312" w:hint="eastAsia"/>
          <w:b w:val="false"/>
          <w:bCs w:val="false"/>
          <w:color w:val="000000"/>
          <w:sz w:val="32"/>
          <w:szCs w:val="32"/>
        </w:rPr>
        <w:t>月</w:t>
      </w:r>
      <w:r>
        <w:rPr>
          <w:rFonts w:eastAsia="仿宋_GB2312" w:cs="仿宋_GB2312" w:hint="eastAsia" w:ascii="仿宋_GB2312" w:hAnsi="仿宋_GB2312"/>
          <w:b w:val="false"/>
          <w:bCs w:val="false"/>
          <w:color w:val="000000"/>
          <w:sz w:val="32"/>
          <w:szCs w:val="32"/>
        </w:rPr>
        <w:t>6</w:t>
      </w:r>
      <w:r>
        <w:rPr>
          <w:rFonts w:ascii="仿宋_GB2312" w:hAnsi="仿宋_GB2312" w:cs="仿宋_GB2312" w:hint="eastAsia"/>
          <w:b w:val="false"/>
          <w:bCs w:val="false"/>
          <w:color w:val="000000"/>
          <w:sz w:val="32"/>
          <w:szCs w:val="32"/>
        </w:rPr>
        <w:t>日天津市第十四届人民代表大会常务委员会第八次会议通过、</w:t>
      </w:r>
      <w:r>
        <w:rPr>
          <w:rFonts w:eastAsia="仿宋_GB2312" w:cs="仿宋_GB2312" w:hint="eastAsia" w:ascii="仿宋_GB2312" w:hAnsi="仿宋_GB2312"/>
          <w:b w:val="false"/>
          <w:bCs w:val="false"/>
          <w:color w:val="000000"/>
          <w:sz w:val="32"/>
          <w:szCs w:val="32"/>
        </w:rPr>
        <w:t>2016</w:t>
      </w:r>
      <w:r>
        <w:rPr>
          <w:rFonts w:ascii="仿宋_GB2312" w:hAnsi="仿宋_GB2312" w:cs="仿宋_GB2312" w:hint="eastAsia"/>
          <w:b w:val="false"/>
          <w:bCs w:val="false"/>
          <w:color w:val="000000"/>
          <w:sz w:val="32"/>
          <w:szCs w:val="32"/>
        </w:rPr>
        <w:t>年</w:t>
      </w:r>
      <w:r>
        <w:rPr>
          <w:rFonts w:eastAsia="仿宋_GB2312" w:cs="仿宋_GB2312" w:hint="eastAsia" w:ascii="仿宋_GB2312" w:hAnsi="仿宋_GB2312"/>
          <w:b w:val="false"/>
          <w:bCs w:val="false"/>
          <w:color w:val="000000"/>
          <w:sz w:val="32"/>
          <w:szCs w:val="32"/>
        </w:rPr>
        <w:t>3</w:t>
      </w:r>
      <w:r>
        <w:rPr>
          <w:rFonts w:ascii="仿宋_GB2312" w:hAnsi="仿宋_GB2312" w:cs="仿宋_GB2312" w:hint="eastAsia"/>
          <w:b w:val="false"/>
          <w:bCs w:val="false"/>
          <w:color w:val="000000"/>
          <w:sz w:val="32"/>
          <w:szCs w:val="32"/>
        </w:rPr>
        <w:t>月</w:t>
      </w:r>
      <w:r>
        <w:rPr>
          <w:rFonts w:eastAsia="仿宋_GB2312" w:cs="仿宋_GB2312" w:hint="eastAsia" w:ascii="仿宋_GB2312" w:hAnsi="仿宋_GB2312"/>
          <w:b w:val="false"/>
          <w:bCs w:val="false"/>
          <w:color w:val="000000"/>
          <w:sz w:val="32"/>
          <w:szCs w:val="32"/>
        </w:rPr>
        <w:t>30</w:t>
      </w:r>
      <w:r>
        <w:rPr>
          <w:rFonts w:ascii="仿宋_GB2312" w:hAnsi="仿宋_GB2312" w:cs="仿宋_GB2312" w:hint="eastAsia"/>
          <w:b w:val="false"/>
          <w:bCs w:val="false"/>
          <w:color w:val="000000"/>
          <w:sz w:val="32"/>
          <w:szCs w:val="32"/>
        </w:rPr>
        <w:t>日天津市第十六届人民代表大会常务委员会第二十五次会议修正的《天津市社会治安综合治理条例》同时废止。</w:t>
      </w:r>
    </w:p>
    <w:sectPr>
      <w:footerReference w:type="default" r:id="rId3"/>
      <w:type w:val="nextPage"/>
      <w:pgSz w:w="11906" w:h="16838"/>
      <w:pgMar w:left="1531" w:right="1531" w:gutter="0" w:header="0" w:top="2098" w:footer="1134" w:bottom="1984"/>
      <w:pgNumType w:start="1"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华文宋体">
    <w:charset w:val="86"/>
    <w:family w:val="auto"/>
    <w:pitch w:val="default"/>
  </w:font>
  <w:font w:name="Liberation Sans">
    <w:altName w:val="Arial"/>
    <w:charset w:val="01" w:characterSet="utf-8"/>
    <w:family w:val="swiss"/>
    <w:pitch w:val="variable"/>
  </w:font>
  <w:font w:name="Calibri">
    <w:altName w:val="DejaVu Sans"/>
    <w:charset w:val="00" w:characterSet="windows-1252"/>
    <w:family w:val="swiss"/>
    <w:pitch w:val="default"/>
  </w:font>
  <w:font w:name="仿宋_GB2312">
    <w:charset w:val="86"/>
    <w:family w:val="modern"/>
    <w:pitch w:val="default"/>
  </w:font>
  <w:font w:name="黑体">
    <w:charset w:val="86"/>
    <w:family w:val="auto"/>
    <w:pitch w:val="default"/>
  </w:font>
  <w:font w:name="方正小标宋简体">
    <w:charset w:val="86"/>
    <w:family w:val="script"/>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sz w:val="28"/>
        <w:szCs w:val="28"/>
      </w:rPr>
    </w:r>
    <w:r>
      <mc:AlternateContent>
        <mc:Choice Requires="wps">
          <w:drawing>
            <wp:anchor distT="0" distB="0" distL="114935" distR="0" simplePos="0" relativeHeight="20" behindDoc="1" locked="0" layoutInCell="0" allowOverlap="1">
              <wp:simplePos x="0" y="0"/>
              <wp:positionH relativeFrom="margin">
                <wp:align>outside</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Footer"/>
                            <w:jc w:val="center"/>
                            <w:rPr>
                              <w:rFonts w:ascii="Times New Roman" w:hAnsi="Times New Roman" w:eastAsia="Nimbus Roman No9 L;华文中宋" w:cs="Times New Roman"/>
                              <w:sz w:val="28"/>
                              <w:szCs w:val="28"/>
                            </w:rPr>
                          </w:pPr>
                          <w:r>
                            <w:rPr>
                              <w:rFonts w:eastAsia="Nimbus Roman No9 L;华文中宋" w:cs="Times New Roman"/>
                              <w:sz w:val="28"/>
                              <w:szCs w:val="28"/>
                            </w:rPr>
                            <w:fldChar w:fldCharType="begin"/>
                          </w:r>
                          <w:r>
                            <w:rPr>
                              <w:rFonts w:eastAsia="Nimbus Roman No9 L;华文中宋" w:cs="Times New Roman"/>
                              <w:sz w:val="28"/>
                              <w:szCs w:val="28"/>
                            </w:rPr>
                            <w:instrText xml:space="preserve"> PAGE </w:instrText>
                          </w:r>
                          <w:r>
                            <w:rPr>
                              <w:rFonts w:eastAsia="Nimbus Roman No9 L;华文中宋" w:cs="Times New Roman"/>
                              <w:sz w:val="28"/>
                              <w:szCs w:val="28"/>
                            </w:rPr>
                            <w:fldChar w:fldCharType="separate"/>
                          </w:r>
                          <w:r>
                            <w:rPr>
                              <w:rFonts w:eastAsia="Nimbus Roman No9 L;华文中宋" w:cs="Times New Roman"/>
                              <w:sz w:val="28"/>
                              <w:szCs w:val="28"/>
                            </w:rPr>
                            <w:t>19</w:t>
                          </w:r>
                          <w:r>
                            <w:rPr>
                              <w:rFonts w:eastAsia="Nimbus Roman No9 L;华文中宋" w:cs="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0pt;mso-wrap-distance-top:0pt;mso-wrap-distance-bottom:0pt;margin-top:0pt;mso-position-vertical-relative:text;margin-left:428.05pt;mso-position-horizontal:outside;mso-position-horizontal-relative:margin">
              <v:fill opacity="0f"/>
              <v:textbox inset="0.000694444444444445in,0.000694444444444445in,0.000694444444444445in,0.000694444444444445in">
                <w:txbxContent>
                  <w:p>
                    <w:pPr>
                      <w:pStyle w:val="Footer"/>
                      <w:jc w:val="center"/>
                      <w:rPr>
                        <w:rFonts w:ascii="Times New Roman" w:hAnsi="Times New Roman" w:eastAsia="Nimbus Roman No9 L;华文中宋" w:cs="Times New Roman"/>
                        <w:sz w:val="28"/>
                        <w:szCs w:val="28"/>
                      </w:rPr>
                    </w:pPr>
                    <w:r>
                      <w:rPr>
                        <w:rFonts w:eastAsia="Nimbus Roman No9 L;华文中宋" w:cs="Times New Roman"/>
                        <w:sz w:val="28"/>
                        <w:szCs w:val="28"/>
                      </w:rPr>
                      <w:fldChar w:fldCharType="begin"/>
                    </w:r>
                    <w:r>
                      <w:rPr>
                        <w:rFonts w:eastAsia="Nimbus Roman No9 L;华文中宋" w:cs="Times New Roman"/>
                        <w:sz w:val="28"/>
                        <w:szCs w:val="28"/>
                      </w:rPr>
                      <w:instrText xml:space="preserve"> PAGE </w:instrText>
                    </w:r>
                    <w:r>
                      <w:rPr>
                        <w:rFonts w:eastAsia="Nimbus Roman No9 L;华文中宋" w:cs="Times New Roman"/>
                        <w:sz w:val="28"/>
                        <w:szCs w:val="28"/>
                      </w:rPr>
                      <w:fldChar w:fldCharType="separate"/>
                    </w:r>
                    <w:r>
                      <w:rPr>
                        <w:rFonts w:eastAsia="Nimbus Roman No9 L;华文中宋" w:cs="Times New Roman"/>
                        <w:sz w:val="28"/>
                        <w:szCs w:val="28"/>
                      </w:rPr>
                      <w:t>19</w:t>
                    </w:r>
                    <w:r>
                      <w:rPr>
                        <w:rFonts w:eastAsia="Nimbus Roman No9 L;华文中宋" w:cs="Times New Roman"/>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paragraph" w:styleId="Heading2">
    <w:name w:val="heading 2"/>
    <w:basedOn w:val="Normal"/>
    <w:next w:val="Normal"/>
    <w:qFormat/>
    <w:pPr>
      <w:numPr>
        <w:ilvl w:val="1"/>
        <w:numId w:val="1"/>
      </w:numPr>
      <w:spacing w:before="280" w:after="280"/>
      <w:jc w:val="start"/>
      <w:outlineLvl w:val="1"/>
    </w:pPr>
    <w:rPr>
      <w:rFonts w:ascii="宋体" w:hAnsi="宋体" w:eastAsia="宋体" w:cs="宋体" w:hint="eastAsia"/>
      <w:b/>
      <w:kern w:val="0"/>
      <w:sz w:val="36"/>
      <w:szCs w:val="36"/>
      <w:lang w:bidi="ar"/>
    </w:rPr>
  </w:style>
  <w:style w:type="character" w:styleId="Style13">
    <w:name w:val="默认段落字体"/>
    <w:qFormat/>
    <w:rPr/>
  </w:style>
  <w:style w:type="character" w:styleId="Char">
    <w:name w:val="纯文本 Char"/>
    <w:qFormat/>
    <w:rPr>
      <w:rFonts w:ascii="宋体" w:hAnsi="宋体" w:eastAsia="仿宋_GB2312" w:cs="Courier New;DejaVu Sans"/>
      <w:sz w:val="21"/>
    </w:rPr>
  </w:style>
  <w:style w:type="character" w:styleId="CharChar2">
    <w:name w:val="Char Char2"/>
    <w:qFormat/>
    <w:rPr>
      <w:rFonts w:ascii="华文宋体" w:hAnsi="华文宋体" w:eastAsia="仿宋_GB2312" w:cs="华文宋体"/>
      <w:kern w:val="2"/>
      <w:sz w:val="21"/>
    </w:rPr>
  </w:style>
  <w:style w:type="character" w:styleId="Char1">
    <w:name w:val="页脚 Char"/>
    <w:qFormat/>
    <w:rPr>
      <w:rFonts w:ascii="Times New Roman" w:hAnsi="Times New Roman" w:eastAsia="仿宋_GB2312" w:cs="Times New Roman"/>
      <w:sz w:val="18"/>
    </w:rPr>
  </w:style>
  <w:style w:type="character" w:styleId="navtiao">
    <w:name w:val="navtiao"/>
    <w:basedOn w:val="Style13"/>
    <w:qFormat/>
    <w:rPr>
      <w:b/>
      <w:bCs/>
    </w:rPr>
  </w:style>
  <w:style w:type="character" w:styleId="Hyperlink">
    <w:name w:val="Hyperlink"/>
    <w:rPr>
      <w:rFonts w:cs="Times New Roman"/>
      <w:color w:val="0000FF"/>
      <w:u w:val="single"/>
    </w:rPr>
  </w:style>
  <w:style w:type="character" w:styleId="Char2">
    <w:name w:val="批注框文本 Char"/>
    <w:qFormat/>
    <w:rPr>
      <w:rFonts w:ascii="Times New Roman" w:hAnsi="Times New Roman" w:eastAsia="仿宋_GB2312" w:cs="Times New Roman"/>
      <w:sz w:val="18"/>
    </w:rPr>
  </w:style>
  <w:style w:type="character" w:styleId="Strong">
    <w:name w:val="Strong"/>
    <w:basedOn w:val="Style13"/>
    <w:qFormat/>
    <w:rPr>
      <w:b/>
    </w:rPr>
  </w:style>
  <w:style w:type="character" w:styleId="PageNumber">
    <w:name w:val="page number"/>
    <w:rPr/>
  </w:style>
  <w:style w:type="character" w:styleId="Char3">
    <w:name w:val="页眉 Char"/>
    <w:qFormat/>
    <w:rPr>
      <w:rFonts w:ascii="Times New Roman" w:hAnsi="Times New Roman" w:eastAsia="仿宋_GB2312" w:cs="Times New Roman"/>
      <w:sz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仿宋"/>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批注框文本"/>
    <w:basedOn w:val="Normal"/>
    <w:qFormat/>
    <w:pPr/>
    <w:rPr>
      <w:kern w:val="0"/>
      <w:sz w:val="18"/>
    </w:rPr>
  </w:style>
  <w:style w:type="paragraph" w:styleId="WPSOffice1">
    <w:name w:val="WPSOffice手动目录 1"/>
    <w:qFormat/>
    <w:pPr>
      <w:widowControl/>
      <w:bidi w:val="0"/>
      <w:ind w:firstLineChars="0" w:firstLine="0" w:startChars="0" w:start="0" w:endChars="0" w:end="0"/>
    </w:pPr>
    <w:rPr>
      <w:rFonts w:ascii="Calibri;DejaVu Sans" w:hAnsi="Calibri;DejaVu Sans" w:eastAsia="宋体" w:cs="Times New Roman"/>
      <w:color w:val="auto"/>
      <w:sz w:val="20"/>
      <w:szCs w:val="20"/>
      <w:lang w:val="en-US" w:eastAsia="zh-CN" w:bidi="hi-I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next w:val="Normal"/>
    <w:pPr>
      <w:tabs>
        <w:tab w:val="clear" w:pos="420"/>
        <w:tab w:val="center" w:pos="4153" w:leader="none"/>
        <w:tab w:val="right" w:pos="8306" w:leader="none"/>
      </w:tabs>
      <w:snapToGrid w:val="false"/>
      <w:jc w:val="start"/>
    </w:pPr>
    <w:rPr>
      <w:kern w:val="0"/>
      <w:sz w:val="18"/>
    </w:rPr>
  </w:style>
  <w:style w:type="paragraph" w:styleId="Style15">
    <w:name w:val="列出段落"/>
    <w:basedOn w:val="Normal"/>
    <w:qFormat/>
    <w:pPr>
      <w:ind w:firstLineChars="200" w:startChars="0" w:start="0" w:endChars="0" w:end="0"/>
    </w:pPr>
    <w:rPr/>
  </w:style>
  <w:style w:type="paragraph" w:styleId="Style16">
    <w:name w:val="纯文本"/>
    <w:basedOn w:val="Normal"/>
    <w:qFormat/>
    <w:pPr/>
    <w:rPr>
      <w:rFonts w:ascii="宋体" w:hAnsi="宋体" w:cs="Courier New;DejaVu Sans"/>
      <w:kern w:val="0"/>
      <w:sz w:val="21"/>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0"/>
      <w:sz w:val="18"/>
    </w:rPr>
  </w:style>
  <w:style w:type="paragraph" w:styleId="2">
    <w:name w:val="正文文本缩进 2"/>
    <w:basedOn w:val="Normal"/>
    <w:qFormat/>
    <w:pPr>
      <w:spacing w:lineRule="auto" w:line="360"/>
      <w:ind w:firstLine="555" w:start="0" w:end="0"/>
    </w:pPr>
    <w:rPr>
      <w:rFonts w:ascii="仿宋_GB2312" w:hAnsi="仿宋_GB2312" w:eastAsia="仿宋_GB2312"/>
      <w:sz w:val="28"/>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navzhang">
    <w:name w:val="navzhang"/>
    <w:basedOn w:val="Normal"/>
    <w:qFormat/>
    <w:pPr/>
    <w:rPr/>
  </w:style>
  <w:style w:type="paragraph" w:styleId="Style17">
    <w:name w:val="正文缩进"/>
    <w:basedOn w:val="Normal"/>
    <w:qFormat/>
    <w:pPr>
      <w:ind w:firstLineChars="200" w:startChars="0" w:start="0" w:endChars="0" w:end="0"/>
    </w:pPr>
    <w:rPr/>
  </w:style>
  <w:style w:type="paragraph" w:styleId="Style18">
    <w:name w:val="普通(网站)"/>
    <w:basedOn w:val="Normal"/>
    <w:qFormat/>
    <w:pPr>
      <w:spacing w:before="280" w:after="280"/>
      <w:ind w:hanging="0" w:start="0" w:end="0"/>
      <w:jc w:val="start"/>
    </w:pPr>
    <w:rPr>
      <w:kern w:val="0"/>
      <w:sz w:val="24"/>
      <w:lang w:bidi="ar"/>
    </w:rPr>
  </w:style>
  <w:style w:type="paragraph" w:styleId="BodyText1">
    <w:name w:val="BodyText"/>
    <w:basedOn w:val="Normal"/>
    <w:qFormat/>
    <w:pPr>
      <w:jc w:val="both"/>
      <w:textAlignment w:val="baseline"/>
    </w:pPr>
    <w:rPr>
      <w:rFonts w:ascii="Calibri;DejaVu Sans" w:hAnsi="Calibri;DejaVu Sans" w:eastAsia="文星仿宋;仿宋" w:cs="Calibri;DejaVu Sans"/>
      <w:kern w:val="2"/>
      <w:sz w:val="32"/>
      <w:szCs w:val="32"/>
    </w:rPr>
  </w:style>
  <w:style w:type="paragraph" w:styleId="CharCharCharChar">
    <w:name w:val="Char Char Char Char"/>
    <w:basedOn w:val="Normal"/>
    <w:qFormat/>
    <w:pPr>
      <w:snapToGrid w:val="false"/>
      <w:spacing w:lineRule="exact" w:line="520"/>
      <w:ind w:firstLineChars="200" w:startChars="0" w:start="0" w:endChars="0" w:end="0"/>
      <w:jc w:val="center"/>
    </w:pPr>
    <w:rPr>
      <w:rFonts w:ascii="黑体" w:hAnsi="黑体" w:cs="黑体"/>
      <w:b/>
      <w:bCs/>
      <w:color w:val="000000"/>
      <w:sz w:val="28"/>
      <w:szCs w:val="28"/>
    </w:rPr>
  </w:style>
  <w:style w:type="paragraph" w:styleId="HTML">
    <w:name w:val="HTML 预设格式"/>
    <w:basedOn w:val="Normal"/>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hint="eastAsia"/>
      <w:kern w:val="0"/>
      <w:sz w:val="24"/>
      <w:szCs w:val="24"/>
      <w:lang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void(0);"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2019-05-01T22:19:00Z</dcterms:created>
  <dc:creator>admin</dc:creator>
  <dc:description/>
  <dc:language>en-US</dc:language>
  <cp:lastModifiedBy>杨雨妹</cp:lastModifiedBy>
  <cp:lastPrinted>2022-07-17T14:43:00Z</cp:lastPrinted>
  <dcterms:modified xsi:type="dcterms:W3CDTF">2022-08-12T18:14:14Z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C2F01000CB5277B2CB579F62BCEBAE25</vt:lpwstr>
  </property>
  <property fmtid="{D5CDD505-2E9C-101B-9397-08002B2CF9AE}" pid="3" name="KSOProductBuildVer">
    <vt:lpwstr>2052-10.8.0.7149</vt:lpwstr>
  </property>
</Properties>
</file>