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bidi w:val="0"/>
        <w:spacing w:lineRule="atLeast" w:line="300"/>
        <w:rPr>
          <w:rFonts w:hint="eastAsia"/>
        </w:rPr>
      </w:pPr>
      <w:r>
        <w:rPr>
          <w:rFonts w:hint="eastAsia"/>
        </w:rPr>
      </w:r>
    </w:p>
    <w:p>
      <w:pPr>
        <w:pStyle w:val="Normal"/>
        <w:keepNext w:val="false"/>
        <w:keepLines w:val="false"/>
        <w:pageBreakBefore w:val="false"/>
        <w:widowControl w:val="false"/>
        <w:kinsoku w:val="true"/>
        <w:overflowPunct w:val="true"/>
        <w:bidi w:val="0"/>
        <w:snapToGrid w:val="false"/>
        <w:spacing w:lineRule="atLeast" w:line="300"/>
        <w:jc w:val="center"/>
        <w:rPr>
          <w:rFonts w:ascii="宋体" w:hAnsi="宋体" w:eastAsia="宋体" w:cs="宋体" w:hint="eastAsia"/>
          <w:bCs/>
          <w:sz w:val="44"/>
          <w:szCs w:val="44"/>
        </w:rPr>
      </w:pPr>
      <w:r>
        <w:rPr>
          <w:rFonts w:ascii="宋体" w:hAnsi="宋体" w:cs="宋体" w:hint="eastAsia" w:eastAsia="宋体"/>
          <w:sz w:val="44"/>
          <w:szCs w:val="44"/>
        </w:rPr>
        <w:t>天</w:t>
      </w:r>
      <w:r>
        <w:rPr>
          <w:rFonts w:ascii="宋体" w:hAnsi="宋体" w:cs="宋体" w:hint="eastAsia" w:eastAsia="宋体"/>
          <w:bCs/>
          <w:sz w:val="44"/>
          <w:szCs w:val="44"/>
        </w:rPr>
        <w:t>津市地方金融监督管理条例</w:t>
      </w:r>
    </w:p>
    <w:p>
      <w:pPr>
        <w:pStyle w:val="Normal"/>
        <w:keepNext w:val="false"/>
        <w:keepLines w:val="false"/>
        <w:pageBreakBefore w:val="false"/>
        <w:widowControl w:val="false"/>
        <w:kinsoku w:val="true"/>
        <w:overflowPunct w:val="true"/>
        <w:bidi w:val="0"/>
        <w:spacing w:lineRule="atLeast" w:line="300"/>
        <w:jc w:val="center"/>
        <w:rPr>
          <w:rFonts w:ascii="楷体_GB2312" w:hAnsi="楷体_GB2312" w:eastAsia="楷体_GB2312" w:cs="Times New Roman" w:hint="eastAsia"/>
          <w:bCs/>
          <w:color w:val="000000"/>
          <w:sz w:val="44"/>
          <w:szCs w:val="32"/>
        </w:rPr>
      </w:pPr>
      <w:r>
        <w:rPr>
          <w:rFonts w:eastAsia="楷体_GB2312" w:cs="Times New Roman" w:hint="eastAsia" w:ascii="楷体_GB2312" w:hAnsi="楷体_GB2312"/>
          <w:bCs/>
          <w:color w:val="000000"/>
          <w:sz w:val="44"/>
          <w:szCs w:val="32"/>
        </w:rPr>
      </w:r>
    </w:p>
    <w:p>
      <w:pPr>
        <w:pStyle w:val="Normal"/>
        <w:keepNext w:val="false"/>
        <w:keepLines w:val="false"/>
        <w:pageBreakBefore w:val="false"/>
        <w:widowControl w:val="false"/>
        <w:kinsoku w:val="true"/>
        <w:overflowPunct w:val="true"/>
        <w:bidi w:val="0"/>
        <w:spacing w:lineRule="atLeast" w:line="300"/>
        <w:jc w:val="center"/>
        <w:rPr>
          <w:rFonts w:ascii="楷体_GB2312" w:hAnsi="楷体_GB2312" w:eastAsia="楷体_GB2312" w:hint="eastAsia"/>
          <w:color w:val="000000"/>
        </w:rPr>
      </w:pPr>
      <w:r>
        <w:rPr>
          <w:rFonts w:eastAsia="楷体_GB2312" w:hint="eastAsia" w:ascii="楷体_GB2312" w:hAnsi="楷体_GB2312"/>
          <w:color w:val="000000"/>
        </w:rPr>
        <w:t>(2019</w:t>
      </w:r>
      <w:r>
        <w:rPr>
          <w:rFonts w:ascii="楷体_GB2312" w:hAnsi="楷体_GB2312" w:hint="eastAsia" w:eastAsia="楷体_GB2312"/>
          <w:color w:val="000000"/>
        </w:rPr>
        <w:t>年</w:t>
      </w:r>
      <w:r>
        <w:rPr>
          <w:rFonts w:eastAsia="楷体_GB2312" w:hint="eastAsia" w:ascii="楷体_GB2312" w:hAnsi="楷体_GB2312"/>
          <w:color w:val="000000"/>
        </w:rPr>
        <w:t>5</w:t>
      </w:r>
      <w:r>
        <w:rPr>
          <w:rFonts w:ascii="楷体_GB2312" w:hAnsi="楷体_GB2312" w:hint="eastAsia" w:eastAsia="楷体_GB2312"/>
          <w:color w:val="000000"/>
        </w:rPr>
        <w:t>月</w:t>
      </w:r>
      <w:r>
        <w:rPr>
          <w:rFonts w:eastAsia="楷体_GB2312" w:hint="eastAsia" w:ascii="楷体_GB2312" w:hAnsi="楷体_GB2312"/>
          <w:color w:val="000000"/>
        </w:rPr>
        <w:t>30</w:t>
      </w:r>
      <w:r>
        <w:rPr>
          <w:rFonts w:ascii="楷体_GB2312" w:hAnsi="楷体_GB2312" w:hint="eastAsia" w:eastAsia="楷体_GB2312"/>
          <w:color w:val="000000"/>
        </w:rPr>
        <w:t>日天津市第十七届人民代表</w:t>
      </w:r>
    </w:p>
    <w:p>
      <w:pPr>
        <w:pStyle w:val="Normal"/>
        <w:keepNext w:val="false"/>
        <w:keepLines w:val="false"/>
        <w:pageBreakBefore w:val="false"/>
        <w:widowControl w:val="false"/>
        <w:kinsoku w:val="true"/>
        <w:overflowPunct w:val="true"/>
        <w:bidi w:val="0"/>
        <w:spacing w:lineRule="atLeast" w:line="300"/>
        <w:jc w:val="center"/>
        <w:rPr>
          <w:rFonts w:ascii="楷体_GB2312" w:hAnsi="楷体_GB2312" w:eastAsia="楷体_GB2312" w:hint="eastAsia"/>
          <w:color w:val="000000"/>
        </w:rPr>
      </w:pPr>
      <w:r>
        <w:rPr>
          <w:rFonts w:ascii="楷体_GB2312" w:hAnsi="楷体_GB2312" w:hint="eastAsia" w:eastAsia="楷体_GB2312"/>
          <w:color w:val="000000"/>
        </w:rPr>
        <w:t>大会常务委员会第十一次会议通过）</w:t>
      </w:r>
    </w:p>
    <w:p>
      <w:pPr>
        <w:pStyle w:val="Normal"/>
        <w:keepNext w:val="false"/>
        <w:keepLines w:val="false"/>
        <w:pageBreakBefore w:val="false"/>
        <w:widowControl w:val="false"/>
        <w:kinsoku w:val="true"/>
        <w:overflowPunct w:val="true"/>
        <w:bidi w:val="0"/>
        <w:spacing w:lineRule="atLeast" w:line="300"/>
        <w:rPr>
          <w:rFonts w:ascii="楷体_GB2312" w:hAnsi="楷体_GB2312" w:eastAsia="楷体_GB2312" w:cs="Times New Roman" w:hint="eastAsia"/>
          <w:color w:val="000000"/>
          <w:szCs w:val="32"/>
        </w:rPr>
      </w:pPr>
      <w:r>
        <w:rPr>
          <w:rFonts w:eastAsia="楷体_GB2312" w:cs="Times New Roman" w:hint="eastAsia" w:ascii="楷体_GB2312" w:hAnsi="楷体_GB2312"/>
          <w:color w:val="000000"/>
          <w:szCs w:val="32"/>
        </w:rPr>
      </w:r>
    </w:p>
    <w:p>
      <w:pPr>
        <w:pStyle w:val="Normal"/>
        <w:keepNext w:val="false"/>
        <w:keepLines w:val="false"/>
        <w:pageBreakBefore w:val="false"/>
        <w:widowControl w:val="false"/>
        <w:kinsoku w:val="true"/>
        <w:overflowPunct w:val="true"/>
        <w:bidi w:val="0"/>
        <w:spacing w:lineRule="atLeast" w:line="300"/>
        <w:jc w:val="center"/>
        <w:rPr>
          <w:rFonts w:ascii="楷体_GB2312" w:hAnsi="楷体_GB2312" w:eastAsia="楷体_GB2312" w:cs="Times New Roman" w:hint="eastAsia"/>
          <w:color w:val="000000"/>
          <w:szCs w:val="32"/>
        </w:rPr>
      </w:pPr>
      <w:r>
        <w:rPr>
          <w:rFonts w:ascii="楷体_GB2312" w:hAnsi="楷体_GB2312" w:cs="Times New Roman" w:hint="eastAsia" w:eastAsia="楷体_GB2312"/>
          <w:color w:val="000000"/>
          <w:szCs w:val="32"/>
        </w:rPr>
        <w:t>目  录</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jc w:val="start"/>
        <w:rPr>
          <w:rFonts w:ascii="楷体_GB2312" w:hAnsi="楷体_GB2312" w:eastAsia="楷体_GB2312" w:cs="Times New Roman" w:hint="eastAsia"/>
          <w:color w:val="000000"/>
          <w:szCs w:val="32"/>
        </w:rPr>
      </w:pPr>
      <w:r>
        <w:rPr>
          <w:rFonts w:ascii="楷体_GB2312" w:hAnsi="楷体_GB2312" w:cs="Times New Roman" w:hint="eastAsia" w:eastAsia="楷体_GB2312"/>
          <w:color w:val="000000"/>
          <w:szCs w:val="32"/>
        </w:rPr>
        <w:t>第一章  总  则</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jc w:val="start"/>
        <w:rPr>
          <w:rFonts w:ascii="楷体_GB2312" w:hAnsi="楷体_GB2312" w:eastAsia="楷体_GB2312" w:cs="Times New Roman" w:hint="eastAsia"/>
          <w:color w:val="000000"/>
          <w:szCs w:val="32"/>
        </w:rPr>
      </w:pPr>
      <w:r>
        <w:rPr>
          <w:rFonts w:ascii="楷体_GB2312" w:hAnsi="楷体_GB2312" w:cs="Times New Roman" w:hint="eastAsia" w:eastAsia="楷体_GB2312"/>
          <w:color w:val="000000"/>
          <w:szCs w:val="32"/>
        </w:rPr>
        <w:t>第二章  地方金融组织</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jc w:val="start"/>
        <w:rPr>
          <w:rFonts w:ascii="楷体_GB2312" w:hAnsi="楷体_GB2312" w:eastAsia="楷体_GB2312" w:cs="Times New Roman" w:hint="eastAsia"/>
          <w:color w:val="000000"/>
          <w:szCs w:val="32"/>
        </w:rPr>
      </w:pPr>
      <w:r>
        <w:rPr>
          <w:rFonts w:ascii="楷体_GB2312" w:hAnsi="楷体_GB2312" w:cs="Times New Roman" w:hint="eastAsia" w:eastAsia="楷体_GB2312"/>
          <w:color w:val="000000"/>
          <w:szCs w:val="32"/>
        </w:rPr>
        <w:t>第三章  监督管理</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jc w:val="start"/>
        <w:rPr>
          <w:rFonts w:ascii="楷体_GB2312" w:hAnsi="楷体_GB2312" w:eastAsia="楷体_GB2312" w:cs="Times New Roman" w:hint="eastAsia"/>
          <w:color w:val="000000"/>
          <w:szCs w:val="32"/>
        </w:rPr>
      </w:pPr>
      <w:r>
        <w:rPr>
          <w:rFonts w:ascii="楷体_GB2312" w:hAnsi="楷体_GB2312" w:cs="Times New Roman" w:hint="eastAsia" w:eastAsia="楷体_GB2312"/>
          <w:color w:val="000000"/>
          <w:szCs w:val="32"/>
        </w:rPr>
        <w:t>第四章  风险防控</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jc w:val="start"/>
        <w:rPr>
          <w:rFonts w:ascii="楷体_GB2312" w:hAnsi="楷体_GB2312" w:eastAsia="楷体_GB2312" w:cs="Times New Roman" w:hint="eastAsia"/>
          <w:color w:val="000000"/>
          <w:szCs w:val="32"/>
        </w:rPr>
      </w:pPr>
      <w:r>
        <w:rPr>
          <w:rFonts w:ascii="楷体_GB2312" w:hAnsi="楷体_GB2312" w:cs="Times New Roman" w:hint="eastAsia" w:eastAsia="楷体_GB2312"/>
          <w:color w:val="000000"/>
          <w:szCs w:val="32"/>
        </w:rPr>
        <w:t>第五章  法律责任</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jc w:val="start"/>
        <w:rPr>
          <w:rFonts w:ascii="楷体_GB2312" w:hAnsi="楷体_GB2312" w:eastAsia="楷体_GB2312" w:cs="Times New Roman" w:hint="eastAsia"/>
          <w:color w:val="000000"/>
          <w:szCs w:val="32"/>
        </w:rPr>
      </w:pPr>
      <w:r>
        <w:rPr>
          <w:rFonts w:ascii="楷体_GB2312" w:hAnsi="楷体_GB2312" w:cs="Times New Roman" w:hint="eastAsia" w:eastAsia="楷体_GB2312"/>
          <w:color w:val="000000"/>
          <w:szCs w:val="32"/>
        </w:rPr>
        <w:t>第六章  附  则</w:t>
      </w:r>
    </w:p>
    <w:p>
      <w:pPr>
        <w:pStyle w:val="Normal"/>
        <w:keepNext w:val="false"/>
        <w:keepLines w:val="false"/>
        <w:pageBreakBefore w:val="false"/>
        <w:widowControl w:val="false"/>
        <w:numPr>
          <w:ilvl w:val="0"/>
          <w:numId w:val="0"/>
        </w:numPr>
        <w:kinsoku w:val="true"/>
        <w:overflowPunct w:val="true"/>
        <w:bidi w:val="0"/>
        <w:spacing w:lineRule="atLeast" w:line="300"/>
        <w:jc w:val="center"/>
        <w:outlineLvl w:val="0"/>
        <w:rPr>
          <w:rFonts w:ascii="黑体" w:hAnsi="黑体" w:eastAsia="黑体" w:cs="黑体" w:hint="eastAsia"/>
          <w:bCs/>
          <w:color w:val="000000"/>
          <w:szCs w:val="32"/>
        </w:rPr>
      </w:pPr>
      <w:r>
        <w:rPr>
          <w:rFonts w:eastAsia="黑体" w:cs="黑体" w:hint="eastAsia" w:ascii="黑体" w:hAnsi="黑体"/>
          <w:bCs/>
          <w:color w:val="000000"/>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300"/>
        <w:jc w:val="center"/>
        <w:textAlignment w:val="auto"/>
        <w:outlineLvl w:val="0"/>
        <w:rPr>
          <w:rFonts w:ascii="黑体" w:hAnsi="黑体" w:eastAsia="黑体" w:cs="黑体" w:hint="eastAsia"/>
          <w:bCs/>
          <w:szCs w:val="32"/>
        </w:rPr>
      </w:pPr>
      <w:r>
        <w:rPr>
          <w:rFonts w:ascii="黑体" w:hAnsi="黑体" w:cs="黑体" w:eastAsia="黑体"/>
          <w:bCs/>
          <w:szCs w:val="32"/>
        </w:rPr>
        <w:t>第一章  总</w:t>
      </w:r>
      <w:r>
        <w:rPr>
          <w:rFonts w:ascii="黑体" w:hAnsi="黑体" w:cs="黑体" w:hint="eastAsia" w:eastAsia="黑体"/>
          <w:bCs/>
          <w:szCs w:val="32"/>
        </w:rPr>
        <w:t xml:space="preserve"> </w:t>
      </w:r>
      <w:r>
        <w:rPr>
          <w:rFonts w:ascii="黑体" w:hAnsi="黑体" w:cs="黑体" w:eastAsia="黑体"/>
          <w:bCs/>
          <w:szCs w:val="32"/>
        </w:rPr>
        <w:t xml:space="preserve"> 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szCs w:val="32"/>
        </w:rPr>
      </w:pPr>
      <w:r>
        <w:rPr>
          <w:rFonts w:ascii="黑体" w:hAnsi="黑体" w:cs="黑体" w:eastAsia="黑体"/>
          <w:szCs w:val="32"/>
        </w:rPr>
        <w:t>第一条</w:t>
      </w:r>
      <w:r>
        <w:rPr>
          <w:rFonts w:ascii="仿宋" w:hAnsi="仿宋" w:cs="仿宋" w:hint="eastAsia" w:eastAsia="仿宋"/>
          <w:szCs w:val="32"/>
        </w:rPr>
        <w:t xml:space="preserve">  </w:t>
      </w:r>
      <w:r>
        <w:rPr>
          <w:rFonts w:ascii="仿宋_GB2312" w:hAnsi="仿宋_GB2312" w:cs="仿宋" w:hint="eastAsia"/>
          <w:szCs w:val="32"/>
        </w:rPr>
        <w:t>为了加强地方金融监督管理，防范和化解金融风险，促进金融健康发展，根据有关法律、行政法规，结合本市实际情况，制定本条例。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atLeast" w:line="300"/>
        <w:ind w:firstLine="630" w:end="0"/>
        <w:textAlignment w:val="auto"/>
        <w:rPr>
          <w:rFonts w:ascii="仿宋_GB2312" w:hAnsi="仿宋_GB2312" w:cs="仿宋" w:hint="eastAsia"/>
          <w:szCs w:val="32"/>
        </w:rPr>
      </w:pPr>
      <w:r>
        <w:rPr>
          <w:rFonts w:ascii="黑体" w:hAnsi="黑体" w:cs="黑体" w:eastAsia="黑体"/>
          <w:szCs w:val="32"/>
        </w:rPr>
        <w:t>第二条</w:t>
      </w:r>
      <w:r>
        <w:rPr>
          <w:rFonts w:ascii="仿宋" w:hAnsi="仿宋" w:cs="仿宋" w:hint="eastAsia" w:eastAsia="仿宋"/>
          <w:szCs w:val="32"/>
        </w:rPr>
        <w:t xml:space="preserve">  </w:t>
      </w:r>
      <w:r>
        <w:rPr>
          <w:rFonts w:ascii="仿宋_GB2312" w:hAnsi="仿宋_GB2312" w:cs="仿宋"/>
          <w:szCs w:val="32"/>
        </w:rPr>
        <w:t>在本市行政区域内从事</w:t>
      </w:r>
      <w:hyperlink r:id="rId2" w:tgtFrame="https://baike.baidu.com/item/%E5%B1%B1%E4%B8%9C%E7%9C%81%E5%9C%B0%E6%96%B9%E9%87%91%E8%9E%8D%E6%9D%A1%E4%BE%8B/_blank">
        <w:r>
          <w:rPr>
            <w:rStyle w:val="Hyperlink"/>
            <w:rFonts w:ascii="仿宋_GB2312" w:hAnsi="仿宋_GB2312" w:cs="仿宋"/>
            <w:szCs w:val="32"/>
          </w:rPr>
          <w:t>金融</w:t>
        </w:r>
        <w:r>
          <w:rPr>
            <w:rStyle w:val="Hyperlink"/>
            <w:rFonts w:ascii="仿宋_GB2312" w:hAnsi="仿宋_GB2312" w:cs="仿宋" w:hint="eastAsia"/>
            <w:szCs w:val="32"/>
          </w:rPr>
          <w:t>业</w:t>
        </w:r>
        <w:r>
          <w:rPr>
            <w:rStyle w:val="Hyperlink"/>
            <w:rFonts w:ascii="仿宋_GB2312" w:hAnsi="仿宋_GB2312" w:cs="仿宋"/>
            <w:szCs w:val="32"/>
          </w:rPr>
          <w:t>务</w:t>
        </w:r>
      </w:hyperlink>
      <w:r>
        <w:rPr>
          <w:rFonts w:ascii="仿宋_GB2312" w:hAnsi="仿宋_GB2312" w:cs="仿宋" w:hint="eastAsia"/>
          <w:szCs w:val="32"/>
        </w:rPr>
        <w:t>的地方金融组织</w:t>
      </w:r>
      <w:r>
        <w:rPr>
          <w:rFonts w:ascii="仿宋_GB2312" w:hAnsi="仿宋_GB2312" w:cs="仿宋"/>
          <w:szCs w:val="32"/>
        </w:rPr>
        <w:t>和</w:t>
      </w:r>
      <w:r>
        <w:rPr>
          <w:rFonts w:ascii="仿宋_GB2312" w:hAnsi="仿宋_GB2312" w:cs="仿宋" w:hint="eastAsia"/>
          <w:szCs w:val="32"/>
        </w:rPr>
        <w:t>从事</w:t>
      </w:r>
      <w:hyperlink r:id="rId3" w:tgtFrame="https://baike.baidu.com/item/%E5%B1%B1%E4%B8%9C%E7%9C%81%E5%9C%B0%E6%96%B9%E9%87%91%E8%9E%8D%E6%9D%A1%E4%BE%8B/_blank">
        <w:r>
          <w:rPr>
            <w:rStyle w:val="Hyperlink"/>
            <w:rFonts w:ascii="仿宋_GB2312" w:hAnsi="仿宋_GB2312" w:cs="仿宋"/>
            <w:szCs w:val="32"/>
          </w:rPr>
          <w:t>金融监管</w:t>
        </w:r>
      </w:hyperlink>
      <w:r>
        <w:rPr>
          <w:rFonts w:ascii="仿宋_GB2312" w:hAnsi="仿宋_GB2312" w:cs="仿宋"/>
          <w:szCs w:val="32"/>
        </w:rPr>
        <w:t>活动的地方金融监督管理部门以及相关单位和个人，应当遵守本条例。</w:t>
      </w:r>
      <w:r>
        <mc:AlternateContent>
          <mc:Choice Requires="wps">
            <w:drawing>
              <wp:anchor distT="0" distB="0" distL="114935" distR="114935" simplePos="0" relativeHeight="2" behindDoc="0" locked="0" layoutInCell="1" allowOverlap="1">
                <wp:simplePos x="0" y="0"/>
                <wp:positionH relativeFrom="column">
                  <wp:posOffset>1068070</wp:posOffset>
                </wp:positionH>
                <wp:positionV relativeFrom="paragraph">
                  <wp:posOffset>8345805</wp:posOffset>
                </wp:positionV>
                <wp:extent cx="5892800" cy="282575"/>
                <wp:effectExtent l="0" t="0" r="0" b="0"/>
                <wp:wrapNone/>
                <wp:docPr id="1" name="Frame1"/>
                <a:graphic xmlns:a="http://schemas.openxmlformats.org/drawingml/2006/main">
                  <a:graphicData uri="http://schemas.microsoft.com/office/word/2010/wordprocessingShape">
                    <wps:wsp>
                      <wps:cNvSpPr txBox="1"/>
                      <wps:spPr>
                        <a:xfrm>
                          <a:off x="0" y="0"/>
                          <a:ext cx="5892800" cy="282575"/>
                        </a:xfrm>
                        <a:prstGeom prst="rect"/>
                        <a:solidFill>
                          <a:srgbClr val="FFFFFF"/>
                        </a:solidFill>
                        <a:ln w="6350">
                          <a:solidFill>
                            <a:srgbClr val="000000"/>
                          </a:solidFill>
                        </a:ln>
                      </wps:spPr>
                      <wps:txbx>
                        <w:txbxContent>
                          <w:p>
                            <w:pPr>
                              <w:pStyle w:val="Normal"/>
                              <w:numPr>
                                <w:ilvl w:val="0"/>
                                <w:numId w:val="0"/>
                              </w:numPr>
                              <w:spacing w:lineRule="exact" w:line="320"/>
                              <w:outlineLvl w:val="0"/>
                              <w:rPr>
                                <w:rFonts w:ascii="楷体" w:hAnsi="楷体" w:eastAsia="楷体" w:cs="楷体"/>
                                <w:sz w:val="28"/>
                                <w:szCs w:val="28"/>
                              </w:rPr>
                            </w:pPr>
                            <w:r>
                              <w:rPr>
                                <w:rFonts w:ascii="楷体" w:hAnsi="楷体" w:cs="楷体" w:hint="eastAsia" w:eastAsia="楷体"/>
                                <w:sz w:val="28"/>
                                <w:szCs w:val="28"/>
                              </w:rPr>
                              <w:t>依据</w:t>
                            </w:r>
                            <w:r>
                              <w:rPr>
                                <w:rFonts w:eastAsia="楷体" w:cs="楷体" w:ascii="楷体" w:hAnsi="楷体"/>
                                <w:sz w:val="28"/>
                                <w:szCs w:val="28"/>
                              </w:rPr>
                              <w:t>:</w:t>
                            </w:r>
                            <w:r>
                              <w:rPr>
                                <w:rFonts w:ascii="楷体" w:hAnsi="楷体" w:cs="楷体" w:hint="eastAsia" w:eastAsia="楷体"/>
                                <w:sz w:val="28"/>
                                <w:szCs w:val="28"/>
                              </w:rPr>
                              <w:t>国务院文件</w:t>
                            </w:r>
                          </w:p>
                          <w:p>
                            <w:pPr>
                              <w:pStyle w:val="Normal"/>
                              <w:ind w:firstLine="420" w:end="0"/>
                              <w:rPr>
                                <w:rFonts w:ascii="楷体" w:hAnsi="楷体" w:eastAsia="楷体" w:cs="楷体"/>
                                <w:sz w:val="28"/>
                                <w:szCs w:val="28"/>
                              </w:rPr>
                            </w:pPr>
                            <w:r>
                              <w:rPr>
                                <w:rFonts w:eastAsia="楷体" w:cs="楷体" w:ascii="楷体" w:hAnsi="楷体"/>
                                <w:sz w:val="28"/>
                                <w:szCs w:val="28"/>
                              </w:rPr>
                            </w:r>
                          </w:p>
                        </w:txbxContent>
                      </wps:txbx>
                      <wps:bodyPr anchor="t" lIns="91440" tIns="45720" rIns="91440" bIns="45720">
                        <a:noAutofit/>
                      </wps:bodyPr>
                    </wps:wsp>
                  </a:graphicData>
                </a:graphic>
              </wp:anchor>
            </w:drawing>
          </mc:Choice>
          <mc:Fallback>
            <w:pict>
              <v:rect fillcolor="#FFFFFF" strokecolor="#000000" strokeweight="0pt" style="position:absolute;rotation:-0;width:464pt;height:22.25pt;mso-wrap-distance-left:9.05pt;mso-wrap-distance-right:9.05pt;mso-wrap-distance-top:0pt;mso-wrap-distance-bottom:0pt;margin-top:657.15pt;mso-position-vertical-relative:text;margin-left:84.1pt;mso-position-horizontal-relative:text">
                <v:textbox>
                  <w:txbxContent>
                    <w:p>
                      <w:pPr>
                        <w:pStyle w:val="Normal"/>
                        <w:numPr>
                          <w:ilvl w:val="0"/>
                          <w:numId w:val="0"/>
                        </w:numPr>
                        <w:spacing w:lineRule="exact" w:line="320"/>
                        <w:outlineLvl w:val="0"/>
                        <w:rPr>
                          <w:rFonts w:ascii="楷体" w:hAnsi="楷体" w:eastAsia="楷体" w:cs="楷体"/>
                          <w:sz w:val="28"/>
                          <w:szCs w:val="28"/>
                        </w:rPr>
                      </w:pPr>
                      <w:r>
                        <w:rPr>
                          <w:rFonts w:ascii="楷体" w:hAnsi="楷体" w:cs="楷体" w:hint="eastAsia" w:eastAsia="楷体"/>
                          <w:sz w:val="28"/>
                          <w:szCs w:val="28"/>
                        </w:rPr>
                        <w:t>依据</w:t>
                      </w:r>
                      <w:r>
                        <w:rPr>
                          <w:rFonts w:eastAsia="楷体" w:cs="楷体" w:ascii="楷体" w:hAnsi="楷体"/>
                          <w:sz w:val="28"/>
                          <w:szCs w:val="28"/>
                        </w:rPr>
                        <w:t>:</w:t>
                      </w:r>
                      <w:r>
                        <w:rPr>
                          <w:rFonts w:ascii="楷体" w:hAnsi="楷体" w:cs="楷体" w:hint="eastAsia" w:eastAsia="楷体"/>
                          <w:sz w:val="28"/>
                          <w:szCs w:val="28"/>
                        </w:rPr>
                        <w:t>国务院文件</w:t>
                      </w:r>
                    </w:p>
                    <w:p>
                      <w:pPr>
                        <w:pStyle w:val="Normal"/>
                        <w:ind w:firstLine="420" w:end="0"/>
                        <w:rPr>
                          <w:rFonts w:ascii="楷体" w:hAnsi="楷体" w:eastAsia="楷体" w:cs="楷体"/>
                          <w:sz w:val="28"/>
                          <w:szCs w:val="28"/>
                        </w:rPr>
                      </w:pPr>
                      <w:r>
                        <w:rPr>
                          <w:rFonts w:eastAsia="楷体" w:cs="楷体" w:ascii="楷体" w:hAnsi="楷体"/>
                          <w:sz w:val="28"/>
                          <w:szCs w:val="28"/>
                        </w:rPr>
                      </w:r>
                    </w:p>
                  </w:txbxContent>
                </v:textbox>
                <w10:wrap type="none"/>
              </v:rect>
            </w:pict>
          </mc:Fallback>
        </mc:AlternateConten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szCs w:val="32"/>
        </w:rPr>
      </w:pPr>
      <w:r>
        <w:rPr>
          <w:rFonts w:ascii="仿宋_GB2312" w:hAnsi="仿宋_GB2312" w:cs="仿宋"/>
          <w:szCs w:val="32"/>
        </w:rPr>
        <w:t>本条例所称地方金融组织，是指本市行政区域内的小额贷款公司、融资担保公司、区域性股权市场、典当行、融资租赁公司、商业保理公司</w:t>
      </w:r>
      <w:r>
        <w:rPr>
          <w:rFonts w:ascii="仿宋_GB2312" w:hAnsi="仿宋_GB2312" w:cs="仿宋" w:hint="eastAsia"/>
          <w:szCs w:val="32"/>
        </w:rPr>
        <w:t>、</w:t>
      </w:r>
      <w:r>
        <w:rPr>
          <w:rFonts w:ascii="仿宋_GB2312" w:hAnsi="仿宋_GB2312" w:cs="仿宋"/>
          <w:szCs w:val="32"/>
        </w:rPr>
        <w:t>地方资产管理公司</w:t>
      </w:r>
      <w:r>
        <w:rPr>
          <w:rFonts w:ascii="仿宋_GB2312" w:hAnsi="仿宋_GB2312" w:cs="仿宋" w:hint="eastAsia"/>
          <w:szCs w:val="32"/>
        </w:rPr>
        <w:t>等</w:t>
      </w:r>
      <w:r>
        <w:rPr>
          <w:rFonts w:ascii="仿宋_GB2312" w:hAnsi="仿宋_GB2312" w:cs="仿宋"/>
          <w:szCs w:val="32"/>
        </w:rPr>
        <w:t>国家授权本市监督管理的开展金融业务活动的组织。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szCs w:val="32"/>
        </w:rPr>
      </w:pPr>
      <w:r>
        <w:rPr>
          <w:rFonts w:ascii="仿宋_GB2312" w:hAnsi="仿宋_GB2312" w:cs="仿宋"/>
          <w:szCs w:val="32"/>
        </w:rPr>
        <w:t>国家对</w:t>
      </w:r>
      <w:r>
        <w:rPr>
          <w:rFonts w:ascii="仿宋_GB2312" w:hAnsi="仿宋_GB2312" w:cs="仿宋" w:hint="eastAsia"/>
          <w:szCs w:val="32"/>
        </w:rPr>
        <w:t>地方</w:t>
      </w:r>
      <w:r>
        <w:rPr>
          <w:rFonts w:ascii="仿宋_GB2312" w:hAnsi="仿宋_GB2312" w:cs="仿宋"/>
          <w:szCs w:val="32"/>
        </w:rPr>
        <w:t>金融监管另有规定的，从其规定。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szCs w:val="32"/>
        </w:rPr>
      </w:pPr>
      <w:r>
        <w:rPr>
          <w:rFonts w:ascii="黑体" w:hAnsi="黑体" w:cs="黑体" w:eastAsia="黑体"/>
          <w:kern w:val="0"/>
          <w:szCs w:val="32"/>
        </w:rPr>
        <w:t>第三条</w:t>
      </w:r>
      <w:r>
        <w:rPr>
          <w:rFonts w:ascii="仿宋" w:hAnsi="仿宋" w:cs="仿宋" w:hint="eastAsia" w:eastAsia="仿宋"/>
          <w:kern w:val="0"/>
          <w:szCs w:val="32"/>
        </w:rPr>
        <w:t xml:space="preserve">  </w:t>
      </w:r>
      <w:r>
        <w:rPr>
          <w:rFonts w:ascii="仿宋_GB2312" w:hAnsi="仿宋_GB2312" w:cs="仿宋"/>
          <w:szCs w:val="32"/>
        </w:rPr>
        <w:t>地方金融监督管理</w:t>
      </w:r>
      <w:r>
        <w:rPr>
          <w:rFonts w:ascii="仿宋_GB2312" w:hAnsi="仿宋_GB2312" w:cs="仿宋" w:hint="eastAsia"/>
          <w:szCs w:val="32"/>
        </w:rPr>
        <w:t>应当</w:t>
      </w:r>
      <w:r>
        <w:rPr>
          <w:rFonts w:ascii="仿宋_GB2312" w:hAnsi="仿宋_GB2312" w:cs="仿宋"/>
          <w:szCs w:val="32"/>
        </w:rPr>
        <w:t>遵循积极稳妥、安全审慎的原则，坚持促进发展与防范风险相结合，</w:t>
      </w:r>
      <w:r>
        <w:rPr>
          <w:rFonts w:ascii="仿宋_GB2312" w:hAnsi="仿宋_GB2312" w:cs="仿宋" w:hint="eastAsia"/>
          <w:szCs w:val="32"/>
        </w:rPr>
        <w:t>积极</w:t>
      </w:r>
      <w:r>
        <w:rPr>
          <w:rFonts w:ascii="仿宋_GB2312" w:hAnsi="仿宋_GB2312" w:cs="仿宋"/>
          <w:szCs w:val="32"/>
        </w:rPr>
        <w:t>引导地方金融组织合法</w:t>
      </w:r>
      <w:r>
        <w:rPr>
          <w:rFonts w:ascii="仿宋_GB2312" w:hAnsi="仿宋_GB2312" w:cs="仿宋" w:hint="eastAsia"/>
          <w:szCs w:val="32"/>
        </w:rPr>
        <w:t>合规经营</w:t>
      </w:r>
      <w:r>
        <w:rPr>
          <w:rFonts w:ascii="仿宋_GB2312" w:hAnsi="仿宋_GB2312" w:cs="仿宋"/>
          <w:szCs w:val="32"/>
        </w:rPr>
        <w:t>，</w:t>
      </w:r>
      <w:r>
        <w:rPr>
          <w:rFonts w:ascii="仿宋_GB2312" w:hAnsi="仿宋_GB2312" w:cs="仿宋" w:hint="eastAsia"/>
          <w:szCs w:val="32"/>
        </w:rPr>
        <w:t>保持地方金融安全、高效、稳健运行</w:t>
      </w:r>
      <w:r>
        <w:rPr>
          <w:rFonts w:ascii="仿宋_GB2312" w:hAnsi="仿宋_GB2312" w:cs="仿宋"/>
          <w:szCs w:val="3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eastAsia="黑体"/>
          <w:szCs w:val="32"/>
        </w:rPr>
        <w:t>第四条</w:t>
      </w:r>
      <w:r>
        <w:rPr>
          <w:rFonts w:ascii="仿宋" w:hAnsi="仿宋" w:cs="仿宋" w:hint="eastAsia" w:eastAsia="仿宋"/>
          <w:szCs w:val="32"/>
        </w:rPr>
        <w:t xml:space="preserve">  </w:t>
      </w:r>
      <w:r>
        <w:rPr>
          <w:rFonts w:ascii="仿宋_GB2312" w:hAnsi="仿宋_GB2312" w:cs="仿宋" w:hint="eastAsia"/>
          <w:szCs w:val="32"/>
        </w:rPr>
        <w:t>市人民政府应当加强对地方金融工作的组织领导，依法履行地方金融监督管理职责，建立健全地方金融监督管理体制机制，协调解决地方金融监督管理有关重大事项，防范和化解重大金融风险。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区人民政府应当加强对本行政区域内地方金融工作的组织领导，按照职责履行属地金融风险防范和处置责任。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eastAsia="黑体"/>
          <w:szCs w:val="32"/>
        </w:rPr>
        <w:t>第</w:t>
      </w:r>
      <w:r>
        <w:rPr>
          <w:rFonts w:ascii="黑体" w:hAnsi="黑体" w:cs="黑体" w:hint="eastAsia" w:eastAsia="黑体"/>
          <w:szCs w:val="32"/>
        </w:rPr>
        <w:t>五</w:t>
      </w:r>
      <w:r>
        <w:rPr>
          <w:rFonts w:ascii="黑体" w:hAnsi="黑体" w:cs="黑体" w:eastAsia="黑体"/>
          <w:szCs w:val="32"/>
        </w:rPr>
        <w:t>条</w:t>
      </w:r>
      <w:r>
        <w:rPr>
          <w:rFonts w:ascii="黑体" w:hAnsi="黑体" w:cs="黑体" w:hint="eastAsia" w:eastAsia="黑体"/>
          <w:szCs w:val="32"/>
        </w:rPr>
        <w:t xml:space="preserve"> </w:t>
      </w:r>
      <w:r>
        <w:rPr>
          <w:rFonts w:ascii="仿宋" w:hAnsi="仿宋" w:cs="仿宋" w:hint="eastAsia" w:eastAsia="仿宋"/>
          <w:szCs w:val="32"/>
        </w:rPr>
        <w:t xml:space="preserve"> </w:t>
      </w:r>
      <w:r>
        <w:rPr>
          <w:rFonts w:ascii="仿宋_GB2312" w:hAnsi="仿宋_GB2312" w:cs="仿宋" w:hint="eastAsia"/>
          <w:szCs w:val="32"/>
        </w:rPr>
        <w:t>市地方金融监督管理部门负责对本市行政区域内地方金融组织实施监督管理，承担地方金融组织风险处置责任，负责防范和化解地方金融风险。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kern w:val="0"/>
          <w:szCs w:val="32"/>
        </w:rPr>
      </w:pPr>
      <w:r>
        <w:rPr>
          <w:rFonts w:ascii="仿宋_GB2312" w:hAnsi="仿宋_GB2312" w:cs="仿宋" w:hint="eastAsia"/>
          <w:szCs w:val="32"/>
        </w:rPr>
        <w:t>发展改革、公安、财政、商务、审计、市场监督管理、国有资产监督管理等有关</w:t>
      </w:r>
      <w:r>
        <w:rPr>
          <w:rFonts w:ascii="仿宋_GB2312" w:hAnsi="仿宋_GB2312" w:cs="仿宋" w:hint="eastAsia"/>
          <w:kern w:val="0"/>
          <w:szCs w:val="32"/>
        </w:rPr>
        <w:t>部门按照各自职责做好相关工作。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szCs w:val="32"/>
        </w:rPr>
      </w:pPr>
      <w:r>
        <w:rPr>
          <w:rFonts w:ascii="黑体" w:hAnsi="黑体" w:cs="黑体" w:eastAsia="黑体"/>
          <w:szCs w:val="32"/>
        </w:rPr>
        <w:t>第</w:t>
      </w:r>
      <w:r>
        <w:rPr>
          <w:rFonts w:ascii="黑体" w:hAnsi="黑体" w:cs="黑体" w:hint="eastAsia" w:eastAsia="黑体"/>
          <w:szCs w:val="32"/>
        </w:rPr>
        <w:t>六</w:t>
      </w:r>
      <w:r>
        <w:rPr>
          <w:rFonts w:ascii="黑体" w:hAnsi="黑体" w:cs="黑体" w:eastAsia="黑体"/>
          <w:szCs w:val="32"/>
        </w:rPr>
        <w:t>条</w:t>
      </w:r>
      <w:r>
        <w:rPr>
          <w:rFonts w:ascii="仿宋_GB2312" w:hAnsi="仿宋_GB2312" w:cs="黑体" w:hint="eastAsia"/>
          <w:szCs w:val="32"/>
        </w:rPr>
        <w:t xml:space="preserve">  </w:t>
      </w:r>
      <w:r>
        <w:rPr>
          <w:rFonts w:ascii="仿宋_GB2312" w:hAnsi="仿宋_GB2312" w:cs="仿宋" w:hint="eastAsia"/>
          <w:kern w:val="0"/>
          <w:szCs w:val="32"/>
        </w:rPr>
        <w:t>地方金融组织开展业务活动，应当遵守法律法规，审慎经营，诚实守信，风险自担，不</w:t>
      </w:r>
      <w:r>
        <w:rPr>
          <w:rFonts w:ascii="仿宋_GB2312" w:hAnsi="仿宋_GB2312" w:cs="仿宋" w:hint="eastAsia"/>
          <w:szCs w:val="32"/>
        </w:rPr>
        <w:t>得损害国家利益、社会</w:t>
      </w:r>
      <w:r>
        <w:rPr>
          <w:rFonts w:ascii="仿宋_GB2312" w:hAnsi="仿宋_GB2312" w:cs="仿宋" w:hint="eastAsia"/>
          <w:kern w:val="0"/>
          <w:szCs w:val="32"/>
        </w:rPr>
        <w:t>公共利益和他人合法权益。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kern w:val="0"/>
          <w:szCs w:val="32"/>
        </w:rPr>
      </w:pPr>
      <w:r>
        <w:rPr>
          <w:rFonts w:ascii="黑体" w:hAnsi="黑体" w:cs="黑体" w:hint="eastAsia" w:eastAsia="黑体"/>
          <w:szCs w:val="32"/>
        </w:rPr>
        <w:t>第七条</w:t>
      </w:r>
      <w:r>
        <w:rPr>
          <w:rFonts w:ascii="仿宋_GB2312" w:hAnsi="仿宋_GB2312" w:cs="仿宋" w:hint="eastAsia"/>
          <w:kern w:val="0"/>
          <w:szCs w:val="32"/>
        </w:rPr>
        <w:t xml:space="preserve">  本</w:t>
      </w:r>
      <w:r>
        <w:rPr>
          <w:rFonts w:ascii="仿宋_GB2312" w:hAnsi="仿宋_GB2312" w:cs="仿宋" w:hint="eastAsia"/>
          <w:szCs w:val="32"/>
        </w:rPr>
        <w:t>市推进金融创新运营示范区建设，实施金融发展相关扶持政策，支持引进金融机构和金融人才，鼓励金</w:t>
      </w:r>
      <w:r>
        <w:rPr>
          <w:rFonts w:ascii="仿宋_GB2312" w:hAnsi="仿宋_GB2312" w:cs="仿宋" w:hint="eastAsia"/>
          <w:kern w:val="0"/>
          <w:szCs w:val="32"/>
        </w:rPr>
        <w:t>融创新，</w:t>
      </w:r>
      <w:r>
        <w:rPr>
          <w:rFonts w:ascii="仿宋_GB2312" w:hAnsi="仿宋_GB2312" w:cs="仿宋" w:hint="eastAsia"/>
          <w:szCs w:val="32"/>
        </w:rPr>
        <w:t>增强金融服务实体经济能力，促进中国（天津）自由贸易试验区金融改革创新和京津冀协同发展。</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szCs w:val="32"/>
        </w:rPr>
      </w:pPr>
      <w:r>
        <w:rPr>
          <w:rFonts w:ascii="黑体" w:hAnsi="黑体" w:cs="黑体" w:eastAsia="黑体"/>
          <w:szCs w:val="32"/>
        </w:rPr>
        <w:t>第</w:t>
      </w:r>
      <w:r>
        <w:rPr>
          <w:rFonts w:ascii="黑体" w:hAnsi="黑体" w:cs="黑体" w:hint="eastAsia" w:eastAsia="黑体"/>
          <w:szCs w:val="32"/>
        </w:rPr>
        <w:t>八</w:t>
      </w:r>
      <w:r>
        <w:rPr>
          <w:rFonts w:ascii="黑体" w:hAnsi="黑体" w:cs="黑体" w:eastAsia="黑体"/>
          <w:szCs w:val="32"/>
        </w:rPr>
        <w:t>条</w:t>
      </w:r>
      <w:r>
        <w:rPr>
          <w:rFonts w:ascii="黑体" w:hAnsi="黑体" w:cs="黑体" w:hint="eastAsia" w:eastAsia="黑体"/>
          <w:szCs w:val="32"/>
        </w:rPr>
        <w:t xml:space="preserve">  </w:t>
      </w:r>
      <w:r>
        <w:rPr>
          <w:rFonts w:ascii="仿宋_GB2312" w:hAnsi="仿宋_GB2312" w:cs="仿宋"/>
          <w:szCs w:val="32"/>
        </w:rPr>
        <w:t>鼓励地方金融组织依法建立行业自律组织，发挥服务、协调和行业自律作用，引导</w:t>
      </w:r>
      <w:r>
        <w:rPr>
          <w:rFonts w:ascii="仿宋_GB2312" w:hAnsi="仿宋_GB2312" w:cs="仿宋" w:hint="eastAsia"/>
          <w:szCs w:val="32"/>
        </w:rPr>
        <w:t>地方金融组织合法</w:t>
      </w:r>
      <w:r>
        <w:rPr>
          <w:rFonts w:ascii="仿宋_GB2312" w:hAnsi="仿宋_GB2312" w:cs="仿宋"/>
          <w:szCs w:val="32"/>
        </w:rPr>
        <w:t>经营，公平竞争。</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kern w:val="0"/>
          <w:szCs w:val="32"/>
        </w:rPr>
      </w:pPr>
      <w:r>
        <w:rPr>
          <w:rFonts w:ascii="黑体" w:hAnsi="黑体" w:cs="黑体" w:eastAsia="黑体"/>
          <w:szCs w:val="32"/>
        </w:rPr>
        <w:t>第</w:t>
      </w:r>
      <w:r>
        <w:rPr>
          <w:rFonts w:ascii="黑体" w:hAnsi="黑体" w:cs="黑体" w:hint="eastAsia" w:eastAsia="黑体"/>
          <w:szCs w:val="32"/>
        </w:rPr>
        <w:t>九</w:t>
      </w:r>
      <w:r>
        <w:rPr>
          <w:rFonts w:ascii="黑体" w:hAnsi="黑体" w:cs="黑体" w:eastAsia="黑体"/>
          <w:szCs w:val="32"/>
        </w:rPr>
        <w:t>条</w:t>
      </w:r>
      <w:r>
        <w:rPr>
          <w:rFonts w:ascii="黑体" w:hAnsi="黑体" w:cs="黑体" w:hint="eastAsia" w:eastAsia="黑体"/>
          <w:szCs w:val="32"/>
        </w:rPr>
        <w:t xml:space="preserve">  </w:t>
      </w:r>
      <w:r>
        <w:rPr>
          <w:rFonts w:ascii="仿宋_GB2312" w:hAnsi="仿宋_GB2312" w:cs="仿宋" w:hint="eastAsia"/>
          <w:szCs w:val="32"/>
        </w:rPr>
        <w:t>报刊、广播、电视及网络媒体应当加强金融法律、法规以及有关知识的公益宣传和舆论监督，提高</w:t>
      </w:r>
      <w:r>
        <w:rPr>
          <w:rFonts w:ascii="仿宋_GB2312" w:hAnsi="仿宋_GB2312" w:cs="仿宋" w:hint="eastAsia"/>
          <w:kern w:val="0"/>
          <w:szCs w:val="32"/>
        </w:rPr>
        <w:t>公众金融知识水平和风险防范意识，营造良好的金融发展环境。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kern w:val="0"/>
          <w:szCs w:val="32"/>
        </w:rPr>
      </w:pPr>
      <w:r>
        <w:rPr>
          <w:rFonts w:ascii="黑体" w:hAnsi="黑体" w:cs="黑体" w:eastAsia="黑体"/>
          <w:szCs w:val="32"/>
        </w:rPr>
        <w:t>第</w:t>
      </w:r>
      <w:r>
        <w:rPr>
          <w:rFonts w:ascii="黑体" w:hAnsi="黑体" w:cs="黑体" w:hint="eastAsia" w:eastAsia="黑体"/>
          <w:szCs w:val="32"/>
        </w:rPr>
        <w:t>十</w:t>
      </w:r>
      <w:r>
        <w:rPr>
          <w:rFonts w:ascii="黑体" w:hAnsi="黑体" w:cs="黑体" w:eastAsia="黑体"/>
          <w:szCs w:val="32"/>
        </w:rPr>
        <w:t>条</w:t>
      </w:r>
      <w:r>
        <w:rPr>
          <w:rFonts w:ascii="仿宋" w:hAnsi="仿宋" w:cs="仿宋" w:hint="eastAsia" w:eastAsia="仿宋"/>
          <w:szCs w:val="32"/>
        </w:rPr>
        <w:t xml:space="preserve"> </w:t>
      </w:r>
      <w:r>
        <w:rPr>
          <w:rFonts w:ascii="黑体" w:hAnsi="黑体" w:cs="黑体" w:hint="eastAsia" w:eastAsia="黑体"/>
          <w:szCs w:val="32"/>
        </w:rPr>
        <w:t xml:space="preserve"> </w:t>
      </w:r>
      <w:r>
        <w:rPr>
          <w:rFonts w:ascii="仿宋_GB2312" w:hAnsi="仿宋_GB2312" w:cs="仿宋" w:hint="eastAsia"/>
          <w:szCs w:val="32"/>
        </w:rPr>
        <w:t>鼓励</w:t>
      </w:r>
      <w:r>
        <w:rPr>
          <w:rFonts w:ascii="仿宋_GB2312" w:hAnsi="仿宋_GB2312" w:cs="仿宋"/>
          <w:szCs w:val="32"/>
        </w:rPr>
        <w:t>单位</w:t>
      </w:r>
      <w:r>
        <w:rPr>
          <w:rFonts w:ascii="仿宋_GB2312" w:hAnsi="仿宋_GB2312" w:cs="仿宋" w:hint="eastAsia"/>
          <w:szCs w:val="32"/>
        </w:rPr>
        <w:t>和</w:t>
      </w:r>
      <w:r>
        <w:rPr>
          <w:rFonts w:ascii="仿宋_GB2312" w:hAnsi="仿宋_GB2312" w:cs="仿宋"/>
          <w:szCs w:val="32"/>
        </w:rPr>
        <w:t>个人对非法金融活动进行投诉和举报</w:t>
      </w:r>
      <w:r>
        <w:rPr>
          <w:rFonts w:ascii="仿宋_GB2312" w:hAnsi="仿宋_GB2312" w:cs="仿宋" w:hint="eastAsia"/>
          <w:szCs w:val="32"/>
        </w:rPr>
        <w:t>。经查证属实的，</w:t>
      </w:r>
      <w:r>
        <w:rPr>
          <w:rFonts w:ascii="仿宋_GB2312" w:hAnsi="仿宋_GB2312" w:cs="仿宋"/>
          <w:szCs w:val="32"/>
        </w:rPr>
        <w:t>由</w:t>
      </w:r>
      <w:r>
        <w:rPr>
          <w:rFonts w:ascii="仿宋_GB2312" w:hAnsi="仿宋_GB2312" w:cs="仿宋" w:hint="eastAsia"/>
          <w:szCs w:val="32"/>
        </w:rPr>
        <w:t>市</w:t>
      </w:r>
      <w:r>
        <w:rPr>
          <w:rFonts w:ascii="仿宋_GB2312" w:hAnsi="仿宋_GB2312" w:cs="仿宋"/>
          <w:szCs w:val="32"/>
        </w:rPr>
        <w:t>地方金融监</w:t>
      </w:r>
      <w:r>
        <w:rPr>
          <w:rFonts w:ascii="仿宋_GB2312" w:hAnsi="仿宋_GB2312" w:cs="仿宋" w:hint="eastAsia"/>
          <w:szCs w:val="32"/>
        </w:rPr>
        <w:t>督</w:t>
      </w:r>
      <w:r>
        <w:rPr>
          <w:rFonts w:ascii="仿宋_GB2312" w:hAnsi="仿宋_GB2312" w:cs="仿宋"/>
          <w:szCs w:val="32"/>
        </w:rPr>
        <w:t>管</w:t>
      </w:r>
      <w:r>
        <w:rPr>
          <w:rFonts w:ascii="仿宋_GB2312" w:hAnsi="仿宋_GB2312" w:cs="仿宋" w:hint="eastAsia"/>
          <w:szCs w:val="32"/>
        </w:rPr>
        <w:t>理</w:t>
      </w:r>
      <w:r>
        <w:rPr>
          <w:rFonts w:ascii="仿宋_GB2312" w:hAnsi="仿宋_GB2312" w:cs="仿宋"/>
          <w:szCs w:val="32"/>
        </w:rPr>
        <w:t>部门按照规定给予</w:t>
      </w:r>
      <w:r>
        <w:rPr>
          <w:rFonts w:ascii="仿宋_GB2312" w:hAnsi="仿宋_GB2312" w:cs="仿宋"/>
          <w:kern w:val="0"/>
          <w:szCs w:val="32"/>
        </w:rPr>
        <w:t>奖励。</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kern w:val="0"/>
          <w:szCs w:val="32"/>
        </w:rPr>
      </w:pPr>
      <w:r>
        <w:rPr>
          <w:rFonts w:cs="仿宋" w:hint="eastAsia" w:ascii="仿宋_GB2312" w:hAnsi="仿宋_GB2312"/>
          <w:kern w:val="0"/>
          <w:szCs w:val="32"/>
        </w:rPr>
      </w:r>
    </w:p>
    <w:p>
      <w:pPr>
        <w:pStyle w:val="Normal"/>
        <w:keepNext w:val="false"/>
        <w:keepLines w:val="false"/>
        <w:pageBreakBefore w:val="false"/>
        <w:widowControl w:val="false"/>
        <w:numPr>
          <w:ilvl w:val="0"/>
          <w:numId w:val="0"/>
        </w:numPr>
        <w:kinsoku w:val="true"/>
        <w:overflowPunct w:val="true"/>
        <w:bidi w:val="0"/>
        <w:spacing w:lineRule="atLeast" w:line="300"/>
        <w:jc w:val="center"/>
        <w:outlineLvl w:val="0"/>
        <w:rPr>
          <w:rFonts w:ascii="黑体" w:hAnsi="黑体" w:eastAsia="黑体" w:cs="黑体" w:hint="eastAsia"/>
          <w:bCs/>
          <w:szCs w:val="32"/>
        </w:rPr>
      </w:pPr>
      <w:r>
        <w:rPr>
          <w:rFonts w:ascii="黑体" w:hAnsi="黑体" w:cs="黑体" w:eastAsia="黑体"/>
          <w:bCs/>
          <w:szCs w:val="32"/>
        </w:rPr>
        <w:t xml:space="preserve">第二章  </w:t>
      </w:r>
      <w:r>
        <w:rPr>
          <w:rFonts w:ascii="黑体" w:hAnsi="黑体" w:cs="黑体" w:hint="eastAsia" w:eastAsia="黑体"/>
          <w:bCs/>
          <w:szCs w:val="32"/>
        </w:rPr>
        <w:t>地方金融组织</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kern w:val="0"/>
          <w:szCs w:val="32"/>
        </w:rPr>
      </w:pPr>
      <w:r>
        <w:rPr>
          <w:rFonts w:ascii="黑体" w:hAnsi="黑体" w:cs="黑体" w:hint="eastAsia" w:eastAsia="黑体"/>
          <w:kern w:val="0"/>
          <w:szCs w:val="32"/>
        </w:rPr>
        <w:t>第十一条</w:t>
      </w:r>
      <w:r>
        <w:rPr>
          <w:rFonts w:ascii="仿宋_GB2312" w:hAnsi="仿宋_GB2312" w:cs="仿宋" w:hint="eastAsia"/>
          <w:kern w:val="0"/>
          <w:szCs w:val="32"/>
        </w:rPr>
        <w:t xml:space="preserve">  地方金融组织的设立、变更、终止，应当按照国家有关规定办理相关批准、授权、备案等手续。</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kern w:val="0"/>
          <w:szCs w:val="32"/>
        </w:rPr>
      </w:pPr>
      <w:r>
        <w:rPr>
          <w:rFonts w:ascii="仿宋_GB2312" w:hAnsi="仿宋_GB2312" w:cs="仿宋" w:hint="eastAsia"/>
          <w:kern w:val="0"/>
          <w:szCs w:val="32"/>
        </w:rPr>
        <w:t>国家</w:t>
      </w:r>
      <w:r>
        <w:rPr>
          <w:rFonts w:ascii="仿宋_GB2312" w:hAnsi="仿宋_GB2312" w:cs="仿宋" w:hint="eastAsia"/>
          <w:szCs w:val="32"/>
        </w:rPr>
        <w:t>规定须经市</w:t>
      </w:r>
      <w:r>
        <w:rPr>
          <w:rFonts w:ascii="仿宋_GB2312" w:hAnsi="仿宋_GB2312" w:cs="仿宋"/>
          <w:szCs w:val="32"/>
        </w:rPr>
        <w:t>地方金融监</w:t>
      </w:r>
      <w:r>
        <w:rPr>
          <w:rFonts w:ascii="仿宋_GB2312" w:hAnsi="仿宋_GB2312" w:cs="仿宋" w:hint="eastAsia"/>
          <w:szCs w:val="32"/>
        </w:rPr>
        <w:t>督</w:t>
      </w:r>
      <w:r>
        <w:rPr>
          <w:rFonts w:ascii="仿宋_GB2312" w:hAnsi="仿宋_GB2312" w:cs="仿宋"/>
          <w:szCs w:val="32"/>
        </w:rPr>
        <w:t>管</w:t>
      </w:r>
      <w:r>
        <w:rPr>
          <w:rFonts w:ascii="仿宋_GB2312" w:hAnsi="仿宋_GB2312" w:cs="仿宋" w:hint="eastAsia"/>
          <w:szCs w:val="32"/>
        </w:rPr>
        <w:t>理</w:t>
      </w:r>
      <w:r>
        <w:rPr>
          <w:rFonts w:ascii="仿宋_GB2312" w:hAnsi="仿宋_GB2312" w:cs="仿宋"/>
          <w:szCs w:val="32"/>
        </w:rPr>
        <w:t>部门</w:t>
      </w:r>
      <w:r>
        <w:rPr>
          <w:rFonts w:ascii="仿宋_GB2312" w:hAnsi="仿宋_GB2312" w:cs="仿宋" w:hint="eastAsia"/>
          <w:szCs w:val="32"/>
        </w:rPr>
        <w:t>批准方可设立的地方金融组织，由市</w:t>
      </w:r>
      <w:r>
        <w:rPr>
          <w:rFonts w:ascii="仿宋_GB2312" w:hAnsi="仿宋_GB2312" w:cs="仿宋"/>
          <w:szCs w:val="32"/>
        </w:rPr>
        <w:t>地方金融监</w:t>
      </w:r>
      <w:r>
        <w:rPr>
          <w:rFonts w:ascii="仿宋_GB2312" w:hAnsi="仿宋_GB2312" w:cs="仿宋" w:hint="eastAsia"/>
          <w:szCs w:val="32"/>
        </w:rPr>
        <w:t>督</w:t>
      </w:r>
      <w:r>
        <w:rPr>
          <w:rFonts w:ascii="仿宋_GB2312" w:hAnsi="仿宋_GB2312" w:cs="仿宋"/>
          <w:szCs w:val="32"/>
        </w:rPr>
        <w:t>管</w:t>
      </w:r>
      <w:r>
        <w:rPr>
          <w:rFonts w:ascii="仿宋_GB2312" w:hAnsi="仿宋_GB2312" w:cs="仿宋" w:hint="eastAsia"/>
          <w:szCs w:val="32"/>
        </w:rPr>
        <w:t>理</w:t>
      </w:r>
      <w:r>
        <w:rPr>
          <w:rFonts w:ascii="仿宋_GB2312" w:hAnsi="仿宋_GB2312" w:cs="仿宋"/>
          <w:szCs w:val="32"/>
        </w:rPr>
        <w:t>部门</w:t>
      </w:r>
      <w:r>
        <w:rPr>
          <w:rFonts w:ascii="仿宋_GB2312" w:hAnsi="仿宋_GB2312" w:cs="仿宋" w:hint="eastAsia"/>
          <w:szCs w:val="32"/>
        </w:rPr>
        <w:t>依据</w:t>
      </w:r>
      <w:r>
        <w:rPr>
          <w:rFonts w:ascii="仿宋_GB2312" w:hAnsi="仿宋_GB2312" w:cs="仿宋" w:hint="eastAsia"/>
          <w:kern w:val="0"/>
          <w:szCs w:val="32"/>
        </w:rPr>
        <w:t>法律、行政法规颁发经营许可证。</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kern w:val="0"/>
          <w:szCs w:val="32"/>
        </w:rPr>
      </w:pPr>
      <w:r>
        <w:rPr>
          <w:rFonts w:ascii="仿宋_GB2312" w:hAnsi="仿宋_GB2312" w:cs="仿宋" w:hint="eastAsia"/>
          <w:kern w:val="0"/>
          <w:szCs w:val="32"/>
        </w:rPr>
        <w:t>未经批准、授权或者备案，任何单位或者个人不得从事或者变相从事地方金融组织业务活动。</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textAlignment w:val="baseline"/>
        <w:rPr>
          <w:rFonts w:ascii="仿宋_GB2312" w:hAnsi="仿宋_GB2312" w:cs="仿宋" w:hint="eastAsia"/>
          <w:szCs w:val="32"/>
        </w:rPr>
      </w:pPr>
      <w:r>
        <w:rPr>
          <w:rFonts w:ascii="黑体" w:hAnsi="黑体" w:cs="黑体" w:hint="eastAsia" w:eastAsia="黑体"/>
          <w:kern w:val="0"/>
          <w:szCs w:val="32"/>
        </w:rPr>
        <w:t>第十二条</w:t>
      </w:r>
      <w:r>
        <w:rPr>
          <w:rFonts w:ascii="仿宋_GB2312" w:hAnsi="仿宋_GB2312" w:cs="仿宋" w:hint="eastAsia"/>
          <w:szCs w:val="32"/>
        </w:rPr>
        <w:t xml:space="preserve">  地方金融组织应当具有适合经营要求的业务、财务信息系统，按照规定向市地方金融监督管理部门报送真实的经营报告、财务报告、注册会计师出具的年度审计报告及相关经营信息等文件和资料。</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kern w:val="0"/>
          <w:szCs w:val="32"/>
        </w:rPr>
        <w:t>第十三条</w:t>
      </w:r>
      <w:r>
        <w:rPr>
          <w:rFonts w:ascii="仿宋_GB2312" w:hAnsi="仿宋_GB2312" w:cs="仿宋" w:hint="eastAsia"/>
          <w:szCs w:val="32"/>
        </w:rPr>
        <w:t xml:space="preserve">  地方金融组织应当建立健全金融消费者和投资者适当性制度，将合适的金融产品和服务推介给适当的消费者和投资者。</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黑体" w:hAnsi="黑体" w:eastAsia="黑体" w:cs="黑体"/>
          <w:szCs w:val="32"/>
        </w:rPr>
      </w:pPr>
      <w:r>
        <w:rPr>
          <w:rFonts w:ascii="仿宋_GB2312" w:hAnsi="仿宋_GB2312" w:cs="仿宋" w:hint="eastAsia"/>
          <w:szCs w:val="32"/>
        </w:rPr>
        <w:t>地方金融组织在提供金融产品和服务时，应当以通俗易懂的语言、文字或者图表，真实、准确、完整地向消费者或者投资者提供信息、提示风险，不得有虚假记载和误导性陈述。</w:t>
      </w:r>
    </w:p>
    <w:p>
      <w:pPr>
        <w:pStyle w:val="Normal"/>
        <w:keepNext w:val="false"/>
        <w:keepLines w:val="false"/>
        <w:pageBreakBefore w:val="false"/>
        <w:widowControl w:val="false"/>
        <w:tabs>
          <w:tab w:val="clear" w:pos="420"/>
          <w:tab w:val="left" w:pos="3735" w:leader="none"/>
        </w:tabs>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kern w:val="0"/>
          <w:szCs w:val="32"/>
        </w:rPr>
        <w:t>第十四条</w:t>
      </w:r>
      <w:r>
        <w:rPr>
          <w:rFonts w:ascii="黑体" w:hAnsi="黑体" w:cs="黑体" w:hint="eastAsia" w:eastAsia="黑体"/>
          <w:szCs w:val="32"/>
        </w:rPr>
        <w:t xml:space="preserve">  </w:t>
      </w:r>
      <w:r>
        <w:rPr>
          <w:rFonts w:ascii="仿宋_GB2312" w:hAnsi="仿宋_GB2312" w:cs="仿宋" w:hint="eastAsia"/>
          <w:szCs w:val="32"/>
        </w:rPr>
        <w:t>小额贷款公司开展贷款业务应当按照小额、分散原则，遵守国家关于贷款额度、利率限制的规定，建立健全贷款管理制度，明确贷前调查、贷时审查和贷后检查业务流程和操作规范。鼓励小额贷款公司为农户和微型企业提供信贷服务。</w:t>
      </w:r>
    </w:p>
    <w:p>
      <w:pPr>
        <w:pStyle w:val="Normal"/>
        <w:keepNext w:val="false"/>
        <w:keepLines w:val="false"/>
        <w:pageBreakBefore w:val="false"/>
        <w:widowControl w:val="false"/>
        <w:tabs>
          <w:tab w:val="clear" w:pos="420"/>
          <w:tab w:val="left" w:pos="3735" w:leader="none"/>
        </w:tabs>
        <w:kinsoku w:val="true"/>
        <w:overflowPunct w:val="tru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小额贷款公司不得从事任何形式的集资、吸收存款或者变相吸收存款等违反国家规定的活动。</w:t>
      </w:r>
    </w:p>
    <w:p>
      <w:pPr>
        <w:pStyle w:val="Normal"/>
        <w:keepNext w:val="false"/>
        <w:keepLines w:val="false"/>
        <w:pageBreakBefore w:val="false"/>
        <w:widowControl w:val="false"/>
        <w:tabs>
          <w:tab w:val="clear" w:pos="420"/>
          <w:tab w:val="left" w:pos="3735" w:leader="none"/>
        </w:tabs>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kern w:val="0"/>
          <w:szCs w:val="32"/>
        </w:rPr>
        <w:t xml:space="preserve">第十五条  </w:t>
      </w:r>
      <w:r>
        <w:rPr>
          <w:rFonts w:ascii="仿宋_GB2312" w:hAnsi="仿宋_GB2312" w:cs="仿宋" w:hint="eastAsia"/>
          <w:szCs w:val="32"/>
        </w:rPr>
        <w:t>融资担保公司开展业务活动应当以支持普惠金融发展、促进资金融通为导向，建立健全融资担保项目评审、担保后管理、代偿责任追偿等业务规范以及风险管理等内部控制制度。</w:t>
      </w:r>
    </w:p>
    <w:p>
      <w:pPr>
        <w:pStyle w:val="Normal"/>
        <w:keepNext w:val="false"/>
        <w:keepLines w:val="false"/>
        <w:pageBreakBefore w:val="false"/>
        <w:widowControl w:val="false"/>
        <w:tabs>
          <w:tab w:val="clear" w:pos="420"/>
          <w:tab w:val="left" w:pos="3735" w:leader="none"/>
        </w:tabs>
        <w:kinsoku w:val="true"/>
        <w:overflowPunct w:val="tru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融资担保公司不得从事吸收存款或者变相吸收存款、自营贷款或者受托贷款、受托投资以及违反国家规定的其他活动。</w:t>
      </w:r>
    </w:p>
    <w:p>
      <w:pPr>
        <w:pStyle w:val="Normal"/>
        <w:keepNext w:val="false"/>
        <w:keepLines w:val="false"/>
        <w:pageBreakBefore w:val="false"/>
        <w:widowControl w:val="false"/>
        <w:tabs>
          <w:tab w:val="clear" w:pos="420"/>
          <w:tab w:val="left" w:pos="3735" w:leader="none"/>
        </w:tabs>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kern w:val="0"/>
          <w:szCs w:val="32"/>
        </w:rPr>
        <w:t xml:space="preserve">第十六条 </w:t>
      </w:r>
      <w:r>
        <w:rPr>
          <w:rFonts w:ascii="黑体" w:hAnsi="黑体" w:cs="黑体" w:hint="eastAsia" w:eastAsia="黑体"/>
          <w:szCs w:val="32"/>
        </w:rPr>
        <w:t xml:space="preserve"> </w:t>
      </w:r>
      <w:r>
        <w:rPr>
          <w:rFonts w:ascii="仿宋_GB2312" w:hAnsi="仿宋_GB2312" w:cs="仿宋" w:hint="eastAsia"/>
          <w:szCs w:val="32"/>
        </w:rPr>
        <w:t>区域性股权市场为本市行政区域内中小微企业证券非公开发行、转让及相关活动提供设施与服务，应当进行风险监测、评估、预警和处置，防范和化解市场风险。鼓励区域性股权市场在合法合规、风险可控前提下，开展业务、产品、运营模式和服务方式创新，为中小微企业提供多样化、个性化服务。</w:t>
      </w:r>
    </w:p>
    <w:p>
      <w:pPr>
        <w:pStyle w:val="Normal"/>
        <w:keepNext w:val="false"/>
        <w:keepLines w:val="false"/>
        <w:pageBreakBefore w:val="false"/>
        <w:widowControl w:val="false"/>
        <w:tabs>
          <w:tab w:val="clear" w:pos="420"/>
          <w:tab w:val="left" w:pos="3735" w:leader="none"/>
        </w:tabs>
        <w:kinsoku w:val="true"/>
        <w:overflowPunct w:val="tru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区域性股权市场不得采用公开或者变相公开方式发行证券，不得采取集中竞价、连续竞价、做市商等集中交易方式进行证券转让以及从事违反国家规定的其他活动。</w:t>
      </w:r>
    </w:p>
    <w:p>
      <w:pPr>
        <w:pStyle w:val="Normal"/>
        <w:keepNext w:val="false"/>
        <w:keepLines w:val="false"/>
        <w:pageBreakBefore w:val="false"/>
        <w:widowControl w:val="false"/>
        <w:tabs>
          <w:tab w:val="clear" w:pos="420"/>
          <w:tab w:val="left" w:pos="3735" w:leader="none"/>
        </w:tabs>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kern w:val="0"/>
          <w:szCs w:val="32"/>
        </w:rPr>
        <w:t xml:space="preserve">第十七条  </w:t>
      </w:r>
      <w:r>
        <w:rPr>
          <w:rFonts w:ascii="仿宋_GB2312" w:hAnsi="仿宋_GB2312" w:cs="仿宋" w:hint="eastAsia"/>
          <w:szCs w:val="32"/>
        </w:rPr>
        <w:t>典当行应当按照平等、自愿、诚信、互利原则开展业务活动，确保当票使用、当物管理、绝当物品处理合法合规，典当流程完整、规范，各项收费符合有关规定。</w:t>
      </w:r>
    </w:p>
    <w:p>
      <w:pPr>
        <w:pStyle w:val="Normal"/>
        <w:keepNext w:val="false"/>
        <w:keepLines w:val="false"/>
        <w:pageBreakBefore w:val="false"/>
        <w:widowControl w:val="false"/>
        <w:tabs>
          <w:tab w:val="clear" w:pos="420"/>
          <w:tab w:val="left" w:pos="3735" w:leader="none"/>
        </w:tabs>
        <w:kinsoku w:val="true"/>
        <w:overflowPunct w:val="tru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典当行不得收当国家禁止收当的财物，不得在当期内出租、质押、抵押和使用当物以及从事违反国家规定的其他活动。</w:t>
      </w:r>
    </w:p>
    <w:p>
      <w:pPr>
        <w:pStyle w:val="Normal"/>
        <w:keepNext w:val="false"/>
        <w:keepLines w:val="false"/>
        <w:pageBreakBefore w:val="false"/>
        <w:widowControl w:val="false"/>
        <w:tabs>
          <w:tab w:val="clear" w:pos="420"/>
          <w:tab w:val="left" w:pos="3735" w:leader="none"/>
        </w:tabs>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kern w:val="0"/>
          <w:szCs w:val="32"/>
        </w:rPr>
        <w:t xml:space="preserve">第十八条  </w:t>
      </w:r>
      <w:r>
        <w:rPr>
          <w:rFonts w:ascii="仿宋_GB2312" w:hAnsi="仿宋_GB2312" w:cs="仿宋" w:hint="eastAsia"/>
          <w:szCs w:val="32"/>
        </w:rPr>
        <w:t>融资租赁公司开展业务活动应当确保租赁物权属清晰、真实存在且能够产生收益权，建立完善的内部风险控制体系，形成良好的风险资产分类管理、承租人信用评估、事后追偿和处置制度以及风险预警机制。鼓励和引导融资租赁公司对中小微企业提供融资支持。</w:t>
      </w:r>
    </w:p>
    <w:p>
      <w:pPr>
        <w:pStyle w:val="Normal"/>
        <w:keepNext w:val="false"/>
        <w:keepLines w:val="false"/>
        <w:pageBreakBefore w:val="false"/>
        <w:widowControl w:val="false"/>
        <w:tabs>
          <w:tab w:val="clear" w:pos="420"/>
          <w:tab w:val="left" w:pos="3735" w:leader="none"/>
        </w:tabs>
        <w:kinsoku w:val="true"/>
        <w:overflowPunct w:val="tru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融资租赁公司不得从事吸收存款、发放贷款、受托发放贷款等金融业务，不得借融资租赁的名义开展非法集资活动以及从事违反国家规定的其他活动。</w:t>
      </w:r>
    </w:p>
    <w:p>
      <w:pPr>
        <w:pStyle w:val="Normal"/>
        <w:keepNext w:val="false"/>
        <w:keepLines w:val="false"/>
        <w:pageBreakBefore w:val="false"/>
        <w:widowControl w:val="false"/>
        <w:tabs>
          <w:tab w:val="clear" w:pos="420"/>
          <w:tab w:val="left" w:pos="3735" w:leader="none"/>
        </w:tabs>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kern w:val="0"/>
          <w:szCs w:val="32"/>
        </w:rPr>
        <w:t xml:space="preserve">第十九条  </w:t>
      </w:r>
      <w:r>
        <w:rPr>
          <w:rFonts w:ascii="仿宋_GB2312" w:hAnsi="仿宋_GB2312" w:cs="仿宋" w:hint="eastAsia"/>
          <w:szCs w:val="32"/>
        </w:rPr>
        <w:t>商业保理公司应当建立与开展保理业务相应的管理制度，健全业务流程和操作规范，确保风险资产符合规定、应收账款初始权属清晰确定、历次转让凭证完整，防范发生经营风险。</w:t>
      </w:r>
    </w:p>
    <w:p>
      <w:pPr>
        <w:pStyle w:val="Normal"/>
        <w:keepNext w:val="false"/>
        <w:keepLines w:val="false"/>
        <w:pageBreakBefore w:val="false"/>
        <w:widowControl w:val="false"/>
        <w:tabs>
          <w:tab w:val="clear" w:pos="420"/>
          <w:tab w:val="left" w:pos="3735" w:leader="none"/>
        </w:tabs>
        <w:kinsoku w:val="true"/>
        <w:overflowPunct w:val="tru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商业保理公司不得专门从事或者受托开展催收业务，不得从事吸收存款、发放贷款以及违反国家规定的其他活动。</w:t>
      </w:r>
    </w:p>
    <w:p>
      <w:pPr>
        <w:pStyle w:val="Normal"/>
        <w:keepNext w:val="false"/>
        <w:keepLines w:val="false"/>
        <w:pageBreakBefore w:val="false"/>
        <w:widowControl w:val="false"/>
        <w:tabs>
          <w:tab w:val="clear" w:pos="420"/>
          <w:tab w:val="left" w:pos="3735" w:leader="none"/>
        </w:tabs>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kern w:val="0"/>
          <w:szCs w:val="32"/>
        </w:rPr>
        <w:t xml:space="preserve">第二十条  </w:t>
      </w:r>
      <w:r>
        <w:rPr>
          <w:rFonts w:ascii="仿宋_GB2312" w:hAnsi="仿宋_GB2312" w:cs="仿宋" w:hint="eastAsia"/>
          <w:szCs w:val="32"/>
        </w:rPr>
        <w:t>地方资产管理公司按照国家规定开展对金融企业不良资产的批量收购、处置等业务，应当遵循市场化、法治化原则，防范和化解区域金融风险，维护金融秩序，支持实体经济发展。</w:t>
      </w:r>
    </w:p>
    <w:p>
      <w:pPr>
        <w:pStyle w:val="Normal"/>
        <w:keepNext w:val="false"/>
        <w:keepLines w:val="false"/>
        <w:pageBreakBefore w:val="false"/>
        <w:widowControl w:val="false"/>
        <w:tabs>
          <w:tab w:val="clear" w:pos="420"/>
          <w:tab w:val="left" w:pos="3735" w:leader="none"/>
        </w:tabs>
        <w:kinsoku w:val="true"/>
        <w:overflowPunct w:val="true"/>
        <w:bidi w:val="0"/>
        <w:spacing w:lineRule="atLeast" w:line="300"/>
        <w:ind w:firstLineChars="200" w:startChars="0" w:start="0" w:endChars="0" w:end="0"/>
        <w:rPr>
          <w:rFonts w:ascii="仿宋_GB2312" w:hAnsi="仿宋_GB2312" w:cs="仿宋"/>
          <w:szCs w:val="32"/>
        </w:rPr>
      </w:pPr>
      <w:r>
        <w:rPr>
          <w:rFonts w:ascii="仿宋_GB2312" w:hAnsi="仿宋_GB2312" w:cs="仿宋" w:hint="eastAsia"/>
          <w:szCs w:val="32"/>
        </w:rPr>
        <w:t>地方资产管理公司不得为银行业金融机构规避资产质量监管提供通道，不得约定各种形式的实质上由受托方承担清收保底义务的条款，不得借收购不良债权、资产名义为企业或者项目提供融资以及从事违反国家规定的其他活动。</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黑体" w:hAnsi="黑体" w:eastAsia="黑体" w:cs="黑体" w:hint="eastAsia"/>
          <w:szCs w:val="32"/>
        </w:rPr>
      </w:pPr>
      <w:r>
        <w:rPr>
          <w:rFonts w:ascii="黑体" w:hAnsi="黑体" w:cs="黑体" w:hint="eastAsia" w:eastAsia="黑体"/>
          <w:szCs w:val="32"/>
        </w:rPr>
        <w:t xml:space="preserve">第二十一条  </w:t>
      </w:r>
      <w:r>
        <w:rPr>
          <w:rFonts w:ascii="仿宋_GB2312" w:hAnsi="仿宋_GB2312" w:cs="仿宋" w:hint="eastAsia"/>
          <w:szCs w:val="32"/>
        </w:rPr>
        <w:t>地方金融组织由于解散、被依法宣告破产等原因终止的，应当依法组织清算，对相关业务承接以及债务清偿作出明确安排，接受市地方金融监督管理部门的监督。</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 w:hAnsi="仿宋" w:eastAsia="仿宋" w:cs="仿宋" w:hint="eastAsia"/>
          <w:szCs w:val="32"/>
        </w:rPr>
      </w:pPr>
      <w:r>
        <w:rPr>
          <w:rFonts w:eastAsia="仿宋" w:cs="仿宋" w:hint="eastAsia" w:ascii="仿宋" w:hAnsi="仿宋"/>
          <w:szCs w:val="32"/>
        </w:rPr>
      </w:r>
    </w:p>
    <w:p>
      <w:pPr>
        <w:pStyle w:val="Normal"/>
        <w:keepNext w:val="false"/>
        <w:keepLines w:val="false"/>
        <w:pageBreakBefore w:val="false"/>
        <w:widowControl w:val="false"/>
        <w:numPr>
          <w:ilvl w:val="0"/>
          <w:numId w:val="0"/>
        </w:numPr>
        <w:kinsoku w:val="true"/>
        <w:overflowPunct w:val="true"/>
        <w:bidi w:val="0"/>
        <w:spacing w:lineRule="atLeast" w:line="300"/>
        <w:jc w:val="center"/>
        <w:outlineLvl w:val="0"/>
        <w:rPr>
          <w:rFonts w:ascii="黑体" w:hAnsi="黑体" w:eastAsia="黑体" w:cs="黑体" w:hint="eastAsia"/>
          <w:bCs/>
          <w:szCs w:val="32"/>
        </w:rPr>
      </w:pPr>
      <w:r>
        <w:rPr>
          <w:rFonts w:ascii="黑体" w:hAnsi="黑体" w:cs="黑体" w:eastAsia="黑体"/>
          <w:bCs/>
          <w:szCs w:val="32"/>
        </w:rPr>
        <w:t>第</w:t>
      </w:r>
      <w:r>
        <w:rPr>
          <w:rFonts w:ascii="黑体" w:hAnsi="黑体" w:cs="黑体" w:hint="eastAsia" w:eastAsia="黑体"/>
          <w:bCs/>
          <w:szCs w:val="32"/>
        </w:rPr>
        <w:t>三</w:t>
      </w:r>
      <w:r>
        <w:rPr>
          <w:rFonts w:ascii="黑体" w:hAnsi="黑体" w:cs="黑体" w:eastAsia="黑体"/>
          <w:bCs/>
          <w:szCs w:val="32"/>
        </w:rPr>
        <w:t>章</w:t>
      </w:r>
      <w:r>
        <w:rPr>
          <w:rFonts w:ascii="黑体" w:hAnsi="黑体" w:cs="黑体" w:hint="eastAsia" w:eastAsia="黑体"/>
          <w:bCs/>
          <w:szCs w:val="32"/>
        </w:rPr>
        <w:t xml:space="preserve">  监督管理</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szCs w:val="32"/>
        </w:rPr>
      </w:pPr>
      <w:r>
        <w:rPr>
          <w:rFonts w:ascii="黑体" w:hAnsi="黑体" w:cs="黑体" w:hint="eastAsia" w:eastAsia="黑体"/>
          <w:kern w:val="0"/>
          <w:szCs w:val="32"/>
        </w:rPr>
        <w:t>第二十二条</w:t>
      </w:r>
      <w:r>
        <w:rPr>
          <w:rFonts w:ascii="仿宋" w:hAnsi="仿宋" w:cs="仿宋" w:hint="eastAsia" w:eastAsia="仿宋"/>
          <w:szCs w:val="32"/>
        </w:rPr>
        <w:t xml:space="preserve">  </w:t>
      </w:r>
      <w:r>
        <w:rPr>
          <w:rFonts w:ascii="仿宋_GB2312" w:hAnsi="仿宋_GB2312" w:cs="仿宋" w:hint="eastAsia"/>
          <w:szCs w:val="32"/>
        </w:rPr>
        <w:t>市地方金融监督</w:t>
      </w:r>
      <w:r>
        <w:rPr>
          <w:rFonts w:ascii="仿宋_GB2312" w:hAnsi="仿宋_GB2312" w:cs="仿宋"/>
          <w:szCs w:val="32"/>
        </w:rPr>
        <w:t>管</w:t>
      </w:r>
      <w:r>
        <w:rPr>
          <w:rFonts w:ascii="仿宋_GB2312" w:hAnsi="仿宋_GB2312" w:cs="仿宋" w:hint="eastAsia"/>
          <w:szCs w:val="32"/>
        </w:rPr>
        <w:t>理</w:t>
      </w:r>
      <w:r>
        <w:rPr>
          <w:rFonts w:ascii="仿宋_GB2312" w:hAnsi="仿宋_GB2312" w:cs="仿宋"/>
          <w:szCs w:val="32"/>
        </w:rPr>
        <w:t>部门应当建立地方金融组织分类监管制度，根据地方金融组织的</w:t>
      </w:r>
      <w:r>
        <w:rPr>
          <w:rFonts w:ascii="仿宋_GB2312" w:hAnsi="仿宋_GB2312" w:cs="仿宋" w:hint="eastAsia"/>
          <w:szCs w:val="32"/>
        </w:rPr>
        <w:t>经营范围、</w:t>
      </w:r>
      <w:r>
        <w:rPr>
          <w:rFonts w:ascii="仿宋_GB2312" w:hAnsi="仿宋_GB2312" w:cs="仿宋"/>
          <w:szCs w:val="32"/>
        </w:rPr>
        <w:t>经营规模、</w:t>
      </w:r>
      <w:r>
        <w:rPr>
          <w:rFonts w:ascii="仿宋_GB2312" w:hAnsi="仿宋_GB2312" w:cs="仿宋" w:hint="eastAsia"/>
          <w:szCs w:val="32"/>
        </w:rPr>
        <w:t>管理</w:t>
      </w:r>
      <w:r>
        <w:rPr>
          <w:rFonts w:ascii="仿宋_GB2312" w:hAnsi="仿宋_GB2312" w:cs="仿宋"/>
          <w:szCs w:val="32"/>
        </w:rPr>
        <w:t>水平、内控机制、风险状况等，确定对其检查的频率、范围和需要采取的其他措施。</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kern w:val="0"/>
          <w:szCs w:val="32"/>
        </w:rPr>
        <w:t>第二十三条</w:t>
      </w:r>
      <w:r>
        <w:rPr>
          <w:rFonts w:ascii="黑体" w:hAnsi="黑体" w:cs="黑体" w:hint="eastAsia" w:eastAsia="黑体"/>
          <w:szCs w:val="32"/>
        </w:rPr>
        <w:t xml:space="preserve">  </w:t>
      </w:r>
      <w:r>
        <w:rPr>
          <w:rFonts w:ascii="仿宋_GB2312" w:hAnsi="仿宋_GB2312" w:cs="仿宋" w:hint="eastAsia"/>
          <w:szCs w:val="32"/>
        </w:rPr>
        <w:t>市地方金融监督管理部门应当对地方金融组织的业务活动及其风险状况进行非现场监管，充分运用大数据、云计算等现代信息技术，加强监管信息的汇聚和共享，做好实时监测、统计分析、风险预警和评估处置等工作。</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kern w:val="0"/>
          <w:szCs w:val="32"/>
        </w:rPr>
        <w:t>第二十四条</w:t>
      </w:r>
      <w:r>
        <w:rPr>
          <w:rFonts w:ascii="仿宋" w:hAnsi="仿宋" w:cs="仿宋" w:hint="eastAsia" w:eastAsia="仿宋"/>
          <w:szCs w:val="32"/>
        </w:rPr>
        <w:t xml:space="preserve">  </w:t>
      </w:r>
      <w:r>
        <w:rPr>
          <w:rFonts w:ascii="仿宋_GB2312" w:hAnsi="仿宋_GB2312" w:cs="仿宋" w:hint="eastAsia"/>
          <w:szCs w:val="32"/>
        </w:rPr>
        <w:t>市地方金融监督管理部门根据监管工作需要，经其负责人批准，可以采取下列方式对地方金融组织的业务活动及其风险状况进行现场检查：</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（一）进入地方金融组织进行检查；</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（二）询问地方金融组织的有关人员，要求其对有关检查事项如实说明；</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（三）检查地方金融组织相关计算机信息管理系统；</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（四）查阅、复制与检查事项有关的文件、资料，对可能被转移、隐匿或者损毁的文件、资料、电子设备予以登记</w:t>
      </w:r>
      <w:r>
        <w:rPr>
          <w:rFonts w:ascii="仿宋_GB2312" w:hAnsi="仿宋_GB2312" w:cs="仿宋"/>
          <w:szCs w:val="32"/>
        </w:rPr>
        <w:t>保</w:t>
      </w:r>
      <w:r>
        <w:rPr>
          <w:rFonts w:ascii="仿宋_GB2312" w:hAnsi="仿宋_GB2312" w:cs="仿宋" w:hint="eastAsia"/>
          <w:szCs w:val="32"/>
        </w:rPr>
        <w:t>存。</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现场检查人员不得少于两人，并应当出示合法证件和检查通知书。地方金融组织应当配合市地方金融监督管理部门进行检查，不得拒绝、阻碍依法实施的监督检查。</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szCs w:val="32"/>
        </w:rPr>
      </w:pPr>
      <w:r>
        <w:rPr>
          <w:rFonts w:ascii="黑体" w:hAnsi="黑体" w:cs="黑体" w:hint="eastAsia" w:eastAsia="黑体"/>
          <w:kern w:val="0"/>
          <w:szCs w:val="32"/>
        </w:rPr>
        <w:t>第二十五条</w:t>
      </w:r>
      <w:r>
        <w:rPr>
          <w:rFonts w:ascii="黑体" w:hAnsi="黑体" w:cs="黑体" w:hint="eastAsia" w:eastAsia="黑体"/>
          <w:szCs w:val="32"/>
        </w:rPr>
        <w:t xml:space="preserve">  </w:t>
      </w:r>
      <w:r>
        <w:rPr>
          <w:rFonts w:ascii="仿宋_GB2312" w:hAnsi="仿宋_GB2312" w:cs="仿宋" w:hint="eastAsia"/>
          <w:szCs w:val="32"/>
        </w:rPr>
        <w:t>市地方金融监督管理部门应当对地方金融组织的董事、监事、高级管理人员进行相关法律法规、政策和专业知识的培训，提高其合法合规经营的能力和水平。</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szCs w:val="32"/>
        </w:rPr>
      </w:pPr>
      <w:r>
        <w:rPr>
          <w:rFonts w:ascii="黑体" w:hAnsi="黑体" w:cs="黑体" w:hint="eastAsia" w:eastAsia="黑体"/>
          <w:kern w:val="0"/>
          <w:szCs w:val="32"/>
        </w:rPr>
        <w:t>第二十六条</w:t>
      </w:r>
      <w:r>
        <w:rPr>
          <w:rFonts w:ascii="仿宋" w:hAnsi="仿宋" w:cs="仿宋" w:hint="eastAsia" w:eastAsia="仿宋"/>
          <w:szCs w:val="32"/>
        </w:rPr>
        <w:t xml:space="preserve">  </w:t>
      </w:r>
      <w:r>
        <w:rPr>
          <w:rFonts w:ascii="仿宋_GB2312" w:hAnsi="仿宋_GB2312" w:cs="仿宋" w:hint="eastAsia"/>
          <w:szCs w:val="32"/>
        </w:rPr>
        <w:t>市地方金融监督管理部门应当根据监管工作需要，就地方金融组织业务活动和风险管理的重大事项，及时与地方金融组织的股东、董事、监事、高级管理人员进行监督管理谈话和风险提示。</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kern w:val="0"/>
          <w:szCs w:val="32"/>
        </w:rPr>
        <w:t>第二十七条</w:t>
      </w:r>
      <w:r>
        <w:rPr>
          <w:rFonts w:ascii="黑体" w:hAnsi="黑体" w:cs="仿宋_GB2312" w:hint="eastAsia" w:eastAsia="黑体"/>
          <w:kern w:val="2"/>
          <w:szCs w:val="32"/>
        </w:rPr>
        <w:t xml:space="preserve">  </w:t>
      </w:r>
      <w:r>
        <w:rPr>
          <w:rFonts w:ascii="仿宋_GB2312" w:hAnsi="仿宋_GB2312" w:cs="仿宋" w:hint="eastAsia"/>
          <w:szCs w:val="32"/>
        </w:rPr>
        <w:t>市地方金融监督管理部门应当按照规定将地方金融组织相关信用信息纳入市场主体信用信息公示系统和信用信息共享平台，对失信的地方金融组织及相关人员实施联合惩戒。</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szCs w:val="32"/>
        </w:rPr>
      </w:pPr>
      <w:r>
        <w:rPr>
          <w:rFonts w:ascii="黑体" w:hAnsi="黑体" w:cs="黑体" w:hint="eastAsia" w:eastAsia="黑体"/>
          <w:szCs w:val="32"/>
        </w:rPr>
        <w:t>第二十八条</w:t>
      </w:r>
      <w:r>
        <w:rPr>
          <w:rFonts w:ascii="黑体" w:hAnsi="黑体" w:cs="黑体" w:hint="eastAsia" w:eastAsia="黑体"/>
          <w:kern w:val="0"/>
          <w:szCs w:val="32"/>
        </w:rPr>
        <w:t xml:space="preserve">  </w:t>
      </w:r>
      <w:r>
        <w:rPr>
          <w:rFonts w:ascii="仿宋_GB2312" w:hAnsi="仿宋_GB2312" w:cs="仿宋" w:hint="eastAsia"/>
          <w:szCs w:val="32"/>
        </w:rPr>
        <w:t>市地方金融监督管理部门应当加强对本市投资公司、开展信用互助的农民专业合作社、社会众筹机构、民间借贷、新型农村合作金融组织等的引导和规范，统筹加强对权益类交易场所的监管。</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szCs w:val="32"/>
        </w:rPr>
        <w:t xml:space="preserve">第二十九条  </w:t>
      </w:r>
      <w:r>
        <w:rPr>
          <w:rFonts w:ascii="仿宋_GB2312" w:hAnsi="仿宋_GB2312" w:cs="仿宋" w:hint="eastAsia"/>
          <w:szCs w:val="32"/>
        </w:rPr>
        <w:t>市地方金融监督管理部门及其工作人员对于在监督管理工作中知悉的国家秘密、商业秘密和个人隐私，应当保密。</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bidi w:val="0"/>
        <w:spacing w:lineRule="atLeast" w:line="300"/>
        <w:jc w:val="center"/>
        <w:textAlignment w:val="baseline"/>
        <w:rPr>
          <w:rFonts w:ascii="黑体" w:hAnsi="黑体" w:eastAsia="黑体" w:cs="黑体" w:hint="eastAsia"/>
          <w:kern w:val="0"/>
          <w:szCs w:val="32"/>
        </w:rPr>
      </w:pPr>
      <w:r>
        <w:rPr>
          <w:rFonts w:ascii="黑体" w:hAnsi="黑体" w:cs="黑体" w:eastAsia="黑体"/>
          <w:kern w:val="0"/>
          <w:szCs w:val="32"/>
        </w:rPr>
        <w:t>第</w:t>
      </w:r>
      <w:r>
        <w:rPr>
          <w:rFonts w:ascii="黑体" w:hAnsi="黑体" w:cs="黑体" w:hint="eastAsia" w:eastAsia="黑体"/>
          <w:kern w:val="0"/>
          <w:szCs w:val="32"/>
        </w:rPr>
        <w:t>四</w:t>
      </w:r>
      <w:r>
        <w:rPr>
          <w:rFonts w:ascii="黑体" w:hAnsi="黑体" w:cs="黑体" w:eastAsia="黑体"/>
          <w:kern w:val="0"/>
          <w:szCs w:val="32"/>
        </w:rPr>
        <w:t xml:space="preserve">章  </w:t>
      </w:r>
      <w:r>
        <w:rPr>
          <w:rFonts w:ascii="黑体" w:hAnsi="黑体" w:cs="黑体" w:hint="eastAsia" w:eastAsia="黑体"/>
          <w:kern w:val="0"/>
          <w:szCs w:val="32"/>
        </w:rPr>
        <w:t>风险防控</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szCs w:val="32"/>
        </w:rPr>
        <w:t xml:space="preserve">第三十条  </w:t>
      </w:r>
      <w:r>
        <w:rPr>
          <w:rFonts w:ascii="仿宋_GB2312" w:hAnsi="仿宋_GB2312" w:cs="仿宋" w:hint="eastAsia"/>
          <w:szCs w:val="32"/>
        </w:rPr>
        <w:t>市和区人民政府应当建立金融风险防范和处置工作机制，制定地方金融风险突发事件应急预案，及时稳妥处置金融风险。</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kern w:val="0"/>
          <w:szCs w:val="32"/>
        </w:rPr>
        <w:t xml:space="preserve">第三十一条  </w:t>
      </w:r>
      <w:r>
        <w:rPr>
          <w:rFonts w:ascii="仿宋_GB2312" w:hAnsi="仿宋_GB2312" w:cs="仿宋" w:hint="eastAsia"/>
          <w:szCs w:val="32"/>
        </w:rPr>
        <w:t>市地方金融监督管理部门应当制定地方金融组织风险突发事件应急预案，明确处置机构和人员及其职责、处置措施和处置程序，及时有效处置突发事件。</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kern w:val="0"/>
          <w:szCs w:val="32"/>
        </w:rPr>
        <w:t xml:space="preserve">第三十二条  </w:t>
      </w:r>
      <w:r>
        <w:rPr>
          <w:rFonts w:ascii="仿宋_GB2312" w:hAnsi="仿宋_GB2312" w:cs="仿宋" w:hint="eastAsia"/>
          <w:szCs w:val="32"/>
        </w:rPr>
        <w:t>地方金融组织相关业务活动可能引发或者已经形成重大金融风险的，应当及时向市地方金融监督管理部门报告有关情况，并及时采取措施，消除隐患，处置风险。</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地方金融组织相关业务活动可能引发或者已经形成重大金融风险的，任何单位和个人发现后有权告知市地方金融监督管理部门。</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szCs w:val="32"/>
        </w:rPr>
      </w:pPr>
      <w:r>
        <w:rPr>
          <w:rFonts w:ascii="仿宋_GB2312" w:hAnsi="仿宋_GB2312" w:cs="仿宋" w:hint="eastAsia"/>
          <w:szCs w:val="32"/>
        </w:rPr>
        <w:t>对地方金融组织相关业务活动可能引发或者已经形成的重大金融风险，市地方金融监督管理部门应当及时处置。需要其他部门配合的，相关部门应当予以配合。</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szCs w:val="32"/>
        </w:rPr>
      </w:pPr>
      <w:r>
        <w:rPr>
          <w:rFonts w:ascii="黑体" w:hAnsi="黑体" w:cs="黑体" w:hint="eastAsia" w:eastAsia="黑体"/>
          <w:szCs w:val="32"/>
        </w:rPr>
        <w:t>第三十三条</w:t>
      </w:r>
      <w:r>
        <w:rPr>
          <w:rFonts w:ascii="黑体" w:hAnsi="黑体" w:cs="仿宋_GB2312" w:hint="eastAsia" w:eastAsia="黑体"/>
          <w:kern w:val="2"/>
          <w:szCs w:val="32"/>
        </w:rPr>
        <w:t xml:space="preserve">  </w:t>
      </w:r>
      <w:r>
        <w:rPr>
          <w:rFonts w:ascii="仿宋_GB2312" w:hAnsi="仿宋_GB2312" w:cs="仿宋" w:hint="eastAsia"/>
          <w:szCs w:val="32"/>
        </w:rPr>
        <w:t>国家金融监管部门监督管理的金融机构，其业务活动可能引发或者已经形成重大金融风险的，市地方金融监督管理部门应当协调有关部门协助国家金融监管部门派出机构开展风险处置相关工作。</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szCs w:val="32"/>
        </w:rPr>
        <w:t xml:space="preserve">第三十四条  </w:t>
      </w:r>
      <w:r>
        <w:rPr>
          <w:rFonts w:ascii="仿宋_GB2312" w:hAnsi="仿宋_GB2312" w:cs="仿宋" w:hint="eastAsia"/>
          <w:szCs w:val="32"/>
        </w:rPr>
        <w:t>任何单位和个人不得非法吸收公众存款、擅自发行有价证券，或者以其他方式从事非法金融活动；不得以广告、公开劝诱或者变相公开宣传的方式，向社会不特定对象、超过法律规定数量的特定对象承诺或者变相承诺，对投资收益或者投资效果作出保本、高收益或者无风险等保证。</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市和区人民政府应当做好本行政区域内非法金融活动的风险监测预警和处置工作。</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szCs w:val="32"/>
        </w:rPr>
      </w:pPr>
      <w:r>
        <w:rPr>
          <w:rFonts w:ascii="仿宋_GB2312" w:hAnsi="仿宋_GB2312" w:cs="仿宋" w:hint="eastAsia"/>
          <w:szCs w:val="32"/>
        </w:rPr>
        <w:t>市地方金融监督管理部门应当会同公安、市场监督管理等有关部门依法打击非法金融活动，防范和处置非法集资。</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szCs w:val="32"/>
        </w:rPr>
        <w:t>第三十五条</w:t>
      </w:r>
      <w:r>
        <w:rPr>
          <w:rFonts w:ascii="黑体" w:hAnsi="黑体" w:cs="仿宋_GB2312" w:hint="eastAsia" w:eastAsia="黑体"/>
          <w:kern w:val="2"/>
          <w:szCs w:val="32"/>
        </w:rPr>
        <w:t xml:space="preserve">  </w:t>
      </w:r>
      <w:r>
        <w:rPr>
          <w:rFonts w:ascii="仿宋_GB2312" w:hAnsi="仿宋_GB2312" w:cs="仿宋" w:hint="eastAsia"/>
          <w:szCs w:val="32"/>
        </w:rPr>
        <w:t>对可能引发或者已经形成的金融风险，国家未明确风险处置责任单位的，由风险发生地的区人民政府负责组织、协调有关部门开展风险处置相关工作，并及时报告市地方金融监督管理部门。</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对可能引发或者已经形成的全市范围内的重大金融风险，市人民政府应当及时协调处理。</w:t>
      </w:r>
    </w:p>
    <w:p>
      <w:pPr>
        <w:pStyle w:val="Normal"/>
        <w:keepNext w:val="false"/>
        <w:keepLines w:val="false"/>
        <w:pageBreakBefore w:val="false"/>
        <w:widowControl w:val="false"/>
        <w:kinsoku w:val="true"/>
        <w:overflowPunct w:val="true"/>
        <w:bidi w:val="0"/>
        <w:spacing w:lineRule="atLeast" w:line="300"/>
        <w:rPr>
          <w:rFonts w:ascii="仿宋" w:hAnsi="仿宋" w:eastAsia="仿宋" w:cs="仿宋" w:hint="eastAsia"/>
          <w:szCs w:val="32"/>
          <w:bdr w:val="single" w:sz="4" w:space="0" w:color="000000"/>
        </w:rPr>
      </w:pPr>
      <w:r>
        <w:rPr>
          <w:rFonts w:eastAsia="仿宋" w:cs="仿宋" w:hint="eastAsia" w:ascii="仿宋" w:hAnsi="仿宋"/>
          <w:szCs w:val="32"/>
          <w:bdr w:val="single" w:sz="4" w:space="0" w:color="000000"/>
        </w:rPr>
      </w:r>
    </w:p>
    <w:p>
      <w:pPr>
        <w:pStyle w:val="Normal"/>
        <w:keepNext w:val="false"/>
        <w:keepLines w:val="false"/>
        <w:pageBreakBefore w:val="false"/>
        <w:widowControl w:val="false"/>
        <w:numPr>
          <w:ilvl w:val="0"/>
          <w:numId w:val="0"/>
        </w:numPr>
        <w:kinsoku w:val="true"/>
        <w:overflowPunct w:val="true"/>
        <w:bidi w:val="0"/>
        <w:spacing w:lineRule="atLeast" w:line="300"/>
        <w:jc w:val="center"/>
        <w:outlineLvl w:val="0"/>
        <w:rPr>
          <w:rFonts w:ascii="黑体" w:hAnsi="黑体" w:eastAsia="黑体" w:cs="黑体" w:hint="eastAsia"/>
          <w:bCs/>
          <w:szCs w:val="32"/>
        </w:rPr>
      </w:pPr>
      <w:r>
        <w:rPr>
          <w:rFonts w:ascii="黑体" w:hAnsi="黑体" w:cs="黑体" w:eastAsia="黑体"/>
          <w:bCs/>
          <w:szCs w:val="32"/>
        </w:rPr>
        <w:t>第</w:t>
      </w:r>
      <w:r>
        <w:rPr>
          <w:rFonts w:ascii="黑体" w:hAnsi="黑体" w:cs="黑体" w:hint="eastAsia" w:eastAsia="黑体"/>
          <w:bCs/>
          <w:szCs w:val="32"/>
        </w:rPr>
        <w:t>五</w:t>
      </w:r>
      <w:r>
        <w:rPr>
          <w:rFonts w:ascii="黑体" w:hAnsi="黑体" w:cs="黑体" w:eastAsia="黑体"/>
          <w:bCs/>
          <w:szCs w:val="32"/>
        </w:rPr>
        <w:t>章  法律责任</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szCs w:val="32"/>
        </w:rPr>
      </w:pPr>
      <w:r>
        <w:rPr>
          <w:rFonts w:ascii="黑体" w:hAnsi="黑体" w:cs="黑体" w:hint="eastAsia" w:eastAsia="黑体"/>
          <w:szCs w:val="32"/>
        </w:rPr>
        <w:t>第三十六条</w:t>
      </w:r>
      <w:r>
        <w:rPr>
          <w:rFonts w:ascii="仿宋" w:hAnsi="仿宋" w:cs="仿宋" w:hint="eastAsia" w:eastAsia="仿宋"/>
          <w:szCs w:val="32"/>
        </w:rPr>
        <w:t xml:space="preserve">  </w:t>
      </w:r>
      <w:r>
        <w:rPr>
          <w:rFonts w:ascii="仿宋_GB2312" w:hAnsi="仿宋_GB2312" w:cs="仿宋" w:hint="eastAsia"/>
          <w:szCs w:val="32"/>
        </w:rPr>
        <w:t>未经批准或者授权设立地方金融组织或者从事地方金融组织业务活动的，由市地方金融监督管理部门依法予以取缔或者责令停止经营，处五十万元以上一百万元以下的罚款，并没收违法所得。</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szCs w:val="32"/>
        </w:rPr>
        <w:t xml:space="preserve">第三十七条 </w:t>
      </w:r>
      <w:r>
        <w:rPr>
          <w:rFonts w:ascii="仿宋" w:hAnsi="仿宋" w:cs="仿宋" w:hint="eastAsia" w:eastAsia="仿宋"/>
          <w:szCs w:val="32"/>
        </w:rPr>
        <w:t xml:space="preserve"> </w:t>
      </w:r>
      <w:r>
        <w:rPr>
          <w:rFonts w:ascii="仿宋_GB2312" w:hAnsi="仿宋_GB2312" w:cs="仿宋" w:hint="eastAsia"/>
          <w:szCs w:val="32"/>
        </w:rPr>
        <w:t>地方金融组织变更相关事项，未按照国家有关规定办理批准、授权或者备案等手续的，由市地方金融监督管理部门责令限期改正；逾期不改正的，处五万元以上十万元以下的罚款；情节严重的，处十万元以上二十万元以下的罚款，责令停业整顿。</w:t>
      </w:r>
    </w:p>
    <w:p>
      <w:pPr>
        <w:pStyle w:val="Normal"/>
        <w:keepNext w:val="false"/>
        <w:keepLines w:val="false"/>
        <w:pageBreakBefore w:val="false"/>
        <w:widowControl w:val="false"/>
        <w:kinsoku w:val="true"/>
        <w:overflowPunct w:val="true"/>
        <w:autoSpaceDE w:val="false"/>
        <w:bidi w:val="0"/>
        <w:spacing w:lineRule="atLeast" w:line="300"/>
        <w:ind w:firstLineChars="200" w:startChars="0" w:start="0" w:endChars="0" w:end="0"/>
        <w:rPr>
          <w:rFonts w:ascii="仿宋_GB2312" w:hAnsi="仿宋_GB2312" w:cs="仿宋"/>
          <w:szCs w:val="32"/>
        </w:rPr>
      </w:pPr>
      <w:r>
        <w:rPr>
          <w:rFonts w:ascii="黑体" w:hAnsi="黑体" w:cs="黑体" w:hint="eastAsia" w:eastAsia="黑体"/>
          <w:szCs w:val="32"/>
        </w:rPr>
        <w:t>第三十八条</w:t>
      </w:r>
      <w:r>
        <w:rPr>
          <w:rFonts w:ascii="仿宋" w:hAnsi="仿宋" w:cs="仿宋" w:hint="eastAsia" w:eastAsia="仿宋"/>
          <w:szCs w:val="32"/>
        </w:rPr>
        <w:t xml:space="preserve">  </w:t>
      </w:r>
      <w:r>
        <w:rPr>
          <w:rFonts w:ascii="仿宋_GB2312" w:hAnsi="仿宋_GB2312" w:cs="仿宋" w:hint="eastAsia"/>
          <w:szCs w:val="32"/>
        </w:rPr>
        <w:t>地方金融组织未按照规定</w:t>
      </w:r>
      <w:r>
        <w:rPr>
          <w:rFonts w:ascii="仿宋_GB2312" w:hAnsi="仿宋_GB2312" w:cs="仿宋"/>
          <w:szCs w:val="32"/>
        </w:rPr>
        <w:t>报送</w:t>
      </w:r>
      <w:r>
        <w:rPr>
          <w:szCs w:val="32"/>
        </w:rPr>
        <w:t>经营报告、财务报告、注册会</w:t>
      </w:r>
      <w:r>
        <w:rPr>
          <w:rFonts w:ascii="仿宋_GB2312" w:hAnsi="仿宋_GB2312" w:cs="仿宋"/>
          <w:szCs w:val="32"/>
        </w:rPr>
        <w:t>计师出具的年度审计报告及相关经营信息等文件和资料</w:t>
      </w:r>
      <w:r>
        <w:rPr>
          <w:rFonts w:ascii="仿宋_GB2312" w:hAnsi="仿宋_GB2312" w:cs="仿宋" w:hint="eastAsia"/>
          <w:szCs w:val="32"/>
        </w:rPr>
        <w:t>，或者未报告其发生的重大金融风险情况</w:t>
      </w:r>
      <w:r>
        <w:rPr>
          <w:rFonts w:ascii="仿宋_GB2312" w:hAnsi="仿宋_GB2312" w:cs="仿宋"/>
          <w:szCs w:val="32"/>
        </w:rPr>
        <w:t>的，由</w:t>
      </w:r>
      <w:r>
        <w:rPr>
          <w:rFonts w:ascii="仿宋_GB2312" w:hAnsi="仿宋_GB2312" w:cs="仿宋" w:hint="eastAsia"/>
          <w:szCs w:val="32"/>
        </w:rPr>
        <w:t>市地方金融监督管理部门</w:t>
      </w:r>
      <w:r>
        <w:rPr>
          <w:rFonts w:ascii="仿宋_GB2312" w:hAnsi="仿宋_GB2312" w:cs="仿宋"/>
          <w:szCs w:val="32"/>
        </w:rPr>
        <w:t>责令限期改正</w:t>
      </w:r>
      <w:r>
        <w:rPr>
          <w:rFonts w:ascii="仿宋_GB2312" w:hAnsi="仿宋_GB2312" w:cs="仿宋" w:hint="eastAsia"/>
          <w:szCs w:val="32"/>
        </w:rPr>
        <w:t>，</w:t>
      </w:r>
      <w:r>
        <w:rPr>
          <w:rFonts w:ascii="仿宋_GB2312" w:hAnsi="仿宋_GB2312" w:cs="仿宋"/>
          <w:szCs w:val="32"/>
        </w:rPr>
        <w:t>处</w:t>
      </w:r>
      <w:r>
        <w:rPr>
          <w:rFonts w:ascii="仿宋_GB2312" w:hAnsi="仿宋_GB2312" w:cs="仿宋" w:hint="eastAsia"/>
          <w:szCs w:val="32"/>
        </w:rPr>
        <w:t>五</w:t>
      </w:r>
      <w:r>
        <w:rPr>
          <w:rFonts w:ascii="仿宋_GB2312" w:hAnsi="仿宋_GB2312" w:cs="仿宋"/>
          <w:szCs w:val="32"/>
        </w:rPr>
        <w:t>万元以上</w:t>
      </w:r>
      <w:r>
        <w:rPr>
          <w:rFonts w:ascii="仿宋_GB2312" w:hAnsi="仿宋_GB2312" w:cs="仿宋" w:hint="eastAsia"/>
          <w:szCs w:val="32"/>
        </w:rPr>
        <w:t>二十</w:t>
      </w:r>
      <w:r>
        <w:rPr>
          <w:rFonts w:ascii="仿宋_GB2312" w:hAnsi="仿宋_GB2312" w:cs="仿宋"/>
          <w:szCs w:val="32"/>
        </w:rPr>
        <w:t>万元以下的罚款；逾期不改正的，责令停业整顿，情节严重的，</w:t>
      </w:r>
      <w:r>
        <w:rPr>
          <w:rFonts w:ascii="仿宋_GB2312" w:hAnsi="仿宋_GB2312" w:cs="仿宋" w:hint="eastAsia"/>
          <w:szCs w:val="32"/>
        </w:rPr>
        <w:t>吊销其经营许可证。</w:t>
      </w:r>
    </w:p>
    <w:p>
      <w:pPr>
        <w:pStyle w:val="Normal"/>
        <w:keepNext w:val="false"/>
        <w:keepLines w:val="false"/>
        <w:pageBreakBefore w:val="false"/>
        <w:widowControl w:val="false"/>
        <w:kinsoku w:val="true"/>
        <w:overflowPunct w:val="true"/>
        <w:autoSpaceDE w:val="fals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szCs w:val="32"/>
        </w:rPr>
        <w:t xml:space="preserve">第三十九条  </w:t>
      </w:r>
      <w:r>
        <w:rPr>
          <w:rFonts w:ascii="仿宋_GB2312" w:hAnsi="仿宋_GB2312" w:cs="仿宋" w:hint="eastAsia"/>
          <w:szCs w:val="32"/>
        </w:rPr>
        <w:t>地方金融组织有下列情形之一的，由市地方金融监督管理部门责令限期改正，处二十万元以上五十万元以下的罚款；逾期不改正的，责令停业整顿，情节严重的，吊销其经营许可证：</w:t>
      </w:r>
    </w:p>
    <w:p>
      <w:pPr>
        <w:pStyle w:val="Normal"/>
        <w:keepNext w:val="false"/>
        <w:keepLines w:val="false"/>
        <w:pageBreakBefore w:val="false"/>
        <w:widowControl w:val="false"/>
        <w:kinsoku w:val="true"/>
        <w:overflowPunct w:val="true"/>
        <w:autoSpaceDE w:val="false"/>
        <w:bidi w:val="0"/>
        <w:spacing w:lineRule="atLeast" w:line="300"/>
        <w:ind w:firstLineChars="200" w:startChars="0" w:start="0" w:endChars="0" w:end="0"/>
        <w:rPr>
          <w:rFonts w:ascii="仿宋_GB2312" w:hAnsi="仿宋_GB2312" w:cs="仿宋" w:hint="eastAsia"/>
          <w:szCs w:val="32"/>
        </w:rPr>
      </w:pPr>
      <w:r>
        <w:rPr>
          <w:rFonts w:ascii="仿宋_GB2312" w:hAnsi="仿宋_GB2312" w:cs="仿宋" w:hint="eastAsia"/>
          <w:szCs w:val="32"/>
        </w:rPr>
        <w:t>（一）拒绝、阻碍市</w:t>
      </w:r>
      <w:r>
        <w:rPr>
          <w:rFonts w:ascii="仿宋_GB2312" w:hAnsi="仿宋_GB2312" w:cs="仿宋"/>
          <w:szCs w:val="32"/>
        </w:rPr>
        <w:t>地方金融</w:t>
      </w:r>
      <w:r>
        <w:rPr>
          <w:rFonts w:ascii="仿宋_GB2312" w:hAnsi="仿宋_GB2312" w:cs="仿宋" w:hint="eastAsia"/>
          <w:szCs w:val="32"/>
        </w:rPr>
        <w:t xml:space="preserve">监督管理部门依法实施监督检查的； </w:t>
      </w:r>
    </w:p>
    <w:p>
      <w:pPr>
        <w:pStyle w:val="Normal"/>
        <w:keepNext w:val="false"/>
        <w:keepLines w:val="false"/>
        <w:pageBreakBefore w:val="false"/>
        <w:widowControl w:val="false"/>
        <w:kinsoku w:val="true"/>
        <w:overflowPunct w:val="true"/>
        <w:autoSpaceDE w:val="false"/>
        <w:bidi w:val="0"/>
        <w:spacing w:lineRule="atLeast" w:line="300"/>
        <w:ind w:firstLineChars="200" w:startChars="0" w:start="0" w:endChars="0" w:end="0"/>
        <w:rPr>
          <w:rFonts w:ascii="仿宋_GB2312" w:hAnsi="仿宋_GB2312" w:cs="仿宋"/>
          <w:szCs w:val="32"/>
        </w:rPr>
      </w:pPr>
      <w:r>
        <w:rPr>
          <w:rFonts w:ascii="仿宋_GB2312" w:hAnsi="仿宋_GB2312" w:cs="仿宋" w:hint="eastAsia"/>
          <w:szCs w:val="32"/>
        </w:rPr>
        <w:t>（二）向市</w:t>
      </w:r>
      <w:r>
        <w:rPr>
          <w:rFonts w:ascii="仿宋_GB2312" w:hAnsi="仿宋_GB2312" w:cs="仿宋"/>
          <w:szCs w:val="32"/>
        </w:rPr>
        <w:t>地方金融</w:t>
      </w:r>
      <w:r>
        <w:rPr>
          <w:rFonts w:ascii="仿宋_GB2312" w:hAnsi="仿宋_GB2312" w:cs="仿宋" w:hint="eastAsia"/>
          <w:szCs w:val="32"/>
        </w:rPr>
        <w:t>监督管理部门提供虚假的经营报告、财务报告、注册会计师出具的年度审计报告及相关经营信息等文件、资料的。</w:t>
      </w:r>
    </w:p>
    <w:p>
      <w:pPr>
        <w:pStyle w:val="Normal"/>
        <w:keepNext w:val="false"/>
        <w:keepLines w:val="false"/>
        <w:pageBreakBefore w:val="false"/>
        <w:widowControl w:val="false"/>
        <w:kinsoku w:val="true"/>
        <w:overflowPunct w:val="true"/>
        <w:autoSpaceDE w:val="false"/>
        <w:bidi w:val="0"/>
        <w:spacing w:lineRule="atLeast" w:line="300"/>
        <w:ind w:firstLineChars="200" w:startChars="0" w:start="0" w:endChars="0" w:end="0"/>
        <w:rPr>
          <w:rFonts w:ascii="仿宋_GB2312" w:hAnsi="仿宋_GB2312" w:cs="仿宋"/>
          <w:szCs w:val="32"/>
        </w:rPr>
      </w:pPr>
      <w:r>
        <w:rPr>
          <w:rFonts w:ascii="黑体" w:hAnsi="黑体" w:cs="黑体" w:hint="eastAsia" w:eastAsia="黑体"/>
          <w:szCs w:val="32"/>
        </w:rPr>
        <w:t>第四十条</w:t>
      </w:r>
      <w:r>
        <w:rPr>
          <w:rFonts w:ascii="仿宋" w:hAnsi="仿宋" w:cs="仿宋" w:hint="eastAsia" w:eastAsia="仿宋"/>
          <w:szCs w:val="32"/>
        </w:rPr>
        <w:t xml:space="preserve">  </w:t>
      </w:r>
      <w:r>
        <w:rPr>
          <w:rFonts w:ascii="仿宋_GB2312" w:hAnsi="仿宋_GB2312" w:cs="仿宋" w:hint="eastAsia"/>
          <w:kern w:val="0"/>
          <w:szCs w:val="32"/>
        </w:rPr>
        <w:t>依照本条例规定对地方金融组织处以罚款的，根据具体情形，可以同时对负有直接责任的董</w:t>
      </w:r>
      <w:r>
        <w:rPr>
          <w:rFonts w:ascii="仿宋_GB2312" w:hAnsi="仿宋_GB2312" w:cs="仿宋" w:hint="eastAsia"/>
          <w:szCs w:val="32"/>
        </w:rPr>
        <w:t>事、监事、高级管理人员给予警告，处五万元以上二十万元以下的罚款；情节严重的，处二十万元以上五十万元以下的罚款。</w:t>
      </w:r>
    </w:p>
    <w:p>
      <w:pPr>
        <w:pStyle w:val="Normal"/>
        <w:keepNext w:val="false"/>
        <w:keepLines w:val="false"/>
        <w:pageBreakBefore w:val="false"/>
        <w:widowControl w:val="false"/>
        <w:kinsoku w:val="true"/>
        <w:overflowPunct w:val="true"/>
        <w:autoSpaceDE w:val="false"/>
        <w:bidi w:val="0"/>
        <w:spacing w:lineRule="atLeast" w:line="300"/>
        <w:ind w:firstLineChars="200" w:startChars="0" w:start="0" w:endChars="0" w:end="0"/>
        <w:rPr>
          <w:rFonts w:ascii="仿宋" w:hAnsi="仿宋" w:eastAsia="仿宋" w:cs="仿宋"/>
          <w:color w:val="0070C0"/>
          <w:szCs w:val="32"/>
        </w:rPr>
      </w:pPr>
      <w:r>
        <w:rPr>
          <w:rFonts w:ascii="黑体" w:hAnsi="黑体" w:cs="黑体" w:hint="eastAsia" w:eastAsia="黑体"/>
          <w:szCs w:val="32"/>
        </w:rPr>
        <w:t xml:space="preserve">第四十一条  </w:t>
      </w:r>
      <w:r>
        <w:rPr>
          <w:rFonts w:ascii="仿宋_GB2312" w:hAnsi="仿宋_GB2312" w:cs="仿宋" w:hint="eastAsia"/>
          <w:szCs w:val="32"/>
        </w:rPr>
        <w:t>违反本条例规定，构成</w:t>
      </w:r>
      <w:r>
        <w:rPr>
          <w:rFonts w:ascii="仿宋_GB2312" w:hAnsi="仿宋_GB2312" w:cs="仿宋" w:hint="eastAsia"/>
          <w:kern w:val="0"/>
          <w:szCs w:val="32"/>
        </w:rPr>
        <w:t>违反治安管理行为的，依照《中华人民共和国治安管理处罚法》，由公安机关予以治安处罚；构成犯罪的，依法追究刑事责任。</w:t>
      </w:r>
    </w:p>
    <w:p>
      <w:pPr>
        <w:pStyle w:val="Normal"/>
        <w:keepNext w:val="false"/>
        <w:keepLines w:val="false"/>
        <w:pageBreakBefore w:val="false"/>
        <w:widowControl w:val="false"/>
        <w:kinsoku w:val="true"/>
        <w:overflowPunct w:val="true"/>
        <w:autoSpaceDE w:val="false"/>
        <w:bidi w:val="0"/>
        <w:spacing w:lineRule="atLeast" w:line="300"/>
        <w:ind w:firstLineChars="200" w:startChars="0" w:start="0" w:endChars="0" w:end="0"/>
        <w:rPr>
          <w:rFonts w:ascii="仿宋_GB2312" w:hAnsi="仿宋_GB2312" w:cs="仿宋" w:hint="eastAsia"/>
          <w:szCs w:val="32"/>
        </w:rPr>
      </w:pPr>
      <w:r>
        <w:rPr>
          <w:rFonts w:ascii="黑体" w:hAnsi="黑体" w:cs="黑体" w:hint="eastAsia" w:eastAsia="黑体"/>
          <w:szCs w:val="32"/>
        </w:rPr>
        <w:t xml:space="preserve">第四十二条 </w:t>
      </w:r>
      <w:r>
        <w:rPr>
          <w:rFonts w:ascii="仿宋" w:hAnsi="仿宋" w:cs="仿宋" w:hint="eastAsia" w:eastAsia="仿宋"/>
          <w:szCs w:val="32"/>
        </w:rPr>
        <w:t xml:space="preserve"> </w:t>
      </w:r>
      <w:r>
        <w:rPr>
          <w:rFonts w:ascii="仿宋_GB2312" w:hAnsi="仿宋_GB2312" w:cs="仿宋"/>
          <w:kern w:val="0"/>
          <w:szCs w:val="32"/>
        </w:rPr>
        <w:t>市和区人民政府相关部</w:t>
      </w:r>
      <w:r>
        <w:rPr>
          <w:rFonts w:ascii="仿宋_GB2312" w:hAnsi="仿宋_GB2312" w:cs="仿宋"/>
          <w:szCs w:val="32"/>
        </w:rPr>
        <w:t>门的工作人员</w:t>
      </w:r>
      <w:r>
        <w:rPr>
          <w:rFonts w:ascii="仿宋_GB2312" w:hAnsi="仿宋_GB2312" w:cs="仿宋" w:hint="eastAsia"/>
          <w:szCs w:val="32"/>
        </w:rPr>
        <w:t>在地方金融监督管理工作中</w:t>
      </w:r>
      <w:r>
        <w:rPr>
          <w:rFonts w:ascii="仿宋_GB2312" w:hAnsi="仿宋_GB2312" w:cs="仿宋"/>
          <w:szCs w:val="32"/>
        </w:rPr>
        <w:t>贪污受贿、徇私舞弊、滥用职权、玩忽职守</w:t>
      </w:r>
      <w:r>
        <w:rPr>
          <w:rFonts w:ascii="仿宋_GB2312" w:hAnsi="仿宋_GB2312" w:cs="仿宋" w:hint="eastAsia"/>
          <w:szCs w:val="32"/>
        </w:rPr>
        <w:t>的</w:t>
      </w:r>
      <w:r>
        <w:rPr>
          <w:rFonts w:ascii="仿宋_GB2312" w:hAnsi="仿宋_GB2312" w:cs="仿宋"/>
          <w:szCs w:val="32"/>
        </w:rPr>
        <w:t>，依法给予处分</w:t>
      </w:r>
      <w:r>
        <w:rPr>
          <w:rFonts w:ascii="仿宋_GB2312" w:hAnsi="仿宋_GB2312" w:cs="仿宋" w:hint="eastAsia"/>
          <w:szCs w:val="32"/>
        </w:rPr>
        <w:t>；</w:t>
      </w:r>
      <w:r>
        <w:rPr>
          <w:rFonts w:ascii="仿宋_GB2312" w:hAnsi="仿宋_GB2312" w:cs="仿宋"/>
          <w:szCs w:val="32"/>
        </w:rPr>
        <w:t>构成犯罪的，依法追究刑事责任。</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szCs w:val="32"/>
        </w:rPr>
      </w:pPr>
      <w:r>
        <w:rPr>
          <w:rFonts w:ascii="黑体" w:hAnsi="黑体" w:cs="黑体" w:hint="eastAsia" w:eastAsia="黑体"/>
          <w:szCs w:val="32"/>
        </w:rPr>
        <w:t xml:space="preserve">第四十三条  </w:t>
      </w:r>
      <w:r>
        <w:rPr>
          <w:rFonts w:ascii="仿宋_GB2312" w:hAnsi="仿宋_GB2312" w:cs="仿宋" w:hint="eastAsia"/>
          <w:szCs w:val="32"/>
        </w:rPr>
        <w:t>违反本条例规定的行为</w:t>
      </w:r>
      <w:r>
        <w:rPr>
          <w:rFonts w:cs="仿宋" w:hint="eastAsia" w:ascii="仿宋_GB2312" w:hAnsi="仿宋_GB2312"/>
          <w:szCs w:val="32"/>
        </w:rPr>
        <w:t>,</w:t>
      </w:r>
      <w:r>
        <w:rPr>
          <w:rFonts w:ascii="仿宋_GB2312" w:hAnsi="仿宋_GB2312" w:cs="仿宋" w:hint="eastAsia"/>
          <w:szCs w:val="32"/>
        </w:rPr>
        <w:t>法律、行政法规已规定法律责任的</w:t>
      </w:r>
      <w:r>
        <w:rPr>
          <w:rFonts w:cs="仿宋" w:hint="eastAsia" w:ascii="仿宋_GB2312" w:hAnsi="仿宋_GB2312"/>
          <w:szCs w:val="32"/>
        </w:rPr>
        <w:t>,</w:t>
      </w:r>
      <w:r>
        <w:rPr>
          <w:rFonts w:ascii="仿宋_GB2312" w:hAnsi="仿宋_GB2312" w:cs="仿宋" w:hint="eastAsia"/>
          <w:szCs w:val="32"/>
        </w:rPr>
        <w:t>从其规定。</w:t>
      </w:r>
    </w:p>
    <w:p>
      <w:pPr>
        <w:pStyle w:val="Normal"/>
        <w:keepNext w:val="false"/>
        <w:keepLines w:val="false"/>
        <w:pageBreakBefore w:val="false"/>
        <w:widowControl w:val="false"/>
        <w:kinsoku w:val="true"/>
        <w:overflowPunct w:val="true"/>
        <w:bidi w:val="0"/>
        <w:spacing w:lineRule="atLeast" w:line="300"/>
        <w:ind w:firstLineChars="200" w:startChars="0" w:start="0" w:endChars="0" w:end="0"/>
        <w:rPr>
          <w:rFonts w:ascii="仿宋_GB2312" w:hAnsi="仿宋_GB2312" w:cs="仿宋" w:hint="eastAsia"/>
          <w:kern w:val="0"/>
          <w:szCs w:val="32"/>
        </w:rPr>
      </w:pPr>
      <w:r>
        <w:rPr>
          <w:rFonts w:cs="仿宋" w:hint="eastAsia" w:ascii="仿宋_GB2312" w:hAnsi="仿宋_GB2312"/>
          <w:kern w:val="0"/>
          <w:szCs w:val="32"/>
        </w:rPr>
      </w:r>
    </w:p>
    <w:p>
      <w:pPr>
        <w:pStyle w:val="Normal"/>
        <w:keepNext w:val="false"/>
        <w:keepLines w:val="false"/>
        <w:pageBreakBefore w:val="false"/>
        <w:widowControl w:val="false"/>
        <w:numPr>
          <w:ilvl w:val="0"/>
          <w:numId w:val="0"/>
        </w:numPr>
        <w:kinsoku w:val="true"/>
        <w:overflowPunct w:val="true"/>
        <w:bidi w:val="0"/>
        <w:spacing w:lineRule="atLeast" w:line="300"/>
        <w:jc w:val="center"/>
        <w:outlineLvl w:val="0"/>
        <w:rPr>
          <w:rFonts w:ascii="黑体" w:hAnsi="黑体" w:eastAsia="黑体" w:cs="黑体" w:hint="eastAsia"/>
          <w:bCs/>
          <w:szCs w:val="32"/>
        </w:rPr>
      </w:pPr>
      <w:r>
        <w:rPr>
          <w:rFonts w:ascii="黑体" w:hAnsi="黑体" w:cs="黑体" w:eastAsia="黑体"/>
          <w:bCs/>
          <w:szCs w:val="32"/>
        </w:rPr>
        <w:t>第</w:t>
      </w:r>
      <w:r>
        <w:rPr>
          <w:rFonts w:ascii="黑体" w:hAnsi="黑体" w:cs="黑体" w:hint="eastAsia" w:eastAsia="黑体"/>
          <w:bCs/>
          <w:szCs w:val="32"/>
        </w:rPr>
        <w:t>六</w:t>
      </w:r>
      <w:r>
        <w:rPr>
          <w:rFonts w:ascii="黑体" w:hAnsi="黑体" w:cs="黑体" w:eastAsia="黑体"/>
          <w:bCs/>
          <w:szCs w:val="32"/>
        </w:rPr>
        <w:t>章  附</w:t>
      </w:r>
      <w:r>
        <w:rPr>
          <w:rFonts w:ascii="黑体" w:hAnsi="黑体" w:cs="黑体" w:hint="eastAsia" w:eastAsia="黑体"/>
          <w:bCs/>
          <w:szCs w:val="32"/>
        </w:rPr>
        <w:t xml:space="preserve"> </w:t>
      </w:r>
      <w:r>
        <w:rPr>
          <w:rFonts w:ascii="黑体" w:hAnsi="黑体" w:cs="黑体" w:eastAsia="黑体"/>
          <w:bCs/>
          <w:szCs w:val="32"/>
        </w:rPr>
        <w:t xml:space="preserve"> 则</w:t>
      </w:r>
    </w:p>
    <w:p>
      <w:pPr>
        <w:pStyle w:val="Normal"/>
        <w:keepNext w:val="false"/>
        <w:keepLines w:val="false"/>
        <w:pageBreakBefore w:val="false"/>
        <w:widowControl w:val="false"/>
        <w:kinsoku w:val="true"/>
        <w:overflowPunct w:val="true"/>
        <w:bidi w:val="0"/>
        <w:spacing w:lineRule="atLeast" w:line="300"/>
        <w:ind w:firstLineChars="196" w:startChars="0" w:start="0" w:endChars="0" w:end="0"/>
        <w:jc w:val="start"/>
        <w:rPr/>
      </w:pPr>
      <w:r>
        <w:rPr>
          <w:rFonts w:ascii="黑体" w:hAnsi="黑体" w:cs="黑体" w:hint="eastAsia" w:eastAsia="黑体"/>
          <w:szCs w:val="32"/>
        </w:rPr>
        <w:t xml:space="preserve">第四十四条  </w:t>
      </w:r>
      <w:r>
        <w:rPr>
          <w:rFonts w:ascii="仿宋_GB2312" w:hAnsi="仿宋_GB2312" w:cs="仿宋" w:hint="eastAsia"/>
          <w:kern w:val="0"/>
          <w:szCs w:val="32"/>
        </w:rPr>
        <w:t>本条例自</w:t>
      </w:r>
      <w:r>
        <w:rPr>
          <w:rFonts w:cs="仿宋" w:hint="eastAsia" w:ascii="仿宋_GB2312" w:hAnsi="仿宋_GB2312"/>
          <w:kern w:val="0"/>
          <w:szCs w:val="32"/>
        </w:rPr>
        <w:t>2019</w:t>
      </w:r>
      <w:r>
        <w:rPr>
          <w:rFonts w:ascii="仿宋_GB2312" w:hAnsi="仿宋_GB2312" w:cs="仿宋" w:hint="eastAsia"/>
          <w:kern w:val="0"/>
          <w:szCs w:val="32"/>
        </w:rPr>
        <w:t>年</w:t>
      </w:r>
      <w:r>
        <w:rPr>
          <w:rFonts w:cs="仿宋" w:hint="eastAsia" w:ascii="仿宋_GB2312" w:hAnsi="仿宋_GB2312"/>
          <w:kern w:val="0"/>
          <w:szCs w:val="32"/>
        </w:rPr>
        <w:t>7</w:t>
      </w:r>
      <w:r>
        <w:rPr>
          <w:rFonts w:ascii="仿宋_GB2312" w:hAnsi="仿宋_GB2312" w:cs="仿宋" w:hint="eastAsia"/>
          <w:kern w:val="0"/>
          <w:szCs w:val="32"/>
        </w:rPr>
        <w:t>月</w:t>
      </w:r>
      <w:r>
        <w:rPr>
          <w:rFonts w:cs="仿宋" w:hint="eastAsia" w:ascii="仿宋_GB2312" w:hAnsi="仿宋_GB2312"/>
          <w:kern w:val="0"/>
          <w:szCs w:val="32"/>
        </w:rPr>
        <w:t>1</w:t>
      </w:r>
      <w:r>
        <w:rPr>
          <w:rFonts w:ascii="仿宋_GB2312" w:hAnsi="仿宋_GB2312" w:cs="仿宋" w:hint="eastAsia"/>
          <w:kern w:val="0"/>
          <w:szCs w:val="32"/>
        </w:rPr>
        <w:t>日起施行</w:t>
      </w:r>
      <w:r>
        <w:rPr>
          <w:rFonts w:ascii="仿宋_GB2312" w:hAnsi="仿宋_GB2312" w:cs="仿宋" w:hint="eastAsia"/>
          <w:szCs w:val="32"/>
        </w:rPr>
        <w:t>。</w:t>
      </w:r>
    </w:p>
    <w:sectPr>
      <w:footerReference w:type="default" r:id="rId4"/>
      <w:type w:val="nextPage"/>
      <w:pgSz w:w="11906" w:h="16838"/>
      <w:pgMar w:left="1531" w:right="1531" w:gutter="0" w:header="0" w:top="2098" w:footer="1134"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charset w:val="86"/>
    <w:family w:val="auto"/>
    <w:pitch w:val="default"/>
  </w:font>
  <w:font w:name="仿宋">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FollowedHyperlink">
    <w:name w:val="FollowedHyperlink"/>
    <w:rPr>
      <w:color w:val="800080"/>
      <w:u w:val="none"/>
    </w:rPr>
  </w:style>
  <w:style w:type="character" w:styleId="Emphasis">
    <w:name w:val="Emphasis"/>
    <w:qFormat/>
    <w:rPr>
      <w:i/>
    </w:rPr>
  </w:style>
  <w:style w:type="character" w:styleId="Hyperlink">
    <w:name w:val="Hyperlink"/>
    <w:rPr>
      <w:color w:val="0000FF"/>
      <w:u w:val="none"/>
    </w:rPr>
  </w:style>
  <w:style w:type="character" w:styleId="PageNumber">
    <w:name w:val="page number"/>
    <w:basedOn w:val="Style14"/>
    <w:rPr/>
  </w:style>
  <w:style w:type="character" w:styleId="Char">
    <w:name w:val="正文文本 Char"/>
    <w:qFormat/>
    <w:rPr>
      <w:rFonts w:eastAsia="仿宋_GB2312"/>
      <w:kern w:val="2"/>
      <w:sz w:val="32"/>
      <w:szCs w:val="24"/>
    </w:rPr>
  </w:style>
  <w:style w:type="character" w:styleId="current">
    <w:name w:val="current"/>
    <w:qFormat/>
    <w:rPr>
      <w:b/>
      <w:color w:val="FFFFFF"/>
      <w:bdr w:val="single" w:sz="6" w:space="0" w:color="000099"/>
      <w:shd w:fill="000099" w:val="clear"/>
    </w:rPr>
  </w:style>
  <w:style w:type="character" w:styleId="Char1">
    <w:name w:val="文档结构图 Char"/>
    <w:qFormat/>
    <w:rPr>
      <w:rFonts w:ascii="宋体" w:hAnsi="宋体"/>
      <w:kern w:val="2"/>
      <w:sz w:val="18"/>
      <w:szCs w:val="18"/>
    </w:rPr>
  </w:style>
  <w:style w:type="character" w:styleId="disabled">
    <w:name w:val="disabled"/>
    <w:qFormat/>
    <w:rPr>
      <w:color w:val="DDDDDD"/>
      <w:bdr w:val="single" w:sz="6" w:space="0" w:color="EEEEEE"/>
    </w:rPr>
  </w:style>
  <w:style w:type="character" w:styleId="Char2">
    <w:name w:val="页脚 Char"/>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rPr>
      <w:rFonts w:eastAsia="宋体"/>
      <w:sz w:val="24"/>
    </w:rPr>
  </w:style>
  <w:style w:type="paragraph" w:styleId="Style16">
    <w:name w:val="文档结构图"/>
    <w:basedOn w:val="Normal"/>
    <w:qFormat/>
    <w:pPr/>
    <w:rPr>
      <w:rFonts w:ascii="宋体" w:hAnsi="宋体" w:eastAsia="宋体"/>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框文本"/>
    <w:basedOn w:val="Normal"/>
    <w:qFormat/>
    <w:pPr/>
    <w:rPr>
      <w:sz w:val="18"/>
      <w:szCs w:val="18"/>
    </w:rPr>
  </w:style>
  <w:style w:type="paragraph" w:styleId="BodyTextIndent">
    <w:name w:val="Body Text Indent"/>
    <w:basedOn w:val="Normal"/>
    <w:pPr>
      <w:ind w:firstLineChars="200" w:startChars="0" w:start="0" w:endChars="0" w:end="0"/>
    </w:pPr>
    <w:rPr>
      <w:rFonts w:ascii="仿宋_GB2312" w:hAnsi="仿宋_GB2312"/>
    </w:rPr>
  </w:style>
  <w:style w:type="paragraph" w:styleId="Style18">
    <w:name w:val="日期"/>
    <w:basedOn w:val="Normal"/>
    <w:next w:val="Normal"/>
    <w:qFormat/>
    <w:pPr>
      <w:ind w:firstLineChars="0" w:firstLine="0" w:startChars="25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37329;&#34701;&#26381;&#21153;" TargetMode="External"/><Relationship Id="rId3" Type="http://schemas.openxmlformats.org/officeDocument/2006/relationships/hyperlink" Target="https://baike.baidu.com/item/&#37329;&#34701;&#30417;&#31649;/1021201"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2019-04-08T10:54:00Z</dcterms:created>
  <dc:creator>微软用户</dc:creator>
  <dc:description/>
  <dc:language>en-US</dc:language>
  <cp:lastModifiedBy>tjrd</cp:lastModifiedBy>
  <cp:lastPrinted>2019-05-01T11:43:00Z</cp:lastPrinted>
  <dcterms:modified xsi:type="dcterms:W3CDTF">2019-06-22T17:24:56Z</dcterms:modified>
  <cp:revision>702</cp:revision>
  <dc:subject/>
  <dc:title>在“以史为鉴、感悟人生”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