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auto" w:line="240"/>
        <w:jc w:val="center"/>
        <w:textAlignment w:val="auto"/>
        <w:rPr>
          <w:rFonts w:ascii="方正小标宋简体" w:hAnsi="方正小标宋简体" w:eastAsia="方正小标宋简体" w:hint="eastAsia"/>
          <w:sz w:val="32"/>
          <w:szCs w:val="32"/>
        </w:rPr>
      </w:pPr>
      <w:r>
        <w:rPr>
          <w:rFonts w:eastAsia="方正小标宋简体" w:hint="eastAsia" w:ascii="方正小标宋简体" w:hAnsi="方正小标宋简体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auto" w:line="240"/>
        <w:jc w:val="center"/>
        <w:textAlignment w:val="auto"/>
        <w:rPr>
          <w:rFonts w:ascii="方正小标宋简体" w:hAnsi="方正小标宋简体" w:eastAsia="方正小标宋简体" w:hint="eastAsia"/>
          <w:sz w:val="32"/>
          <w:szCs w:val="32"/>
        </w:rPr>
      </w:pPr>
      <w:r>
        <w:rPr>
          <w:rFonts w:eastAsia="方正小标宋简体" w:hint="eastAsia" w:ascii="方正小标宋简体" w:hAnsi="方正小标宋简体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auto" w:line="240"/>
        <w:jc w:val="center"/>
        <w:textAlignment w:val="auto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天津市人民代表大会常务委员会关于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auto" w:line="240"/>
        <w:jc w:val="center"/>
        <w:textAlignment w:val="auto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禁止燃放烟花爆竹的决定</w:t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7638" w:leader="none"/>
        </w:tabs>
        <w:kinsoku w:val="true"/>
        <w:overflowPunct w:val="true"/>
        <w:autoSpaceDE w:val="true"/>
        <w:bidi w:val="0"/>
        <w:snapToGrid w:val="false"/>
        <w:spacing w:lineRule="auto" w:line="240"/>
        <w:ind w:hangingChars="224" w:startChars="0" w:start="0" w:endChars="196"/>
        <w:jc w:val="center"/>
        <w:textAlignment w:val="auto"/>
        <w:rPr>
          <w:rFonts w:ascii="楷体_GB2312" w:hAnsi="楷体_GB2312" w:eastAsia="楷体_GB2312" w:cs="宋体" w:hint="eastAsia"/>
          <w:sz w:val="44"/>
          <w:szCs w:val="44"/>
        </w:rPr>
      </w:pPr>
      <w:r>
        <w:rPr>
          <w:rFonts w:eastAsia="楷体_GB2312" w:cs="宋体" w:hint="eastAsia" w:ascii="楷体_GB2312" w:hAnsi="楷体_GB2312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7638" w:leader="none"/>
        </w:tabs>
        <w:kinsoku w:val="true"/>
        <w:overflowPunct w:val="true"/>
        <w:autoSpaceDE w:val="true"/>
        <w:bidi w:val="0"/>
        <w:snapToGrid w:val="false"/>
        <w:spacing w:lineRule="exact" w:line="560"/>
        <w:ind w:hangingChars="224" w:startChars="0" w:start="0" w:endChars="196"/>
        <w:jc w:val="center"/>
        <w:textAlignment w:val="auto"/>
        <w:rPr>
          <w:rFonts w:ascii="楷体_GB2312" w:hAnsi="楷体_GB2312" w:eastAsia="楷体_GB2312"/>
        </w:rPr>
      </w:pPr>
      <w:r>
        <w:rPr>
          <w:rFonts w:ascii="楷体_GB2312" w:hAnsi="楷体_GB2312" w:hint="eastAsia" w:eastAsia="楷体_GB2312"/>
        </w:rPr>
        <w:t>（</w:t>
      </w:r>
      <w:r>
        <w:rPr>
          <w:rFonts w:eastAsia="楷体_GB2312" w:hint="eastAsia" w:ascii="楷体_GB2312" w:hAnsi="楷体_GB2312"/>
        </w:rPr>
        <w:t>2017</w:t>
      </w:r>
      <w:r>
        <w:rPr>
          <w:rFonts w:ascii="楷体_GB2312" w:hAnsi="楷体_GB2312" w:hint="eastAsia" w:eastAsia="楷体_GB2312"/>
        </w:rPr>
        <w:t>年</w:t>
      </w:r>
      <w:r>
        <w:rPr>
          <w:rFonts w:eastAsia="楷体_GB2312" w:hint="eastAsia" w:ascii="楷体_GB2312" w:hAnsi="楷体_GB2312"/>
        </w:rPr>
        <w:t>11</w:t>
      </w:r>
      <w:r>
        <w:rPr>
          <w:rFonts w:ascii="楷体_GB2312" w:hAnsi="楷体_GB2312" w:hint="eastAsia" w:eastAsia="楷体_GB2312"/>
        </w:rPr>
        <w:t>月</w:t>
      </w:r>
      <w:r>
        <w:rPr>
          <w:rFonts w:eastAsia="楷体_GB2312" w:hint="eastAsia" w:ascii="楷体_GB2312" w:hAnsi="楷体_GB2312"/>
        </w:rPr>
        <w:t>28</w:t>
      </w:r>
      <w:r>
        <w:rPr>
          <w:rFonts w:ascii="楷体_GB2312" w:hAnsi="楷体_GB2312" w:hint="eastAsia" w:eastAsia="楷体_GB2312"/>
        </w:rPr>
        <w:t>日天津市第十六届人民代表大会常</w:t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7638" w:leader="none"/>
        </w:tabs>
        <w:kinsoku w:val="true"/>
        <w:overflowPunct w:val="true"/>
        <w:autoSpaceDE w:val="true"/>
        <w:bidi w:val="0"/>
        <w:snapToGrid w:val="false"/>
        <w:spacing w:lineRule="exact" w:line="560"/>
        <w:ind w:hangingChars="124" w:startChars="97" w:endChars="196"/>
        <w:jc w:val="both"/>
        <w:textAlignment w:val="auto"/>
        <w:rPr>
          <w:rFonts w:ascii="楷体_GB2312" w:hAnsi="楷体_GB2312" w:eastAsia="楷体_GB2312" w:hint="eastAsia"/>
        </w:rPr>
      </w:pPr>
      <w:r>
        <w:rPr>
          <w:rFonts w:ascii="楷体_GB2312" w:hAnsi="楷体_GB2312" w:hint="eastAsia" w:eastAsia="楷体_GB2312"/>
        </w:rPr>
        <w:t>务委员会第三十九次会议通过）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tabs>
          <w:tab w:val="clear" w:pos="420"/>
          <w:tab w:val="left" w:pos="6225" w:leader="none"/>
          <w:tab w:val="left" w:pos="6700" w:leader="none"/>
        </w:tabs>
        <w:kinsoku w:val="true"/>
        <w:overflowPunct w:val="true"/>
        <w:autoSpaceDE w:val="true"/>
        <w:bidi w:val="0"/>
        <w:snapToGrid w:val="true"/>
        <w:spacing w:lineRule="atLeast" w:line="300"/>
        <w:ind w:firstLineChars="0" w:firstLine="0" w:startChars="0" w:start="0" w:endChars="0" w:end="0"/>
        <w:jc w:val="center"/>
        <w:textAlignment w:val="auto"/>
        <w:outlineLvl w:val="0"/>
        <w:rPr>
          <w:rFonts w:ascii="黑体" w:hAnsi="黑体" w:eastAsia="黑体" w:cs="黑体" w:hint="eastAsia"/>
        </w:rPr>
      </w:pPr>
      <w:r>
        <w:rPr>
          <w:rFonts w:eastAsia="黑体" w:cs="黑体" w:hint="eastAsia" w:ascii="黑体" w:hAnsi="黑体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textAlignment w:val="auto"/>
        <w:rPr>
          <w:rFonts w:ascii="黑体" w:hAnsi="黑体" w:eastAsia="黑体" w:cs="黑体"/>
          <w:szCs w:val="32"/>
        </w:rPr>
      </w:pPr>
      <w:r>
        <w:rPr>
          <w:rFonts w:cs="Calibri" w:hint="eastAsia"/>
          <w:kern w:val="0"/>
          <w:szCs w:val="32"/>
        </w:rPr>
        <w:t>为了加强烟花爆竹燃放管理，减少燃放烟花爆竹对大气环境造成的危害，保障公共安全和人身、财产的安全，依据《中华人民共和国大气污染防治法》《烟花爆竹安全管理条例》等法律、行政法规，结合本市实际情况，作如下决定</w:t>
      </w:r>
      <w:r>
        <w:rPr>
          <w:rFonts w:cs="Calibri"/>
          <w:kern w:val="0"/>
          <w:szCs w:val="32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0" w:firstLine="0" w:startChars="0" w:start="0" w:endChars="0" w:end="0"/>
        <w:textAlignment w:val="auto"/>
        <w:rPr>
          <w:rFonts w:cs="Calibri" w:hint="eastAsia"/>
          <w:kern w:val="0"/>
          <w:szCs w:val="32"/>
        </w:rPr>
      </w:pPr>
      <w:r>
        <w:rPr>
          <w:rFonts w:cs="Calibri" w:hint="eastAsia"/>
          <w:kern w:val="0"/>
          <w:szCs w:val="32"/>
        </w:rPr>
        <w:t>　　一、本市外环线以内（含外环线）地区禁止燃放烟花爆竹。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0" w:firstLine="0" w:startChars="0" w:start="0" w:endChars="0" w:end="0"/>
        <w:textAlignment w:val="auto"/>
        <w:rPr>
          <w:rFonts w:cs="黑体" w:hint="eastAsia"/>
          <w:kern w:val="0"/>
          <w:szCs w:val="32"/>
        </w:rPr>
      </w:pPr>
      <w:r>
        <w:rPr>
          <w:rFonts w:cs="黑体" w:hint="eastAsia"/>
          <w:kern w:val="0"/>
          <w:szCs w:val="32"/>
        </w:rPr>
        <w:t>外环线以外的下列区域或者地点禁止燃放烟花爆竹：　　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0" w:firstLine="0" w:startChars="0" w:start="0" w:endChars="0" w:end="0"/>
        <w:textAlignment w:val="auto"/>
        <w:rPr>
          <w:rFonts w:cs="黑体" w:hint="eastAsia"/>
          <w:kern w:val="0"/>
          <w:szCs w:val="32"/>
        </w:rPr>
      </w:pPr>
      <w:r>
        <w:rPr>
          <w:rFonts w:cs="黑体" w:hint="eastAsia"/>
          <w:kern w:val="0"/>
          <w:szCs w:val="32"/>
        </w:rPr>
        <w:t>（一）文物保护单位；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0" w:firstLine="0" w:startChars="0" w:start="0" w:endChars="0" w:end="0"/>
        <w:textAlignment w:val="auto"/>
        <w:rPr>
          <w:rFonts w:cs="黑体" w:hint="eastAsia"/>
          <w:kern w:val="0"/>
          <w:szCs w:val="32"/>
        </w:rPr>
      </w:pPr>
      <w:r>
        <w:rPr>
          <w:rFonts w:cs="黑体" w:hint="eastAsia"/>
          <w:kern w:val="0"/>
          <w:szCs w:val="32"/>
        </w:rPr>
        <w:t>（二）车站、</w:t>
      </w:r>
      <w:r>
        <w:rPr>
          <w:rFonts w:cs="黑体" w:hint="eastAsia"/>
          <w:color w:val="000000"/>
          <w:kern w:val="0"/>
          <w:szCs w:val="32"/>
        </w:rPr>
        <w:t>码头、</w:t>
      </w:r>
      <w:r>
        <w:rPr>
          <w:rFonts w:cs="黑体" w:hint="eastAsia"/>
          <w:kern w:val="0"/>
          <w:szCs w:val="32"/>
        </w:rPr>
        <w:t>机场等交通枢纽以及铁路线路安全保护区内；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0" w:firstLine="0" w:startChars="0" w:start="0" w:endChars="0" w:end="0"/>
        <w:textAlignment w:val="auto"/>
        <w:rPr>
          <w:rFonts w:cs="黑体" w:hint="eastAsia"/>
          <w:kern w:val="0"/>
          <w:szCs w:val="32"/>
        </w:rPr>
      </w:pPr>
      <w:r>
        <w:rPr>
          <w:rFonts w:cs="黑体" w:hint="eastAsia"/>
          <w:kern w:val="0"/>
          <w:szCs w:val="32"/>
        </w:rPr>
        <w:t>（三）桥梁、隧道、电力设施、燃气设施、加油加气站、易燃易爆危险物品生产、储存单位及其周围</w:t>
      </w:r>
      <w:r>
        <w:rPr>
          <w:rFonts w:cs="黑体" w:hint="eastAsia"/>
          <w:kern w:val="0"/>
          <w:szCs w:val="32"/>
        </w:rPr>
        <w:t>100</w:t>
      </w:r>
      <w:r>
        <w:rPr>
          <w:rFonts w:cs="黑体" w:hint="eastAsia"/>
          <w:kern w:val="0"/>
          <w:szCs w:val="32"/>
        </w:rPr>
        <w:t>米的范围内；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0" w:firstLine="0" w:startChars="0" w:start="0" w:endChars="0" w:end="0"/>
        <w:textAlignment w:val="auto"/>
        <w:rPr>
          <w:rFonts w:cs="黑体" w:hint="eastAsia"/>
          <w:kern w:val="0"/>
          <w:szCs w:val="32"/>
        </w:rPr>
      </w:pPr>
      <w:r>
        <w:rPr>
          <w:rFonts w:cs="黑体" w:hint="eastAsia"/>
          <w:kern w:val="0"/>
          <w:szCs w:val="32"/>
        </w:rPr>
        <w:t>（四）医疗机构、幼儿园、学校、养老机构、旅馆、商场、市场、文化娱乐体育场馆等人员密集场所；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0" w:firstLine="0" w:startChars="0" w:start="0" w:endChars="0" w:end="0"/>
        <w:textAlignment w:val="auto"/>
        <w:rPr>
          <w:rFonts w:cs="黑体" w:hint="eastAsia"/>
          <w:kern w:val="0"/>
          <w:szCs w:val="32"/>
        </w:rPr>
      </w:pPr>
      <w:r>
        <w:rPr>
          <w:rFonts w:cs="黑体" w:hint="eastAsia"/>
          <w:kern w:val="0"/>
          <w:szCs w:val="32"/>
        </w:rPr>
        <w:t>（五）绿化草坪、苗圃和山林等重点防火区；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0" w:firstLine="0" w:startChars="0" w:start="0" w:endChars="0" w:end="0"/>
        <w:textAlignment w:val="auto"/>
        <w:rPr>
          <w:rFonts w:cs="黑体" w:hint="eastAsia"/>
          <w:kern w:val="0"/>
          <w:szCs w:val="32"/>
        </w:rPr>
      </w:pPr>
      <w:r>
        <w:rPr>
          <w:rFonts w:cs="黑体" w:hint="eastAsia"/>
          <w:kern w:val="0"/>
          <w:szCs w:val="32"/>
        </w:rPr>
        <w:t>（六）港区、自然保护区、产业园区。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textAlignment w:val="auto"/>
        <w:rPr>
          <w:rFonts w:cs="黑体" w:hint="eastAsia"/>
          <w:kern w:val="0"/>
          <w:szCs w:val="32"/>
          <w:bdr w:val="single" w:sz="4" w:space="0" w:color="000000"/>
        </w:rPr>
      </w:pPr>
      <w:r>
        <w:rPr>
          <w:rFonts w:cs="黑体" w:hint="eastAsia"/>
          <w:kern w:val="0"/>
          <w:szCs w:val="32"/>
        </w:rPr>
        <w:t>区人民政府在前两款规定之外，决定其他禁止燃放烟花爆竹的区域及时间。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0" w:firstLine="0" w:startChars="0" w:start="0" w:endChars="0" w:end="0"/>
        <w:textAlignment w:val="auto"/>
        <w:rPr>
          <w:rFonts w:cs="Calibri" w:hint="eastAsia"/>
          <w:kern w:val="0"/>
          <w:szCs w:val="32"/>
        </w:rPr>
      </w:pPr>
      <w:r>
        <w:rPr>
          <w:rFonts w:cs="Calibri" w:hint="eastAsia"/>
          <w:kern w:val="0"/>
          <w:szCs w:val="32"/>
        </w:rPr>
        <w:t xml:space="preserve">　 </w:t>
      </w:r>
      <w:r>
        <w:rPr>
          <w:rFonts w:cs="Calibri"/>
          <w:kern w:val="0"/>
          <w:szCs w:val="32"/>
        </w:rPr>
        <w:t xml:space="preserve"> </w:t>
      </w:r>
      <w:r>
        <w:rPr>
          <w:rFonts w:cs="黑体" w:hint="eastAsia"/>
          <w:kern w:val="0"/>
          <w:szCs w:val="32"/>
        </w:rPr>
        <w:t>二</w:t>
      </w:r>
      <w:r>
        <w:rPr>
          <w:rFonts w:cs="Calibri" w:hint="eastAsia"/>
          <w:kern w:val="0"/>
          <w:szCs w:val="32"/>
        </w:rPr>
        <w:t>、重污染天气</w:t>
      </w:r>
      <w:r>
        <w:rPr>
          <w:rFonts w:cs="黑体" w:hint="eastAsia"/>
          <w:kern w:val="0"/>
          <w:szCs w:val="32"/>
        </w:rPr>
        <w:t>应急响应</w:t>
      </w:r>
      <w:r>
        <w:rPr>
          <w:rFonts w:cs="Calibri" w:hint="eastAsia"/>
          <w:kern w:val="0"/>
          <w:szCs w:val="32"/>
        </w:rPr>
        <w:t>期间，本市行政区域内一律禁止燃放烟花爆竹。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textAlignment w:val="auto"/>
        <w:rPr>
          <w:rFonts w:cs="黑体" w:hint="eastAsia"/>
          <w:kern w:val="0"/>
          <w:szCs w:val="32"/>
        </w:rPr>
      </w:pPr>
      <w:r>
        <w:rPr>
          <w:rFonts w:cs="黑体" w:hint="eastAsia"/>
          <w:kern w:val="0"/>
          <w:szCs w:val="32"/>
        </w:rPr>
        <w:t>三</w:t>
      </w:r>
      <w:r>
        <w:rPr>
          <w:rFonts w:cs="Calibri" w:hint="eastAsia"/>
          <w:kern w:val="0"/>
          <w:szCs w:val="32"/>
        </w:rPr>
        <w:t>、本市行政区域内禁止生产烟花爆竹。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textAlignment w:val="auto"/>
        <w:rPr>
          <w:rFonts w:cs="Calibri" w:hint="eastAsia"/>
          <w:kern w:val="0"/>
          <w:szCs w:val="32"/>
          <w:bdr w:val="single" w:sz="4" w:space="0" w:color="000000"/>
        </w:rPr>
      </w:pPr>
      <w:r>
        <w:rPr>
          <w:rFonts w:cs="黑体" w:hint="eastAsia"/>
          <w:kern w:val="0"/>
          <w:szCs w:val="32"/>
        </w:rPr>
        <w:t>在</w:t>
      </w:r>
      <w:r>
        <w:rPr>
          <w:rFonts w:cs="Calibri" w:hint="eastAsia"/>
          <w:kern w:val="0"/>
          <w:szCs w:val="32"/>
        </w:rPr>
        <w:t>禁止燃放烟花爆竹的区域内，</w:t>
      </w:r>
      <w:r>
        <w:rPr>
          <w:rFonts w:cs="黑体" w:hint="eastAsia"/>
          <w:kern w:val="0"/>
          <w:szCs w:val="32"/>
        </w:rPr>
        <w:t>禁止销售</w:t>
      </w:r>
      <w:r>
        <w:rPr>
          <w:rFonts w:cs="Calibri" w:hint="eastAsia"/>
          <w:kern w:val="0"/>
          <w:szCs w:val="32"/>
        </w:rPr>
        <w:t>烟花爆竹。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textAlignment w:val="auto"/>
        <w:rPr>
          <w:rFonts w:cs="Calibri" w:hint="eastAsia"/>
          <w:kern w:val="0"/>
          <w:szCs w:val="32"/>
        </w:rPr>
      </w:pPr>
      <w:r>
        <w:rPr>
          <w:rFonts w:cs="黑体" w:hint="eastAsia"/>
          <w:kern w:val="0"/>
          <w:szCs w:val="32"/>
        </w:rPr>
        <w:t>四</w:t>
      </w:r>
      <w:r>
        <w:rPr>
          <w:rFonts w:cs="Calibri" w:hint="eastAsia"/>
          <w:kern w:val="0"/>
          <w:szCs w:val="32"/>
        </w:rPr>
        <w:t>、</w:t>
      </w:r>
      <w:r>
        <w:rPr>
          <w:rFonts w:cs="黑体" w:hint="eastAsia"/>
          <w:kern w:val="0"/>
          <w:szCs w:val="32"/>
        </w:rPr>
        <w:t>重大节庆活动需要组织</w:t>
      </w:r>
      <w:r>
        <w:rPr>
          <w:rFonts w:cs="Calibri" w:hint="eastAsia"/>
          <w:kern w:val="0"/>
          <w:szCs w:val="32"/>
        </w:rPr>
        <w:t>焰火晚会的，按照国家有关规定办理。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textAlignment w:val="auto"/>
        <w:rPr>
          <w:rFonts w:cs="Calibri" w:hint="eastAsia"/>
          <w:kern w:val="0"/>
          <w:szCs w:val="32"/>
        </w:rPr>
      </w:pPr>
      <w:r>
        <w:rPr>
          <w:rFonts w:cs="黑体" w:hint="eastAsia"/>
          <w:kern w:val="0"/>
          <w:szCs w:val="32"/>
        </w:rPr>
        <w:t>五</w:t>
      </w:r>
      <w:r>
        <w:rPr>
          <w:rFonts w:cs="Calibri" w:hint="eastAsia"/>
          <w:kern w:val="0"/>
          <w:szCs w:val="32"/>
        </w:rPr>
        <w:t>、本决定由各级人民政府组织实施。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textAlignment w:val="auto"/>
        <w:rPr>
          <w:rFonts w:cs="Calibri" w:hint="eastAsia"/>
          <w:kern w:val="0"/>
          <w:szCs w:val="32"/>
        </w:rPr>
      </w:pPr>
      <w:r>
        <w:rPr>
          <w:rFonts w:cs="Calibri" w:hint="eastAsia"/>
          <w:kern w:val="0"/>
          <w:szCs w:val="32"/>
        </w:rPr>
        <w:t>公安部门</w:t>
      </w:r>
      <w:r>
        <w:rPr>
          <w:rFonts w:cs="黑体" w:hint="eastAsia"/>
          <w:kern w:val="0"/>
          <w:szCs w:val="32"/>
        </w:rPr>
        <w:t>主管本市</w:t>
      </w:r>
      <w:r>
        <w:rPr>
          <w:rFonts w:cs="Calibri" w:hint="eastAsia"/>
          <w:kern w:val="0"/>
          <w:szCs w:val="32"/>
        </w:rPr>
        <w:t>禁止燃放烟花爆竹工作，负责本决定的实施。安全生产监督管理、环境保护、市场监管、</w:t>
      </w:r>
      <w:r>
        <w:rPr>
          <w:rFonts w:cs="黑体" w:hint="eastAsia"/>
          <w:kern w:val="0"/>
          <w:szCs w:val="32"/>
        </w:rPr>
        <w:t>民政、</w:t>
      </w:r>
      <w:r>
        <w:rPr>
          <w:rFonts w:cs="Calibri" w:hint="eastAsia"/>
          <w:kern w:val="0"/>
          <w:szCs w:val="32"/>
        </w:rPr>
        <w:t>教育、城市管理综合执法等部门按照各自职责，做好禁止燃放烟花爆竹的相关工作。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0" w:firstLine="0" w:startChars="0" w:start="0" w:endChars="0" w:end="0"/>
        <w:textAlignment w:val="auto"/>
        <w:rPr>
          <w:rFonts w:cs="Calibri" w:hint="eastAsia"/>
          <w:kern w:val="0"/>
          <w:szCs w:val="32"/>
        </w:rPr>
      </w:pPr>
      <w:r>
        <w:rPr>
          <w:rFonts w:cs="Calibri" w:hint="eastAsia"/>
          <w:kern w:val="0"/>
          <w:szCs w:val="32"/>
        </w:rPr>
        <w:t xml:space="preserve">　  </w:t>
      </w:r>
      <w:r>
        <w:rPr>
          <w:rFonts w:cs="黑体" w:hint="eastAsia"/>
          <w:kern w:val="0"/>
          <w:szCs w:val="32"/>
        </w:rPr>
        <w:t>六</w:t>
      </w:r>
      <w:r>
        <w:rPr>
          <w:rFonts w:cs="Calibri" w:hint="eastAsia"/>
          <w:kern w:val="0"/>
          <w:szCs w:val="32"/>
        </w:rPr>
        <w:t>、各级人民政府、街道办事处、居民委员会、村民委员会，应当采取多种形式，组织开展禁止燃放烟花爆竹的宣传、教育工作。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textAlignment w:val="auto"/>
        <w:rPr>
          <w:rFonts w:cs="Calibri" w:hint="eastAsia"/>
          <w:kern w:val="0"/>
          <w:szCs w:val="32"/>
        </w:rPr>
      </w:pPr>
      <w:r>
        <w:rPr>
          <w:rFonts w:cs="Calibri" w:hint="eastAsia"/>
          <w:kern w:val="0"/>
          <w:szCs w:val="32"/>
        </w:rPr>
        <w:t>机关、团体、企业事业单位和其他组织应当做好本单位禁止燃放烟花爆竹的宣传、教育工作。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200" w:startChars="0" w:start="0" w:endChars="0" w:end="0"/>
        <w:textAlignment w:val="auto"/>
        <w:rPr>
          <w:rFonts w:cs="Calibri" w:hint="eastAsia"/>
          <w:kern w:val="0"/>
          <w:szCs w:val="32"/>
        </w:rPr>
      </w:pPr>
      <w:r>
        <w:rPr>
          <w:rFonts w:cs="Calibri" w:hint="eastAsia"/>
          <w:kern w:val="0"/>
          <w:szCs w:val="32"/>
        </w:rPr>
        <w:t>报刊、广播、电视、互联网等新闻媒体应当加强对禁止燃放烟花爆竹的宣传和舆论监督。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0" w:firstLine="0" w:startChars="0" w:start="0" w:endChars="0" w:end="0"/>
        <w:textAlignment w:val="auto"/>
        <w:rPr>
          <w:rFonts w:cs="Calibri" w:hint="eastAsia"/>
          <w:kern w:val="0"/>
          <w:szCs w:val="32"/>
        </w:rPr>
      </w:pPr>
      <w:r>
        <w:rPr>
          <w:rFonts w:cs="Calibri" w:hint="eastAsia"/>
          <w:kern w:val="0"/>
          <w:szCs w:val="32"/>
        </w:rPr>
        <w:t>七、</w:t>
      </w:r>
      <w:r>
        <w:rPr>
          <w:rFonts w:cs="黑体" w:hint="eastAsia"/>
          <w:kern w:val="0"/>
          <w:szCs w:val="32"/>
        </w:rPr>
        <w:t>国家</w:t>
      </w:r>
      <w:r>
        <w:rPr>
          <w:rFonts w:cs="Calibri" w:hint="eastAsia"/>
          <w:kern w:val="0"/>
          <w:szCs w:val="32"/>
        </w:rPr>
        <w:t>工作人员应当</w:t>
      </w:r>
      <w:r>
        <w:rPr>
          <w:rFonts w:cs="黑体" w:hint="eastAsia"/>
          <w:kern w:val="0"/>
          <w:szCs w:val="32"/>
        </w:rPr>
        <w:t>带头执行</w:t>
      </w:r>
      <w:r>
        <w:rPr>
          <w:rFonts w:cs="Calibri" w:hint="eastAsia"/>
          <w:kern w:val="0"/>
          <w:szCs w:val="32"/>
        </w:rPr>
        <w:t>禁止燃放烟花爆竹的规定。</w:t>
      </w:r>
      <w:r>
        <w:rPr>
          <w:rFonts w:cs="黑体" w:hint="eastAsia"/>
          <w:kern w:val="0"/>
          <w:szCs w:val="32"/>
        </w:rPr>
        <w:t>违反规定燃放烟花爆竹的，</w:t>
      </w:r>
      <w:r>
        <w:rPr>
          <w:rFonts w:cs="Calibri" w:hint="eastAsia"/>
          <w:kern w:val="0"/>
          <w:szCs w:val="32"/>
        </w:rPr>
        <w:t>由</w:t>
      </w:r>
      <w:r>
        <w:rPr>
          <w:rFonts w:cs="黑体" w:hint="eastAsia"/>
          <w:kern w:val="0"/>
          <w:szCs w:val="32"/>
        </w:rPr>
        <w:t>其所在单位给予批评教育，直至给予</w:t>
      </w:r>
      <w:r>
        <w:rPr>
          <w:rFonts w:cs="Calibri" w:hint="eastAsia"/>
          <w:kern w:val="0"/>
          <w:szCs w:val="32"/>
        </w:rPr>
        <w:t>处分。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0" w:firstLine="0" w:startChars="0" w:start="0" w:endChars="0" w:end="0"/>
        <w:textAlignment w:val="auto"/>
        <w:rPr>
          <w:rFonts w:cs="Calibri" w:hint="eastAsia"/>
          <w:kern w:val="0"/>
          <w:szCs w:val="32"/>
          <w:bdr w:val="single" w:sz="4" w:space="0" w:color="000000"/>
        </w:rPr>
      </w:pPr>
      <w:r>
        <w:rPr>
          <w:rFonts w:cs="Calibri" w:hint="eastAsia"/>
          <w:kern w:val="0"/>
          <w:szCs w:val="32"/>
        </w:rPr>
        <w:t>　　八、违反本决定，</w:t>
      </w:r>
      <w:r>
        <w:rPr>
          <w:rFonts w:cs="黑体" w:hint="eastAsia"/>
          <w:kern w:val="0"/>
          <w:szCs w:val="32"/>
        </w:rPr>
        <w:t>在禁止燃放的区域和时间内燃放烟花爆竹的</w:t>
      </w:r>
      <w:r>
        <w:rPr>
          <w:rFonts w:cs="Calibri" w:hint="eastAsia"/>
          <w:kern w:val="0"/>
          <w:szCs w:val="32"/>
        </w:rPr>
        <w:t>，由公安部门责令停止燃放，处</w:t>
      </w:r>
      <w:r>
        <w:rPr>
          <w:rFonts w:cs="黑体" w:hint="eastAsia"/>
          <w:kern w:val="0"/>
          <w:szCs w:val="32"/>
        </w:rPr>
        <w:t>一百</w:t>
      </w:r>
      <w:r>
        <w:rPr>
          <w:rFonts w:cs="Calibri" w:hint="eastAsia"/>
          <w:kern w:val="0"/>
          <w:szCs w:val="32"/>
        </w:rPr>
        <w:t>元以上</w:t>
      </w:r>
      <w:r>
        <w:rPr>
          <w:rFonts w:cs="黑体" w:hint="eastAsia"/>
          <w:kern w:val="0"/>
          <w:szCs w:val="32"/>
        </w:rPr>
        <w:t>五百</w:t>
      </w:r>
      <w:r>
        <w:rPr>
          <w:rFonts w:cs="Calibri" w:hint="eastAsia"/>
          <w:kern w:val="0"/>
          <w:szCs w:val="32"/>
        </w:rPr>
        <w:t>元以下的罚款。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0" w:firstLine="0" w:startChars="0" w:start="0" w:endChars="0" w:end="0"/>
        <w:textAlignment w:val="auto"/>
        <w:rPr>
          <w:rFonts w:cs="Calibri" w:hint="eastAsia"/>
          <w:kern w:val="0"/>
          <w:szCs w:val="32"/>
          <w:bdr w:val="single" w:sz="4" w:space="0" w:color="000000"/>
        </w:rPr>
      </w:pPr>
      <w:r>
        <w:rPr>
          <w:rFonts w:cs="Calibri" w:hint="eastAsia"/>
          <w:kern w:val="0"/>
          <w:szCs w:val="32"/>
        </w:rPr>
        <w:t>九、</w:t>
      </w:r>
      <w:r>
        <w:rPr>
          <w:rFonts w:cs="黑体" w:hint="eastAsia"/>
          <w:kern w:val="0"/>
          <w:szCs w:val="32"/>
        </w:rPr>
        <w:t>对</w:t>
      </w:r>
      <w:r>
        <w:rPr>
          <w:rFonts w:cs="Calibri" w:hint="eastAsia"/>
          <w:kern w:val="0"/>
          <w:szCs w:val="32"/>
        </w:rPr>
        <w:t>违</w:t>
      </w:r>
      <w:r>
        <w:rPr>
          <w:rFonts w:cs="黑体" w:hint="eastAsia"/>
          <w:kern w:val="0"/>
          <w:szCs w:val="32"/>
        </w:rPr>
        <w:t>法生产</w:t>
      </w:r>
      <w:r>
        <w:rPr>
          <w:rFonts w:cs="Calibri" w:hint="eastAsia"/>
          <w:kern w:val="0"/>
          <w:szCs w:val="32"/>
        </w:rPr>
        <w:t>、</w:t>
      </w:r>
      <w:r>
        <w:rPr>
          <w:rFonts w:cs="黑体" w:hint="eastAsia"/>
          <w:kern w:val="0"/>
          <w:szCs w:val="32"/>
        </w:rPr>
        <w:t>销售</w:t>
      </w:r>
      <w:r>
        <w:rPr>
          <w:rFonts w:cs="Calibri" w:hint="eastAsia"/>
          <w:kern w:val="0"/>
          <w:szCs w:val="32"/>
        </w:rPr>
        <w:t>烟花爆竹的，</w:t>
      </w:r>
      <w:r>
        <w:rPr>
          <w:rFonts w:cs="黑体" w:hint="eastAsia"/>
          <w:kern w:val="0"/>
          <w:szCs w:val="32"/>
        </w:rPr>
        <w:t>按照国家有关规定予以处罚。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0" w:firstLine="0" w:startChars="0" w:start="0" w:endChars="0" w:end="0"/>
        <w:textAlignment w:val="auto"/>
        <w:rPr>
          <w:rFonts w:cs="Calibri" w:hint="eastAsia"/>
          <w:kern w:val="0"/>
          <w:szCs w:val="32"/>
        </w:rPr>
      </w:pPr>
      <w:r>
        <w:rPr>
          <w:rFonts w:cs="Calibri" w:hint="eastAsia"/>
          <w:kern w:val="0"/>
          <w:szCs w:val="32"/>
        </w:rPr>
        <w:t>十、任何单位和个人有权对违反本决定燃放烟花爆竹的行为予以劝阻、制止、举报。对劝阻人、制止人、举报人打击报复或者威胁其人身安全的，由公安部门依法处理。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0" w:firstLine="0" w:startChars="0" w:start="0" w:endChars="0" w:end="0"/>
        <w:textAlignment w:val="auto"/>
        <w:rPr>
          <w:rFonts w:cs="Calibri" w:hint="eastAsia"/>
          <w:kern w:val="0"/>
          <w:szCs w:val="32"/>
        </w:rPr>
      </w:pPr>
      <w:r>
        <w:rPr>
          <w:rFonts w:cs="Calibri" w:hint="eastAsia"/>
          <w:kern w:val="0"/>
          <w:szCs w:val="32"/>
        </w:rPr>
        <w:t>十一、违反本决定，构成违反治安管理行为的，由公安部门依法给予治安管理处罚；构成犯罪的，依法追究刑事责任。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0" w:firstLine="0" w:startChars="0" w:start="0" w:endChars="0" w:end="0"/>
        <w:textAlignment w:val="auto"/>
        <w:rPr>
          <w:rFonts w:cs="Calibri" w:hint="eastAsia"/>
          <w:kern w:val="0"/>
          <w:szCs w:val="32"/>
        </w:rPr>
      </w:pPr>
      <w:r>
        <w:rPr>
          <w:rFonts w:cs="Calibri" w:hint="eastAsia"/>
          <w:kern w:val="0"/>
          <w:szCs w:val="32"/>
        </w:rPr>
        <w:t>十二、</w:t>
      </w:r>
      <w:r>
        <w:rPr>
          <w:rFonts w:cs="黑体" w:hint="eastAsia"/>
          <w:kern w:val="0"/>
          <w:szCs w:val="32"/>
        </w:rPr>
        <w:t>对不履行本决定确定职责的部门及其</w:t>
      </w:r>
      <w:r>
        <w:rPr>
          <w:rFonts w:cs="Calibri" w:hint="eastAsia"/>
          <w:kern w:val="0"/>
          <w:szCs w:val="32"/>
        </w:rPr>
        <w:t>工作人员，由其上级主管部门或者其所在单位</w:t>
      </w:r>
      <w:r>
        <w:rPr>
          <w:rFonts w:cs="黑体" w:hint="eastAsia"/>
          <w:kern w:val="0"/>
          <w:szCs w:val="32"/>
        </w:rPr>
        <w:t>依照有关规定予以追责</w:t>
      </w:r>
      <w:r>
        <w:rPr>
          <w:rFonts w:cs="Calibri" w:hint="eastAsia"/>
          <w:kern w:val="0"/>
          <w:szCs w:val="32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tLeast" w:line="300"/>
        <w:ind w:firstLineChars="0" w:firstLine="0" w:startChars="0" w:start="0" w:endChars="0" w:end="0"/>
        <w:textAlignment w:val="auto"/>
        <w:rPr>
          <w:rFonts w:cs="黑体" w:hint="eastAsia"/>
          <w:kern w:val="0"/>
          <w:szCs w:val="32"/>
        </w:rPr>
      </w:pPr>
      <w:r>
        <w:rPr>
          <w:rFonts w:cs="Calibri" w:hint="eastAsia"/>
          <w:kern w:val="0"/>
          <w:szCs w:val="32"/>
        </w:rPr>
        <w:t>　　十三、本决定自</w:t>
      </w:r>
      <w:r>
        <w:rPr>
          <w:rFonts w:cs="Calibri" w:hint="eastAsia"/>
          <w:kern w:val="0"/>
          <w:szCs w:val="32"/>
        </w:rPr>
        <w:t>2018</w:t>
      </w:r>
      <w:r>
        <w:rPr>
          <w:rFonts w:cs="Calibri" w:hint="eastAsia"/>
          <w:kern w:val="0"/>
          <w:szCs w:val="32"/>
        </w:rPr>
        <w:t>年</w:t>
      </w:r>
      <w:r>
        <w:rPr>
          <w:rFonts w:cs="Calibri" w:hint="eastAsia"/>
          <w:kern w:val="0"/>
          <w:szCs w:val="32"/>
        </w:rPr>
        <w:t>1</w:t>
      </w:r>
      <w:r>
        <w:rPr>
          <w:rFonts w:cs="Calibri" w:hint="eastAsia"/>
          <w:kern w:val="0"/>
          <w:szCs w:val="32"/>
        </w:rPr>
        <w:t>月</w:t>
      </w:r>
      <w:r>
        <w:rPr>
          <w:rFonts w:cs="Calibri" w:hint="eastAsia"/>
          <w:kern w:val="0"/>
          <w:szCs w:val="32"/>
        </w:rPr>
        <w:t>1</w:t>
      </w:r>
      <w:r>
        <w:rPr>
          <w:rFonts w:cs="Calibri" w:hint="eastAsia"/>
          <w:kern w:val="0"/>
          <w:szCs w:val="32"/>
        </w:rPr>
        <w:t>日起施行。</w:t>
      </w:r>
      <w:r>
        <w:rPr>
          <w:rFonts w:cs="黑体" w:hint="eastAsia"/>
          <w:kern w:val="0"/>
          <w:szCs w:val="32"/>
        </w:rPr>
        <w:t>本市的有关规定与本决定不一致的，依照本决定执行。</w:t>
      </w:r>
    </w:p>
    <w:p>
      <w:pPr>
        <w:pStyle w:val="Normal"/>
        <w:snapToGrid w:val="false"/>
        <w:jc w:val="center"/>
        <w:rPr>
          <w:rFonts w:cs="黑体" w:hint="eastAsia"/>
          <w:kern w:val="0"/>
          <w:szCs w:val="32"/>
        </w:rPr>
      </w:pPr>
      <w:r>
        <w:rPr>
          <w:rFonts w:cs="黑体" w:hint="eastAsia"/>
          <w:kern w:val="0"/>
          <w:szCs w:val="32"/>
        </w:rPr>
      </w:r>
    </w:p>
    <w:p>
      <w:pPr>
        <w:pStyle w:val="Normal"/>
        <w:spacing w:lineRule="exact" w:line="560"/>
        <w:ind w:firstLineChars="150" w:startChars="0" w:start="0" w:endChars="0" w:end="0"/>
        <w:rPr>
          <w:rFonts w:ascii="Times New Roman" w:hAnsi="Times New Roman" w:hint="eastAsia"/>
          <w:kern w:val="0"/>
          <w:szCs w:val="32"/>
          <w:bdr w:val="single" w:sz="4" w:space="0" w:color="000000"/>
        </w:rPr>
      </w:pPr>
      <w:r>
        <w:rPr>
          <w:rFonts w:hint="eastAsia"/>
          <w:kern w:val="0"/>
          <w:szCs w:val="32"/>
          <w:bdr w:val="single" w:sz="4" w:space="0" w:color="000000"/>
        </w:rPr>
      </w:r>
    </w:p>
    <w:p>
      <w:pPr>
        <w:pStyle w:val="Normal"/>
        <w:spacing w:lineRule="exact" w:line="560"/>
        <w:ind w:firstLineChars="150" w:startChars="0" w:start="0" w:endChars="0" w:end="0"/>
        <w:rPr>
          <w:rFonts w:ascii="Times New Roman" w:hAnsi="Times New Roman" w:hint="eastAsia"/>
          <w:kern w:val="0"/>
          <w:szCs w:val="32"/>
          <w:bdr w:val="single" w:sz="4" w:space="0" w:color="000000"/>
        </w:rPr>
      </w:pPr>
      <w:r>
        <w:rPr>
          <w:rFonts w:hint="eastAsia"/>
          <w:kern w:val="0"/>
          <w:szCs w:val="32"/>
          <w:bdr w:val="single" w:sz="4" w:space="0" w:color="000000"/>
        </w:rPr>
      </w:r>
    </w:p>
    <w:p>
      <w:pPr>
        <w:pStyle w:val="Normal"/>
        <w:spacing w:before="0" w:after="0"/>
        <w:contextualSpacing/>
        <w:rPr>
          <w:rFonts w:hint="eastAsia"/>
          <w:kern w:val="0"/>
          <w:szCs w:val="32"/>
        </w:rPr>
      </w:pPr>
      <w:r>
        <w:rPr>
          <w:rFonts w:hint="eastAsia"/>
          <w:kern w:val="0"/>
          <w:szCs w:val="32"/>
        </w:rPr>
      </w:r>
    </w:p>
    <w:p>
      <w:pPr>
        <w:pStyle w:val="Normal"/>
        <w:rPr>
          <w:rFonts w:hint="eastAsia"/>
          <w:szCs w:val="32"/>
        </w:rPr>
      </w:pPr>
      <w:r>
        <w:rPr>
          <w:rFonts w:hint="eastAsia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atLeast" w:line="300"/>
        <w:ind w:firstLineChars="0" w:firstLine="0" w:startChars="0" w:start="0" w:endChars="0" w:end="0"/>
        <w:textAlignment w:val="auto"/>
        <w:rPr>
          <w:rFonts w:ascii="黑体" w:hAnsi="黑体" w:eastAsia="黑体" w:cs="宋体" w:hint="eastAsia"/>
          <w:szCs w:val="32"/>
        </w:rPr>
      </w:pPr>
      <w:r>
        <w:rPr>
          <w:rFonts w:eastAsia="黑体" w:cs="宋体" w:hint="eastAsia" w:ascii="黑体" w:hAnsi="黑体"/>
          <w:szCs w:val="32"/>
        </w:rPr>
      </w:r>
    </w:p>
    <w:sectPr>
      <w:footerReference w:type="default" r:id="rId2"/>
      <w:type w:val="nextPage"/>
      <w:pgSz w:w="11906" w:h="16838"/>
      <w:pgMar w:left="1800" w:right="1466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charset w:val="86"/>
    <w:family w:val="auto"/>
    <w:pitch w:val="default"/>
  </w:font>
  <w:font w:name="ˎ̥">
    <w:altName w:val="Arial Unicode MS"/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Calibri">
    <w:charset w:val="00" w:characterSet="windows-1252"/>
    <w:family w:val="swiss"/>
    <w:pitch w:val="default"/>
  </w:font>
  <w:font w:name="方正小标宋简体">
    <w:charset w:val="86"/>
    <w:family w:val="script"/>
    <w:pitch w:val="default"/>
  </w:font>
  <w:font w:name="楷体_GB2312">
    <w:charset w:val="86"/>
    <w:family w:val="modern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4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10.35pt;mso-wrap-distance-left:0pt;mso-wrap-distance-right:0pt;mso-wrap-distance-top:0pt;mso-wrap-distance-bottom:0pt;margin-top:0.05pt;mso-position-vertical-relative:text;margin-left:213.7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仿宋_GB2312" w:cs="Times New Roman"/>
      <w:color w:val="auto"/>
      <w:kern w:val="2"/>
      <w:sz w:val="32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Char2">
    <w:name w:val=" Char Char2"/>
    <w:qFormat/>
    <w:rPr>
      <w:rFonts w:ascii="宋体" w:hAnsi="宋体" w:cs="Courier New"/>
      <w:kern w:val="2"/>
      <w:sz w:val="21"/>
      <w:szCs w:val="21"/>
    </w:rPr>
  </w:style>
  <w:style w:type="character" w:styleId="Hyperlink">
    <w:name w:val="Hyperlink"/>
    <w:rPr>
      <w:rFonts w:ascii="ˎ̥;Arial Unicode MS" w:hAnsi="ˎ̥;Arial Unicode MS" w:cs="ˎ̥;Arial Unicode MS"/>
      <w:strike w:val="false"/>
      <w:dstrike w:val="false"/>
      <w:color w:val="0404B3"/>
      <w:sz w:val="18"/>
      <w:szCs w:val="18"/>
      <w:u w:val="none"/>
    </w:rPr>
  </w:style>
  <w:style w:type="character" w:styleId="PageNumber">
    <w:name w:val="page number"/>
    <w:basedOn w:val="Style14"/>
    <w:rPr/>
  </w:style>
  <w:style w:type="character" w:styleId="CharChar">
    <w:name w:val=" Char Char"/>
    <w:qFormat/>
    <w:rPr>
      <w:rFonts w:eastAsia="仿宋_GB2312"/>
      <w:kern w:val="2"/>
      <w:sz w:val="18"/>
      <w:szCs w:val="18"/>
    </w:rPr>
  </w:style>
  <w:style w:type="character" w:styleId="CharChar1">
    <w:name w:val=" Char Char1"/>
    <w:qFormat/>
    <w:rPr>
      <w:rFonts w:eastAsia="仿宋_GB2312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/>
    <w:rPr>
      <w:rFonts w:eastAsia="文星仿宋;宋体"/>
      <w:szCs w:val="32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7">
    <w:name w:val="纯文本"/>
    <w:basedOn w:val="Normal"/>
    <w:qFormat/>
    <w:pPr/>
    <w:rPr>
      <w:rFonts w:ascii="宋体" w:hAnsi="宋体" w:eastAsia="宋体" w:cs="Courier New"/>
      <w:sz w:val="21"/>
      <w:szCs w:val="21"/>
    </w:rPr>
  </w:style>
  <w:style w:type="paragraph" w:styleId="Style18">
    <w:name w:val="列出段落"/>
    <w:basedOn w:val="Normal"/>
    <w:qFormat/>
    <w:pPr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2017-01-11T10:38:00Z</dcterms:created>
  <dc:creator>lenovo</dc:creator>
  <dc:description/>
  <dc:language>en-US</dc:language>
  <cp:lastModifiedBy>tjrd</cp:lastModifiedBy>
  <cp:lastPrinted>2017-01-11T11:31:00Z</cp:lastPrinted>
  <dcterms:modified xsi:type="dcterms:W3CDTF">2017-12-05T11:00:25Z</dcterms:modified>
  <cp:revision>4</cp:revision>
  <dc:subject/>
  <dc:title>备案报告电子报备标准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