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rPr>
          <w:rFonts w:hint="eastAsia"/>
          <w:b/>
          <w:bCs/>
        </w:rPr>
      </w:pPr>
      <w:r>
        <w:rPr>
          <w:rFonts w:hint="eastAsia"/>
          <w:b/>
          <w:bCs/>
        </w:rPr>
      </w:r>
    </w:p>
    <w:p>
      <w:pPr>
        <w:pStyle w:val="Normal"/>
        <w:spacing w:lineRule="auto" w:line="240"/>
        <w:rPr>
          <w:rFonts w:hint="eastAsia"/>
          <w:b/>
          <w:bCs/>
        </w:rPr>
      </w:pPr>
      <w:r>
        <w:rPr>
          <w:rFonts w:hint="eastAsia"/>
          <w:b/>
          <w:bCs/>
        </w:rPr>
      </w:r>
    </w:p>
    <w:p>
      <w:pPr>
        <w:pStyle w:val="Normal"/>
        <w:spacing w:lineRule="auto" w:line="240"/>
        <w:jc w:val="center"/>
        <w:rPr>
          <w:rFonts w:ascii="方正小标宋简体" w:hAnsi="方正小标宋简体" w:eastAsia="方正小标宋简体" w:cs="方正小标宋简体"/>
          <w:sz w:val="44"/>
          <w:szCs w:val="44"/>
        </w:rPr>
      </w:pPr>
      <w:r>
        <w:rPr>
          <w:rFonts w:ascii="宋体" w:hAnsi="宋体" w:cs="宋体" w:hint="eastAsia" w:eastAsia="宋体"/>
          <w:sz w:val="44"/>
          <w:szCs w:val="44"/>
        </w:rPr>
        <w:t>天津市特种设备安全条例</w:t>
      </w:r>
    </w:p>
    <w:p>
      <w:pPr>
        <w:pStyle w:val="Normal"/>
        <w:widowControl/>
        <w:spacing w:lineRule="auto" w:line="240"/>
        <w:ind w:firstLineChars="200" w:startChars="0" w:start="0" w:endChars="0" w:end="0"/>
        <w:jc w:val="start"/>
        <w:rPr>
          <w:rFonts w:ascii="仿宋_GB2312" w:hAnsi="仿宋_GB2312" w:eastAsia="宋体" w:cs="宋体" w:hint="eastAsia"/>
          <w:color w:val="000000"/>
          <w:kern w:val="0"/>
          <w:sz w:val="44"/>
          <w:szCs w:val="44"/>
        </w:rPr>
      </w:pPr>
      <w:r>
        <w:rPr>
          <w:rFonts w:eastAsia="宋体" w:cs="宋体" w:hint="eastAsia" w:ascii="仿宋_GB2312" w:hAnsi="仿宋_GB2312"/>
          <w:color w:val="000000"/>
          <w:kern w:val="0"/>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center"/>
        <w:textAlignment w:val="auto"/>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日天津市第十七届人民</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center"/>
        <w:textAlignment w:val="auto"/>
        <w:rPr>
          <w:rFonts w:ascii="方正小标宋简体" w:hAnsi="方正小标宋简体" w:eastAsia="方正小标宋简体" w:cs="Adobe 仿宋 Std R;仿宋" w:hint="eastAsia"/>
          <w:sz w:val="32"/>
          <w:szCs w:val="32"/>
        </w:rPr>
      </w:pPr>
      <w:r>
        <w:rPr>
          <w:rFonts w:ascii="楷体_GB2312" w:hAnsi="楷体_GB2312" w:hint="eastAsia" w:eastAsia="楷体_GB2312"/>
          <w:sz w:val="32"/>
          <w:szCs w:val="32"/>
        </w:rPr>
        <w:t>代表大会常务委员会第五次会议通过）</w:t>
      </w:r>
    </w:p>
    <w:p>
      <w:pPr>
        <w:pStyle w:val="Normal"/>
        <w:spacing w:lineRule="exact" w:line="48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Style16"/>
        <w:jc w:val="center"/>
        <w:rPr>
          <w:rFonts w:ascii="楷体_GB2312" w:hAnsi="楷体_GB2312" w:eastAsia="楷体_GB2312" w:cs="Adobe 仿宋 Std R;仿宋"/>
          <w:sz w:val="32"/>
          <w:szCs w:val="32"/>
        </w:rPr>
      </w:pPr>
      <w:r>
        <w:rPr>
          <w:rFonts w:ascii="楷体_GB2312" w:hAnsi="楷体_GB2312" w:cs="楷体_GB2312" w:hint="eastAsia" w:eastAsia="楷体_GB2312"/>
          <w:sz w:val="32"/>
          <w:szCs w:val="32"/>
        </w:rPr>
        <w:t>目</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录</w:t>
      </w:r>
    </w:p>
    <w:p>
      <w:pPr>
        <w:pStyle w:val="Style16"/>
        <w:ind w:firstLineChars="224" w:startChars="0" w:start="0" w:endChars="0" w:end="0"/>
        <w:rPr>
          <w:rFonts w:ascii="楷体_GB2312" w:hAnsi="楷体_GB2312" w:eastAsia="楷体_GB2312" w:cs="Adobe 仿宋 Std R;仿宋"/>
          <w:sz w:val="32"/>
          <w:szCs w:val="32"/>
        </w:rPr>
      </w:pPr>
      <w:r>
        <w:rPr>
          <w:rFonts w:ascii="楷体_GB2312" w:hAnsi="楷体_GB2312" w:cs="楷体_GB2312" w:hint="eastAsia" w:eastAsia="楷体_GB2312"/>
          <w:sz w:val="32"/>
          <w:szCs w:val="32"/>
        </w:rPr>
        <w:t>第一章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总则</w:t>
      </w:r>
    </w:p>
    <w:p>
      <w:pPr>
        <w:pStyle w:val="Style16"/>
        <w:ind w:firstLineChars="224" w:startChars="0" w:start="0" w:endChars="0" w:end="0"/>
        <w:rPr>
          <w:rFonts w:ascii="楷体_GB2312" w:hAnsi="楷体_GB2312" w:eastAsia="楷体_GB2312" w:cs="Adobe 仿宋 Std R;仿宋"/>
          <w:sz w:val="32"/>
          <w:szCs w:val="32"/>
        </w:rPr>
      </w:pPr>
      <w:r>
        <w:rPr>
          <w:rFonts w:ascii="楷体_GB2312" w:hAnsi="楷体_GB2312" w:cs="楷体_GB2312" w:hint="eastAsia" w:eastAsia="楷体_GB2312"/>
          <w:sz w:val="32"/>
          <w:szCs w:val="32"/>
        </w:rPr>
        <w:t>第二章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生产、经营、使用</w:t>
      </w:r>
    </w:p>
    <w:p>
      <w:pPr>
        <w:pStyle w:val="Style16"/>
        <w:ind w:firstLineChars="448" w:startChars="0" w:start="0" w:endChars="0" w:end="0"/>
        <w:rPr>
          <w:rFonts w:ascii="楷体_GB2312" w:hAnsi="楷体_GB2312" w:eastAsia="楷体_GB2312" w:cs="Adobe 仿宋 Std R;仿宋"/>
          <w:sz w:val="32"/>
          <w:szCs w:val="32"/>
        </w:rPr>
      </w:pPr>
      <w:r>
        <w:rPr>
          <w:rFonts w:ascii="楷体_GB2312" w:hAnsi="楷体_GB2312" w:cs="楷体_GB2312" w:hint="eastAsia" w:eastAsia="楷体_GB2312"/>
          <w:sz w:val="32"/>
          <w:szCs w:val="32"/>
        </w:rPr>
        <w:t>第一节</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一般规定</w:t>
      </w:r>
    </w:p>
    <w:p>
      <w:pPr>
        <w:pStyle w:val="Style16"/>
        <w:ind w:firstLineChars="448" w:startChars="0" w:start="0" w:endChars="0" w:end="0"/>
        <w:rPr>
          <w:rFonts w:ascii="楷体_GB2312" w:hAnsi="楷体_GB2312" w:eastAsia="楷体_GB2312" w:cs="Adobe 仿宋 Std R;仿宋"/>
          <w:sz w:val="32"/>
          <w:szCs w:val="32"/>
        </w:rPr>
      </w:pPr>
      <w:r>
        <w:rPr>
          <w:rFonts w:ascii="楷体_GB2312" w:hAnsi="楷体_GB2312" w:cs="楷体_GB2312" w:hint="eastAsia" w:eastAsia="楷体_GB2312"/>
          <w:sz w:val="32"/>
          <w:szCs w:val="32"/>
        </w:rPr>
        <w:t>第二节</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生产、经营</w:t>
      </w:r>
    </w:p>
    <w:p>
      <w:pPr>
        <w:pStyle w:val="Style16"/>
        <w:ind w:firstLineChars="448" w:startChars="0" w:start="0" w:endChars="0" w:end="0"/>
        <w:rPr>
          <w:rFonts w:ascii="楷体_GB2312" w:hAnsi="楷体_GB2312" w:eastAsia="楷体_GB2312" w:cs="Adobe 仿宋 Std R;仿宋"/>
          <w:sz w:val="32"/>
          <w:szCs w:val="32"/>
        </w:rPr>
      </w:pPr>
      <w:r>
        <w:rPr>
          <w:rFonts w:ascii="楷体_GB2312" w:hAnsi="楷体_GB2312" w:cs="楷体_GB2312" w:hint="eastAsia" w:eastAsia="楷体_GB2312"/>
          <w:sz w:val="32"/>
          <w:szCs w:val="32"/>
        </w:rPr>
        <w:t>第三节</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使用</w:t>
      </w:r>
    </w:p>
    <w:p>
      <w:pPr>
        <w:pStyle w:val="Style16"/>
        <w:ind w:firstLineChars="224" w:startChars="0" w:start="0" w:endChars="0" w:end="0"/>
        <w:rPr>
          <w:rFonts w:ascii="楷体_GB2312" w:hAnsi="楷体_GB2312" w:eastAsia="楷体_GB2312" w:cs="Adobe 仿宋 Std R;仿宋"/>
          <w:sz w:val="32"/>
          <w:szCs w:val="32"/>
        </w:rPr>
      </w:pPr>
      <w:r>
        <w:rPr>
          <w:rFonts w:ascii="楷体_GB2312" w:hAnsi="楷体_GB2312" w:cs="楷体_GB2312" w:hint="eastAsia" w:eastAsia="楷体_GB2312"/>
          <w:sz w:val="32"/>
          <w:szCs w:val="32"/>
        </w:rPr>
        <w:t>第三章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检验、检测</w:t>
      </w:r>
    </w:p>
    <w:p>
      <w:pPr>
        <w:pStyle w:val="Style16"/>
        <w:ind w:firstLineChars="224" w:startChars="0" w:start="0" w:endChars="0" w:end="0"/>
        <w:rPr>
          <w:rFonts w:ascii="楷体_GB2312" w:hAnsi="楷体_GB2312" w:eastAsia="楷体_GB2312" w:cs="Adobe 仿宋 Std R;仿宋"/>
          <w:sz w:val="32"/>
          <w:szCs w:val="32"/>
        </w:rPr>
      </w:pPr>
      <w:r>
        <w:rPr>
          <w:rFonts w:ascii="楷体_GB2312" w:hAnsi="楷体_GB2312" w:cs="楷体_GB2312" w:hint="eastAsia" w:eastAsia="楷体_GB2312"/>
          <w:sz w:val="32"/>
          <w:szCs w:val="32"/>
        </w:rPr>
        <w:t>第四章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监督管理</w:t>
      </w:r>
    </w:p>
    <w:p>
      <w:pPr>
        <w:pStyle w:val="Style16"/>
        <w:ind w:firstLineChars="224"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w:t>
      </w:r>
      <w:r>
        <w:rPr>
          <w:rFonts w:ascii="楷体_GB2312" w:hAnsi="楷体_GB2312" w:cs="楷体_GB2312" w:eastAsia="楷体_GB2312"/>
          <w:sz w:val="32"/>
          <w:szCs w:val="32"/>
        </w:rPr>
        <w:t>章</w:t>
      </w:r>
      <w:r>
        <w:rPr>
          <w:rFonts w:ascii="楷体_GB2312" w:hAnsi="楷体_GB2312" w:cs="楷体_GB2312" w:hint="eastAsia" w:eastAsia="楷体_GB2312"/>
          <w:sz w:val="32"/>
          <w:szCs w:val="32"/>
        </w:rPr>
        <w:t>　事故</w:t>
      </w:r>
      <w:r>
        <w:rPr>
          <w:rFonts w:ascii="楷体_GB2312" w:hAnsi="楷体_GB2312" w:cs="楷体_GB2312" w:eastAsia="楷体_GB2312"/>
          <w:sz w:val="32"/>
          <w:szCs w:val="32"/>
        </w:rPr>
        <w:t>应急救援与调查处理</w:t>
      </w:r>
    </w:p>
    <w:p>
      <w:pPr>
        <w:pStyle w:val="Style16"/>
        <w:ind w:firstLineChars="224" w:startChars="0" w:start="0" w:endChars="0" w:end="0"/>
        <w:rPr>
          <w:rFonts w:ascii="楷体_GB2312" w:hAnsi="楷体_GB2312" w:eastAsia="楷体_GB2312" w:cs="Adobe 仿宋 Std R;仿宋"/>
          <w:sz w:val="32"/>
          <w:szCs w:val="32"/>
        </w:rPr>
      </w:pPr>
      <w:r>
        <w:rPr>
          <w:rFonts w:ascii="楷体_GB2312" w:hAnsi="楷体_GB2312" w:cs="楷体_GB2312" w:hint="eastAsia" w:eastAsia="楷体_GB2312"/>
          <w:sz w:val="32"/>
          <w:szCs w:val="32"/>
        </w:rPr>
        <w:t>第六章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法律责任</w:t>
      </w:r>
    </w:p>
    <w:p>
      <w:pPr>
        <w:pStyle w:val="Style16"/>
        <w:ind w:firstLineChars="224" w:startChars="0" w:start="0" w:endChars="0" w:end="0"/>
        <w:rPr>
          <w:rFonts w:ascii="楷体_GB2312" w:hAnsi="楷体_GB2312" w:eastAsia="楷体_GB2312" w:cs="楷体_GB2312"/>
          <w:sz w:val="32"/>
          <w:szCs w:val="32"/>
        </w:rPr>
      </w:pPr>
      <w:r>
        <w:rPr>
          <w:rFonts w:ascii="楷体_GB2312" w:hAnsi="楷体_GB2312" w:cs="楷体_GB2312" w:hint="eastAsia" w:eastAsia="楷体_GB2312"/>
          <w:sz w:val="32"/>
          <w:szCs w:val="32"/>
        </w:rPr>
        <w:t>第七章</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附则</w:t>
      </w:r>
    </w:p>
    <w:p>
      <w:pPr>
        <w:pStyle w:val="Style16"/>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宋体" w:hint="eastAsia"/>
          <w:kern w:val="0"/>
          <w:szCs w:val="20"/>
        </w:rPr>
      </w:pPr>
      <w:r>
        <w:rPr>
          <w:rFonts w:ascii="黑体" w:hAnsi="黑体" w:cs="宋体" w:hint="eastAsia" w:eastAsia="黑体"/>
          <w:kern w:val="0"/>
          <w:szCs w:val="20"/>
        </w:rPr>
        <w:t xml:space="preserve">第一章 </w:t>
      </w:r>
      <w:r>
        <w:rPr>
          <w:rFonts w:ascii="黑体" w:hAnsi="黑体" w:cs="宋体" w:eastAsia="黑体"/>
          <w:kern w:val="0"/>
          <w:szCs w:val="20"/>
        </w:rPr>
        <w:t xml:space="preserve"> </w:t>
      </w:r>
      <w:r>
        <w:rPr>
          <w:rFonts w:ascii="黑体" w:hAnsi="黑体" w:cs="宋体" w:hint="eastAsia" w:eastAsia="黑体"/>
          <w:kern w:val="0"/>
          <w:szCs w:val="20"/>
        </w:rPr>
        <w:t xml:space="preserve">总 </w:t>
      </w:r>
      <w:r>
        <w:rPr>
          <w:rFonts w:ascii="黑体" w:hAnsi="黑体" w:cs="宋体" w:eastAsia="黑体"/>
          <w:kern w:val="0"/>
          <w:szCs w:val="20"/>
        </w:rPr>
        <w:t xml:space="preserve"> </w:t>
      </w:r>
      <w:r>
        <w:rPr>
          <w:rFonts w:ascii="黑体" w:hAnsi="黑体" w:cs="宋体" w:hint="eastAsia" w:eastAsia="黑体"/>
          <w:kern w:val="0"/>
          <w:szCs w:val="20"/>
        </w:rPr>
        <w:t>则</w:t>
      </w:r>
    </w:p>
    <w:p>
      <w:pPr>
        <w:pStyle w:val="Normal"/>
        <w:keepNext w:val="false"/>
        <w:keepLines w:val="false"/>
        <w:pageBreakBefore w:val="false"/>
        <w:kinsoku w:val="true"/>
        <w:overflowPunct w:val="true"/>
        <w:autoSpaceDE w:val="true"/>
        <w:bidi w:val="0"/>
        <w:snapToGrid w:val="true"/>
        <w:spacing w:lineRule="atLeast" w:line="300"/>
        <w:ind w:firstLine="638" w:end="0"/>
        <w:textAlignment w:val="auto"/>
        <w:rPr/>
      </w:pPr>
      <w:r>
        <w:rPr>
          <w:rFonts w:ascii="黑体" w:hAnsi="黑体" w:cs="黑体" w:hint="eastAsia" w:eastAsia="黑体"/>
        </w:rPr>
        <w:t>第一条</w:t>
      </w:r>
      <w:r>
        <w:rPr>
          <w:rFonts w:hint="eastAsia"/>
        </w:rPr>
        <w:t xml:space="preserve">  为了加强特种设备安全工作，预防特种设备事故，保障人身和财产安全，促进经济社会可持续发展，根据《中华人民共和国特种设备安全法》等法律、法规，结合本市实际情况，制定本条例。</w:t>
      </w:r>
    </w:p>
    <w:p>
      <w:pPr>
        <w:pStyle w:val="Normal"/>
        <w:keepNext w:val="false"/>
        <w:keepLines w:val="false"/>
        <w:pageBreakBefore w:val="false"/>
        <w:kinsoku w:val="true"/>
        <w:overflowPunct w:val="true"/>
        <w:autoSpaceDE w:val="true"/>
        <w:bidi w:val="0"/>
        <w:snapToGrid w:val="true"/>
        <w:spacing w:lineRule="atLeast" w:line="300"/>
        <w:ind w:firstLine="638" w:end="0"/>
        <w:textAlignment w:val="auto"/>
        <w:rPr>
          <w:rFonts w:hint="eastAsia"/>
        </w:rPr>
      </w:pPr>
      <w:r>
        <w:rPr>
          <w:rFonts w:ascii="黑体" w:hAnsi="黑体" w:cs="宋体" w:hint="eastAsia" w:eastAsia="黑体"/>
          <w:kern w:val="0"/>
          <w:szCs w:val="20"/>
        </w:rPr>
        <w:t xml:space="preserve">第二条 </w:t>
      </w:r>
      <w:r>
        <w:rPr>
          <w:rFonts w:ascii="仿宋_GB2312" w:hAnsi="仿宋_GB2312" w:cs="宋体" w:hint="eastAsia"/>
          <w:b/>
          <w:kern w:val="0"/>
          <w:szCs w:val="20"/>
        </w:rPr>
        <w:t xml:space="preserve"> </w:t>
      </w:r>
      <w:r>
        <w:rPr>
          <w:rFonts w:ascii="仿宋_GB2312" w:hAnsi="仿宋_GB2312" w:cs="宋体" w:hint="eastAsia"/>
          <w:kern w:val="0"/>
          <w:szCs w:val="20"/>
        </w:rPr>
        <w:t>本条例适用于本市行政区</w:t>
      </w:r>
      <w:r>
        <w:rPr>
          <w:rFonts w:hint="eastAsia"/>
        </w:rPr>
        <w:t>域内特种设备的生产（包括设计、制造、安装、改造、修理）、经营、使用、检验、检测</w:t>
      </w:r>
      <w:r>
        <w:rPr/>
        <w:t>和特种设备安全的监督管理。</w:t>
      </w:r>
    </w:p>
    <w:p>
      <w:pPr>
        <w:pStyle w:val="Normal"/>
        <w:keepNext w:val="false"/>
        <w:keepLines w:val="false"/>
        <w:pageBreakBefore w:val="false"/>
        <w:kinsoku w:val="true"/>
        <w:overflowPunct w:val="true"/>
        <w:autoSpaceDE w:val="true"/>
        <w:bidi w:val="0"/>
        <w:snapToGrid w:val="true"/>
        <w:spacing w:lineRule="atLeast" w:line="300"/>
        <w:ind w:firstLine="626" w:end="0"/>
        <w:textAlignment w:val="auto"/>
        <w:rPr>
          <w:rFonts w:hint="eastAsia"/>
        </w:rPr>
      </w:pPr>
      <w:r>
        <w:rPr>
          <w:rFonts w:hint="eastAsia"/>
        </w:rPr>
        <w:t>本条例所称特种设备，是指对人身和财产安全有较大危险性的锅炉、压力容器（含气瓶）、压力管道、电梯、起重机械、客运索道、大型游乐设施和场（厂）内专用机动车辆等。</w:t>
      </w:r>
    </w:p>
    <w:p>
      <w:pPr>
        <w:pStyle w:val="Normal"/>
        <w:keepNext w:val="false"/>
        <w:keepLines w:val="false"/>
        <w:pageBreakBefore w:val="false"/>
        <w:widowControl/>
        <w:kinsoku w:val="true"/>
        <w:overflowPunct w:val="true"/>
        <w:autoSpaceDE w:val="true"/>
        <w:bidi w:val="0"/>
        <w:snapToGrid w:val="true"/>
        <w:spacing w:lineRule="atLeast" w:line="300"/>
        <w:ind w:firstLine="633" w:end="0"/>
        <w:jc w:val="start"/>
        <w:textAlignment w:val="auto"/>
        <w:rPr>
          <w:rFonts w:ascii="黑体" w:hAnsi="黑体" w:eastAsia="黑体" w:cs="宋体"/>
          <w:kern w:val="0"/>
          <w:szCs w:val="20"/>
        </w:rPr>
      </w:pPr>
      <w:r>
        <w:rPr>
          <w:rFonts w:ascii="仿宋_GB2312" w:hAnsi="仿宋_GB2312" w:cs="宋体" w:hint="eastAsia"/>
          <w:kern w:val="0"/>
          <w:szCs w:val="20"/>
        </w:rPr>
        <w:t>特种设备的具体范围依照国务院批准的特种设备目录确定。</w:t>
      </w:r>
      <w:r>
        <w:rPr>
          <w:rFonts w:ascii="黑体" w:hAnsi="黑体" w:cs="宋体" w:eastAsia="黑体"/>
          <w:kern w:val="0"/>
          <w:szCs w:val="20"/>
        </w:rPr>
        <w:t xml:space="preserve">                                                                                                                                                                                                                                                                                                                                                                                                                                                                                                                                                                                                                                                                                                                                                                                                                                                   </w:t>
      </w:r>
    </w:p>
    <w:p>
      <w:pPr>
        <w:pStyle w:val="Normal"/>
        <w:keepNext w:val="false"/>
        <w:keepLines w:val="false"/>
        <w:pageBreakBefore w:val="false"/>
        <w:widowControl/>
        <w:kinsoku w:val="true"/>
        <w:overflowPunct w:val="true"/>
        <w:autoSpaceDE w:val="true"/>
        <w:bidi w:val="0"/>
        <w:snapToGrid w:val="true"/>
        <w:spacing w:lineRule="atLeast" w:line="300"/>
        <w:ind w:firstLine="624" w:end="0"/>
        <w:jc w:val="start"/>
        <w:textAlignment w:val="auto"/>
        <w:rPr>
          <w:rFonts w:ascii="仿宋_GB2312" w:hAnsi="仿宋_GB2312" w:cs="宋体" w:hint="eastAsia"/>
          <w:kern w:val="0"/>
          <w:szCs w:val="20"/>
        </w:rPr>
      </w:pPr>
      <w:r>
        <w:rPr>
          <w:rFonts w:ascii="黑体" w:hAnsi="黑体" w:cs="宋体" w:hint="eastAsia" w:eastAsia="黑体"/>
          <w:kern w:val="0"/>
          <w:szCs w:val="20"/>
        </w:rPr>
        <w:t>第三条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本市对特种设备的生产、经营、使用，实施分类的、全过程的安全监督管理。</w:t>
      </w:r>
    </w:p>
    <w:p>
      <w:pPr>
        <w:pStyle w:val="Normal"/>
        <w:keepNext w:val="false"/>
        <w:keepLines w:val="false"/>
        <w:pageBreakBefore w:val="false"/>
        <w:widowControl/>
        <w:kinsoku w:val="true"/>
        <w:overflowPunct w:val="true"/>
        <w:autoSpaceDE w:val="true"/>
        <w:bidi w:val="0"/>
        <w:snapToGrid w:val="true"/>
        <w:spacing w:lineRule="atLeast" w:line="300"/>
        <w:ind w:firstLine="624" w:end="0"/>
        <w:jc w:val="start"/>
        <w:textAlignment w:val="auto"/>
        <w:rPr>
          <w:rFonts w:ascii="仿宋_GB2312" w:hAnsi="仿宋_GB2312" w:cs="宋体" w:hint="eastAsia"/>
          <w:kern w:val="0"/>
          <w:szCs w:val="20"/>
        </w:rPr>
      </w:pPr>
      <w:r>
        <w:rPr>
          <w:rFonts w:ascii="仿宋_GB2312" w:hAnsi="仿宋_GB2312" w:cs="宋体" w:hint="eastAsia"/>
          <w:kern w:val="0"/>
          <w:szCs w:val="20"/>
        </w:rPr>
        <w:t>特种</w:t>
      </w:r>
      <w:r>
        <w:rPr>
          <w:rFonts w:ascii="仿宋_GB2312" w:hAnsi="仿宋_GB2312" w:cs="宋体"/>
          <w:kern w:val="0"/>
          <w:szCs w:val="20"/>
        </w:rPr>
        <w:t>设备安全</w:t>
      </w:r>
      <w:r>
        <w:rPr>
          <w:rFonts w:ascii="仿宋_GB2312" w:hAnsi="仿宋_GB2312" w:cs="宋体" w:hint="eastAsia"/>
          <w:kern w:val="0"/>
          <w:szCs w:val="20"/>
        </w:rPr>
        <w:t>工作坚持属地</w:t>
      </w:r>
      <w:r>
        <w:rPr>
          <w:rFonts w:ascii="仿宋_GB2312" w:hAnsi="仿宋_GB2312" w:cs="宋体"/>
          <w:kern w:val="0"/>
          <w:szCs w:val="20"/>
        </w:rPr>
        <w:t>管理、分级负责</w:t>
      </w:r>
      <w:r>
        <w:rPr>
          <w:rFonts w:ascii="仿宋_GB2312" w:hAnsi="仿宋_GB2312" w:cs="宋体" w:hint="eastAsia"/>
          <w:kern w:val="0"/>
          <w:szCs w:val="20"/>
        </w:rPr>
        <w:t>，</w:t>
      </w:r>
      <w:r>
        <w:rPr>
          <w:rFonts w:ascii="仿宋_GB2312" w:hAnsi="仿宋_GB2312" w:cs="宋体"/>
          <w:kern w:val="0"/>
          <w:szCs w:val="20"/>
        </w:rPr>
        <w:t>强</w:t>
      </w:r>
      <w:r>
        <w:rPr>
          <w:rFonts w:ascii="仿宋_GB2312" w:hAnsi="仿宋_GB2312" w:cs="宋体" w:hint="eastAsia"/>
          <w:kern w:val="0"/>
          <w:szCs w:val="20"/>
        </w:rPr>
        <w:t>化和落实生产经营使用单位的安全主体责任，建立生产经营使用单位负责、政府依法监管、检验机构</w:t>
      </w:r>
      <w:r>
        <w:rPr>
          <w:rFonts w:ascii="仿宋_GB2312" w:hAnsi="仿宋_GB2312" w:cs="宋体"/>
          <w:kern w:val="0"/>
          <w:szCs w:val="20"/>
        </w:rPr>
        <w:t>技术</w:t>
      </w:r>
      <w:r>
        <w:rPr>
          <w:rFonts w:ascii="仿宋_GB2312" w:hAnsi="仿宋_GB2312" w:cs="宋体" w:hint="eastAsia"/>
          <w:kern w:val="0"/>
          <w:szCs w:val="20"/>
        </w:rPr>
        <w:t>支撑、行业协会自律服务、公众监督的机制。</w:t>
      </w:r>
    </w:p>
    <w:p>
      <w:pPr>
        <w:pStyle w:val="Normal"/>
        <w:keepNext w:val="false"/>
        <w:keepLines w:val="false"/>
        <w:pageBreakBefore w:val="false"/>
        <w:kinsoku w:val="true"/>
        <w:overflowPunct w:val="true"/>
        <w:autoSpaceDE w:val="true"/>
        <w:bidi w:val="0"/>
        <w:snapToGrid w:val="true"/>
        <w:spacing w:lineRule="atLeast" w:line="300"/>
        <w:ind w:firstLine="638" w:end="0"/>
        <w:textAlignment w:val="auto"/>
        <w:rPr>
          <w:rFonts w:ascii="仿宋_GB2312" w:hAnsi="仿宋_GB2312" w:cs="宋体" w:hint="eastAsia"/>
          <w:kern w:val="0"/>
          <w:szCs w:val="20"/>
        </w:rPr>
      </w:pPr>
      <w:r>
        <w:rPr>
          <w:rFonts w:ascii="黑体" w:hAnsi="黑体" w:cs="宋体" w:hint="eastAsia" w:eastAsia="黑体"/>
          <w:kern w:val="0"/>
          <w:szCs w:val="20"/>
        </w:rPr>
        <w:t>第四条</w:t>
      </w:r>
      <w:r>
        <w:rPr>
          <w:rFonts w:ascii="仿宋_GB2312" w:hAnsi="仿宋_GB2312" w:cs="宋体" w:hint="eastAsia"/>
          <w:kern w:val="0"/>
          <w:szCs w:val="20"/>
        </w:rPr>
        <w:t xml:space="preserve"> </w:t>
      </w:r>
      <w:r>
        <w:rPr>
          <w:rFonts w:ascii="仿宋_GB2312" w:hAnsi="仿宋_GB2312" w:cs="宋体"/>
          <w:kern w:val="0"/>
          <w:szCs w:val="20"/>
        </w:rPr>
        <w:t xml:space="preserve"> </w:t>
      </w:r>
      <w:r>
        <w:rPr>
          <w:rFonts w:ascii="仿宋_GB2312" w:hAnsi="仿宋_GB2312" w:cs="宋体" w:hint="eastAsia"/>
          <w:kern w:val="0"/>
          <w:szCs w:val="20"/>
        </w:rPr>
        <w:t>市和区人民政府应当加强对特种设备安全工作的领导，支持、督促有关部门依法履行监督管理职责，建立协调机制，及时协调、解决特种设备安全监督管理中存在的问题。</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hint="eastAsia"/>
        </w:rPr>
      </w:pPr>
      <w:r>
        <w:rPr>
          <w:rFonts w:ascii="仿宋_GB2312" w:hAnsi="仿宋_GB2312" w:hint="eastAsia"/>
        </w:rPr>
        <w:t>乡镇人民政府、街道办事处应当协助上级人民政府有关部门依法履行特种设备安全监督管理职责。</w:t>
      </w:r>
    </w:p>
    <w:p>
      <w:pPr>
        <w:pStyle w:val="Normal"/>
        <w:keepNext w:val="false"/>
        <w:keepLines w:val="false"/>
        <w:pageBreakBefore w:val="false"/>
        <w:widowControl/>
        <w:kinsoku w:val="true"/>
        <w:overflowPunct w:val="true"/>
        <w:autoSpaceDE w:val="true"/>
        <w:bidi w:val="0"/>
        <w:snapToGrid w:val="true"/>
        <w:spacing w:lineRule="atLeast" w:line="300"/>
        <w:ind w:firstLine="635" w:end="0"/>
        <w:textAlignment w:val="auto"/>
        <w:rPr>
          <w:rFonts w:ascii="黑体" w:hAnsi="黑体" w:eastAsia="黑体" w:cs="宋体"/>
          <w:kern w:val="0"/>
          <w:szCs w:val="20"/>
        </w:rPr>
      </w:pPr>
      <w:r>
        <w:rPr>
          <w:rFonts w:ascii="仿宋_GB2312" w:hAnsi="仿宋_GB2312" w:cs="宋体" w:hint="eastAsia"/>
          <w:kern w:val="0"/>
          <w:szCs w:val="20"/>
        </w:rPr>
        <w:t>各级经济功能区管理机构应当按照有关人民政府确定的权限履行特种设备安全监督管理职责。</w:t>
      </w:r>
    </w:p>
    <w:p>
      <w:pPr>
        <w:pStyle w:val="Normal"/>
        <w:keepNext w:val="false"/>
        <w:keepLines w:val="false"/>
        <w:pageBreakBefore w:val="false"/>
        <w:kinsoku w:val="true"/>
        <w:overflowPunct w:val="true"/>
        <w:autoSpaceDE w:val="true"/>
        <w:bidi w:val="0"/>
        <w:snapToGrid w:val="true"/>
        <w:spacing w:lineRule="atLeast" w:line="300"/>
        <w:ind w:firstLine="629" w:end="0"/>
        <w:textAlignment w:val="auto"/>
        <w:rPr>
          <w:rFonts w:ascii="仿宋_GB2312" w:hAnsi="仿宋_GB2312" w:cs="宋体" w:hint="eastAsia"/>
          <w:kern w:val="0"/>
        </w:rPr>
      </w:pPr>
      <w:r>
        <w:rPr>
          <w:rFonts w:ascii="黑体" w:hAnsi="黑体" w:cs="宋体" w:hint="eastAsia" w:eastAsia="黑体"/>
          <w:kern w:val="0"/>
          <w:szCs w:val="20"/>
        </w:rPr>
        <w:t xml:space="preserve">第五条 </w:t>
      </w:r>
      <w:r>
        <w:rPr>
          <w:rFonts w:ascii="黑体" w:hAnsi="黑体" w:cs="宋体" w:eastAsia="黑体"/>
          <w:kern w:val="0"/>
          <w:szCs w:val="20"/>
        </w:rPr>
        <w:t xml:space="preserve"> </w:t>
      </w:r>
      <w:r>
        <w:rPr>
          <w:rFonts w:ascii="仿宋_GB2312" w:hAnsi="仿宋_GB2312" w:cs="宋体" w:hint="eastAsia"/>
          <w:kern w:val="0"/>
        </w:rPr>
        <w:t xml:space="preserve">市和区特种设备安全监督管理部门负责本行政区域内特种设备安全监督管理工作。  </w:t>
      </w:r>
    </w:p>
    <w:p>
      <w:pPr>
        <w:pStyle w:val="Normal"/>
        <w:keepNext w:val="false"/>
        <w:keepLines w:val="false"/>
        <w:pageBreakBefore w:val="false"/>
        <w:kinsoku w:val="true"/>
        <w:overflowPunct w:val="true"/>
        <w:autoSpaceDE w:val="true"/>
        <w:bidi w:val="0"/>
        <w:snapToGrid w:val="true"/>
        <w:spacing w:lineRule="atLeast" w:line="300"/>
        <w:ind w:firstLine="629" w:end="0"/>
        <w:textAlignment w:val="auto"/>
        <w:rPr>
          <w:rFonts w:ascii="仿宋_GB2312" w:hAnsi="仿宋_GB2312" w:cs="宋体"/>
          <w:kern w:val="0"/>
        </w:rPr>
      </w:pPr>
      <w:r>
        <w:rPr>
          <w:rFonts w:ascii="仿宋_GB2312" w:hAnsi="仿宋_GB2312" w:cs="宋体" w:hint="eastAsia"/>
          <w:kern w:val="0"/>
        </w:rPr>
        <w:t>特种设备安全监督管理部门应当依法履职，推行信息化方式，对特种设备生产、经营、使用单位和检验、检测机构实施安全监察、技术检查和行政执法。</w:t>
      </w:r>
    </w:p>
    <w:p>
      <w:pPr>
        <w:pStyle w:val="Normal"/>
        <w:keepNext w:val="false"/>
        <w:keepLines w:val="false"/>
        <w:pageBreakBefore w:val="false"/>
        <w:widowControl/>
        <w:kinsoku w:val="true"/>
        <w:overflowPunct w:val="true"/>
        <w:autoSpaceDE w:val="true"/>
        <w:bidi w:val="0"/>
        <w:snapToGrid w:val="true"/>
        <w:spacing w:lineRule="atLeast" w:line="300"/>
        <w:ind w:firstLine="636" w:end="0"/>
        <w:jc w:val="start"/>
        <w:textAlignment w:val="auto"/>
        <w:rPr>
          <w:rFonts w:ascii="仿宋_GB2312" w:hAnsi="仿宋_GB2312" w:cs="宋体" w:hint="eastAsia"/>
          <w:kern w:val="0"/>
          <w:szCs w:val="20"/>
        </w:rPr>
      </w:pPr>
      <w:r>
        <w:rPr>
          <w:rFonts w:ascii="仿宋_GB2312" w:hAnsi="仿宋_GB2312" w:cs="宋体"/>
          <w:kern w:val="0"/>
          <w:szCs w:val="20"/>
        </w:rPr>
        <w:t>市</w:t>
      </w:r>
      <w:r>
        <w:rPr>
          <w:rFonts w:ascii="仿宋_GB2312" w:hAnsi="仿宋_GB2312" w:cs="宋体" w:hint="eastAsia"/>
          <w:kern w:val="0"/>
          <w:szCs w:val="20"/>
        </w:rPr>
        <w:t>和</w:t>
      </w:r>
      <w:r>
        <w:rPr>
          <w:rFonts w:ascii="仿宋_GB2312" w:hAnsi="仿宋_GB2312" w:cs="宋体"/>
          <w:kern w:val="0"/>
          <w:szCs w:val="20"/>
        </w:rPr>
        <w:t>区</w:t>
      </w:r>
      <w:r>
        <w:rPr>
          <w:rFonts w:ascii="仿宋_GB2312" w:hAnsi="仿宋_GB2312" w:cs="宋体" w:hint="eastAsia"/>
          <w:kern w:val="0"/>
          <w:szCs w:val="20"/>
        </w:rPr>
        <w:t>人民</w:t>
      </w:r>
      <w:r>
        <w:rPr>
          <w:rFonts w:ascii="仿宋_GB2312" w:hAnsi="仿宋_GB2312" w:cs="宋体"/>
          <w:kern w:val="0"/>
          <w:szCs w:val="20"/>
        </w:rPr>
        <w:t>政府其他有关部门、机构按照各自职责，依法做好特种设备安全监督管理工作。</w:t>
      </w:r>
    </w:p>
    <w:p>
      <w:pPr>
        <w:pStyle w:val="Normal"/>
        <w:keepNext w:val="false"/>
        <w:keepLines w:val="false"/>
        <w:pageBreakBefore w:val="false"/>
        <w:widowControl/>
        <w:kinsoku w:val="true"/>
        <w:overflowPunct w:val="true"/>
        <w:autoSpaceDE w:val="true"/>
        <w:bidi w:val="0"/>
        <w:snapToGrid w:val="true"/>
        <w:spacing w:lineRule="atLeast" w:line="300"/>
        <w:ind w:firstLine="641" w:end="0"/>
        <w:jc w:val="start"/>
        <w:textAlignment w:val="auto"/>
        <w:rPr>
          <w:rFonts w:ascii="仿宋_GB2312" w:hAnsi="仿宋_GB2312" w:cs="宋体" w:hint="eastAsia"/>
          <w:kern w:val="0"/>
          <w:szCs w:val="20"/>
        </w:rPr>
      </w:pPr>
      <w:r>
        <w:rPr>
          <w:rFonts w:ascii="黑体" w:hAnsi="黑体" w:cs="宋体" w:hint="eastAsia" w:eastAsia="黑体"/>
          <w:kern w:val="0"/>
          <w:szCs w:val="20"/>
        </w:rPr>
        <w:t>第六条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特种设备行业协会应当加强行业自律，推进行业诚信体系建设，提供培训、宣传、技术交流、行业评价、咨询等服务，指导特种设备生产、经营、使用单位加强安全管理，参与相关检查和相关标准制定。</w:t>
      </w:r>
    </w:p>
    <w:p>
      <w:pPr>
        <w:pStyle w:val="Normal"/>
        <w:keepNext w:val="false"/>
        <w:keepLines w:val="false"/>
        <w:pageBreakBefore w:val="false"/>
        <w:kinsoku w:val="true"/>
        <w:overflowPunct w:val="true"/>
        <w:autoSpaceDE w:val="true"/>
        <w:bidi w:val="0"/>
        <w:snapToGrid w:val="true"/>
        <w:spacing w:lineRule="atLeast" w:line="300"/>
        <w:ind w:firstLine="636" w:end="0"/>
        <w:jc w:val="start"/>
        <w:textAlignment w:val="auto"/>
        <w:rPr>
          <w:rFonts w:ascii="仿宋_GB2312" w:hAnsi="仿宋_GB2312" w:cs="宋体" w:hint="eastAsia"/>
          <w:kern w:val="0"/>
          <w:szCs w:val="20"/>
        </w:rPr>
      </w:pPr>
      <w:r>
        <w:rPr>
          <w:rFonts w:ascii="黑体" w:hAnsi="黑体" w:cs="宋体" w:hint="eastAsia" w:eastAsia="黑体"/>
          <w:kern w:val="0"/>
          <w:szCs w:val="20"/>
        </w:rPr>
        <w:t>第七条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本市鼓励采用先进技术和先进管理方法，提高特种设备安全性能和风险管理水平，增强事故防范能力和应急救援能力。</w:t>
      </w:r>
    </w:p>
    <w:p>
      <w:pPr>
        <w:pStyle w:val="Normal"/>
        <w:keepNext w:val="false"/>
        <w:keepLines w:val="false"/>
        <w:pageBreakBefore w:val="false"/>
        <w:widowControl/>
        <w:kinsoku w:val="true"/>
        <w:overflowPunct w:val="true"/>
        <w:autoSpaceDE w:val="true"/>
        <w:bidi w:val="0"/>
        <w:snapToGrid w:val="true"/>
        <w:spacing w:lineRule="atLeast" w:line="300"/>
        <w:ind w:firstLine="635" w:end="0"/>
        <w:textAlignment w:val="auto"/>
        <w:rPr>
          <w:rFonts w:ascii="仿宋_GB2312" w:hAnsi="仿宋_GB2312" w:cs="宋体" w:hint="eastAsia"/>
          <w:kern w:val="0"/>
          <w:szCs w:val="20"/>
        </w:rPr>
      </w:pPr>
      <w:r>
        <w:rPr>
          <w:rFonts w:ascii="仿宋_GB2312" w:hAnsi="仿宋_GB2312" w:cs="宋体" w:hint="eastAsia"/>
          <w:kern w:val="0"/>
          <w:szCs w:val="20"/>
        </w:rPr>
        <w:t>鼓励有能力的单位提供特种设备安全节能专业服务。</w:t>
      </w:r>
    </w:p>
    <w:p>
      <w:pPr>
        <w:pStyle w:val="Normal"/>
        <w:keepNext w:val="false"/>
        <w:keepLines w:val="false"/>
        <w:pageBreakBefore w:val="false"/>
        <w:shd w:fill="FFFFFF" w:val="clear"/>
        <w:kinsoku w:val="true"/>
        <w:overflowPunct w:val="true"/>
        <w:autoSpaceDE w:val="true"/>
        <w:bidi w:val="0"/>
        <w:snapToGrid w:val="true"/>
        <w:spacing w:lineRule="atLeast" w:line="300"/>
        <w:ind w:firstLine="638" w:end="0"/>
        <w:textAlignment w:val="auto"/>
        <w:rPr>
          <w:rFonts w:ascii="仿宋_GB2312" w:hAnsi="仿宋_GB2312" w:cs="宋体" w:hint="eastAsia"/>
          <w:kern w:val="0"/>
          <w:szCs w:val="20"/>
        </w:rPr>
      </w:pPr>
      <w:r>
        <w:rPr>
          <w:rFonts w:ascii="黑体" w:hAnsi="黑体" w:cs="宋体" w:hint="eastAsia" w:eastAsia="黑体"/>
          <w:kern w:val="0"/>
          <w:szCs w:val="20"/>
        </w:rPr>
        <w:t xml:space="preserve">第八条  </w:t>
      </w:r>
      <w:r>
        <w:rPr>
          <w:rFonts w:ascii="仿宋_GB2312" w:hAnsi="仿宋_GB2312" w:cs="宋体" w:hint="eastAsia"/>
          <w:kern w:val="0"/>
          <w:szCs w:val="20"/>
        </w:rPr>
        <w:t>国家机关、团体和特种设备生产、经营、使用单位应当采取多种形式，加强特种设备安全知识普及和宣传教育，增强公众特种设备安全意识。</w:t>
      </w:r>
    </w:p>
    <w:p>
      <w:pPr>
        <w:pStyle w:val="Normal"/>
        <w:keepNext w:val="false"/>
        <w:keepLines w:val="false"/>
        <w:pageBreakBefore w:val="false"/>
        <w:widowControl/>
        <w:shd w:fill="FFFFFF" w:val="clear"/>
        <w:kinsoku w:val="true"/>
        <w:overflowPunct w:val="true"/>
        <w:autoSpaceDE w:val="true"/>
        <w:bidi w:val="0"/>
        <w:snapToGrid w:val="true"/>
        <w:spacing w:lineRule="atLeast" w:line="300"/>
        <w:ind w:firstLine="635" w:end="0"/>
        <w:textAlignment w:val="auto"/>
        <w:rPr>
          <w:rFonts w:ascii="仿宋_GB2312" w:hAnsi="仿宋_GB2312" w:cs="宋体" w:hint="eastAsia"/>
          <w:kern w:val="0"/>
          <w:szCs w:val="20"/>
        </w:rPr>
      </w:pPr>
      <w:r>
        <w:rPr>
          <w:rFonts w:ascii="仿宋_GB2312" w:hAnsi="仿宋_GB2312" w:cs="宋体" w:hint="eastAsia"/>
          <w:kern w:val="0"/>
          <w:szCs w:val="20"/>
        </w:rPr>
        <w:t>报刊、广播、电视及网络媒体应当开展特种设备安全公益性宣传教育，加强对特种设备安全的舆论监督。</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hint="eastAsia"/>
          <w:kern w:val="0"/>
          <w:szCs w:val="20"/>
        </w:rPr>
      </w:pPr>
      <w:r>
        <w:rPr>
          <w:rFonts w:ascii="黑体" w:hAnsi="黑体" w:cs="宋体" w:hint="eastAsia" w:eastAsia="黑体"/>
          <w:kern w:val="0"/>
          <w:szCs w:val="20"/>
        </w:rPr>
        <w:t>第九条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特种设备生产、经营、使用单位和检验、检测机构应当按照规定及时公开特种设备信息。</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hint="eastAsia"/>
          <w:kern w:val="0"/>
          <w:szCs w:val="20"/>
        </w:rPr>
      </w:pPr>
      <w:r>
        <w:rPr>
          <w:rFonts w:ascii="仿宋_GB2312" w:hAnsi="仿宋_GB2312" w:cs="宋体" w:hint="eastAsia"/>
          <w:kern w:val="0"/>
          <w:szCs w:val="20"/>
        </w:rPr>
        <w:t>特种设备安全监督管理部门应当采取多种形式保障公众参与监督，及时处理涉及特种设备安全的举报。</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hint="eastAsia"/>
          <w:color w:val="FF0000"/>
          <w:kern w:val="0"/>
          <w:szCs w:val="20"/>
        </w:rPr>
      </w:pPr>
      <w:r>
        <w:rPr>
          <w:rFonts w:ascii="黑体" w:hAnsi="黑体" w:cs="宋体" w:hint="eastAsia" w:eastAsia="黑体"/>
          <w:kern w:val="0"/>
          <w:szCs w:val="20"/>
        </w:rPr>
        <w:t xml:space="preserve">第十条 </w:t>
      </w:r>
      <w:r>
        <w:rPr>
          <w:rFonts w:ascii="仿宋_GB2312" w:hAnsi="仿宋_GB2312" w:cs="宋体" w:hint="eastAsia"/>
          <w:b/>
          <w:kern w:val="0"/>
          <w:szCs w:val="20"/>
        </w:rPr>
        <w:t xml:space="preserve"> </w:t>
      </w:r>
      <w:r>
        <w:rPr>
          <w:rFonts w:ascii="仿宋_GB2312" w:hAnsi="仿宋_GB2312" w:cs="宋体" w:hint="eastAsia"/>
          <w:kern w:val="0"/>
          <w:szCs w:val="20"/>
        </w:rPr>
        <w:t>特种设备的生产、经营、使用单位和检验、检测机构应当按照法律、行政法规的规定投保特种设备安全责任保险，提高事故应急处置和赔付能力。</w:t>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宋体" w:hint="eastAsia"/>
          <w:color w:val="FF0000"/>
          <w:kern w:val="0"/>
          <w:szCs w:val="20"/>
        </w:rPr>
      </w:pPr>
      <w:r>
        <w:rPr>
          <w:rFonts w:eastAsia="黑体" w:cs="宋体" w:hint="eastAsia" w:ascii="黑体" w:hAnsi="黑体"/>
          <w:color w:val="FF0000"/>
          <w:kern w:val="0"/>
          <w:szCs w:val="20"/>
        </w:rPr>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宋体"/>
          <w:kern w:val="0"/>
          <w:szCs w:val="20"/>
        </w:rPr>
      </w:pPr>
      <w:r>
        <w:rPr>
          <w:rFonts w:ascii="黑体" w:hAnsi="黑体" w:cs="宋体" w:eastAsia="黑体"/>
          <w:kern w:val="0"/>
          <w:szCs w:val="20"/>
        </w:rPr>
        <w:t>第二章  生产</w:t>
      </w:r>
      <w:r>
        <w:rPr>
          <w:rFonts w:ascii="黑体" w:hAnsi="黑体" w:cs="宋体" w:hint="eastAsia" w:eastAsia="黑体"/>
          <w:kern w:val="0"/>
          <w:szCs w:val="20"/>
        </w:rPr>
        <w:t>、</w:t>
      </w:r>
      <w:r>
        <w:rPr>
          <w:rFonts w:ascii="黑体" w:hAnsi="黑体" w:cs="宋体" w:eastAsia="黑体"/>
          <w:kern w:val="0"/>
          <w:szCs w:val="20"/>
        </w:rPr>
        <w:t>经营</w:t>
      </w:r>
      <w:r>
        <w:rPr>
          <w:rFonts w:ascii="黑体" w:hAnsi="黑体" w:cs="宋体" w:hint="eastAsia" w:eastAsia="黑体"/>
          <w:kern w:val="0"/>
          <w:szCs w:val="20"/>
        </w:rPr>
        <w:t>、</w:t>
      </w:r>
      <w:r>
        <w:rPr>
          <w:rFonts w:ascii="黑体" w:hAnsi="黑体" w:cs="宋体" w:eastAsia="黑体"/>
          <w:kern w:val="0"/>
          <w:szCs w:val="20"/>
        </w:rPr>
        <w:t>使用</w:t>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宋体" w:hint="eastAsia"/>
          <w:kern w:val="0"/>
          <w:szCs w:val="20"/>
        </w:rPr>
      </w:pPr>
      <w:r>
        <w:rPr>
          <w:rFonts w:eastAsia="黑体" w:cs="宋体" w:hint="eastAsia" w:ascii="黑体" w:hAnsi="黑体"/>
          <w:kern w:val="0"/>
          <w:szCs w:val="20"/>
        </w:rPr>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ascii="楷体_GB2312" w:hAnsi="楷体_GB2312" w:eastAsia="楷体_GB2312" w:cs="宋体" w:hint="eastAsia"/>
          <w:kern w:val="0"/>
          <w:szCs w:val="20"/>
        </w:rPr>
      </w:pPr>
      <w:r>
        <w:rPr>
          <w:rFonts w:ascii="楷体_GB2312" w:hAnsi="楷体_GB2312" w:cs="宋体" w:hint="eastAsia" w:eastAsia="楷体_GB2312"/>
          <w:kern w:val="0"/>
          <w:szCs w:val="20"/>
        </w:rPr>
        <w:t>第一节  一般规定</w:t>
      </w:r>
    </w:p>
    <w:p>
      <w:pPr>
        <w:pStyle w:val="Normal"/>
        <w:keepNext w:val="false"/>
        <w:keepLines w:val="false"/>
        <w:pageBreakBefore w:val="false"/>
        <w:widowControl/>
        <w:kinsoku w:val="true"/>
        <w:overflowPunct w:val="true"/>
        <w:autoSpaceDE w:val="true"/>
        <w:bidi w:val="0"/>
        <w:snapToGrid w:val="true"/>
        <w:spacing w:lineRule="atLeast" w:line="300"/>
        <w:ind w:firstLine="641" w:end="0"/>
        <w:jc w:val="start"/>
        <w:textAlignment w:val="auto"/>
        <w:rPr>
          <w:rFonts w:ascii="仿宋_GB2312" w:hAnsi="仿宋_GB2312" w:cs="宋体" w:hint="eastAsia"/>
          <w:kern w:val="0"/>
          <w:szCs w:val="20"/>
        </w:rPr>
      </w:pPr>
      <w:r>
        <w:rPr>
          <w:rFonts w:ascii="黑体" w:hAnsi="黑体" w:cs="宋体" w:eastAsia="黑体"/>
          <w:kern w:val="0"/>
          <w:szCs w:val="20"/>
        </w:rPr>
        <w:t>第</w:t>
      </w:r>
      <w:r>
        <w:rPr>
          <w:rFonts w:ascii="黑体" w:hAnsi="黑体" w:cs="宋体" w:hint="eastAsia" w:eastAsia="黑体"/>
          <w:kern w:val="0"/>
          <w:szCs w:val="20"/>
        </w:rPr>
        <w:t>十一</w:t>
      </w:r>
      <w:r>
        <w:rPr>
          <w:rFonts w:ascii="黑体" w:hAnsi="黑体" w:cs="宋体" w:eastAsia="黑体"/>
          <w:kern w:val="0"/>
          <w:szCs w:val="20"/>
        </w:rPr>
        <w:t>条</w:t>
      </w:r>
      <w:r>
        <w:rPr>
          <w:rFonts w:ascii="黑体" w:hAnsi="黑体" w:cs="宋体" w:hint="eastAsia" w:eastAsia="黑体"/>
          <w:kern w:val="0"/>
          <w:szCs w:val="20"/>
        </w:rPr>
        <w:t xml:space="preserve"> </w:t>
      </w:r>
      <w:r>
        <w:rPr>
          <w:rFonts w:ascii="黑体" w:hAnsi="黑体" w:cs="宋体" w:hint="eastAsia" w:eastAsia="黑体"/>
          <w:b/>
          <w:kern w:val="0"/>
          <w:szCs w:val="20"/>
        </w:rPr>
        <w:t xml:space="preserve"> </w:t>
      </w:r>
      <w:r>
        <w:rPr>
          <w:rFonts w:ascii="仿宋_GB2312" w:hAnsi="仿宋_GB2312" w:cs="宋体" w:hint="eastAsia"/>
          <w:kern w:val="0"/>
          <w:szCs w:val="20"/>
        </w:rPr>
        <w:t>特种设备生产、经营、使用单位是特种设备安全的责任主体，应当遵守有关法律、法规、规章、安全技术规范及标准，建立健全特种设备安全和节能责任制度，加强特种设备安全和节能管理，确保特种设备生产、经营、使用安全，符合节能要求。</w:t>
      </w:r>
    </w:p>
    <w:p>
      <w:pPr>
        <w:pStyle w:val="Normal"/>
        <w:keepNext w:val="false"/>
        <w:keepLines w:val="false"/>
        <w:pageBreakBefore w:val="false"/>
        <w:widowControl/>
        <w:kinsoku w:val="true"/>
        <w:overflowPunct w:val="true"/>
        <w:autoSpaceDE w:val="true"/>
        <w:bidi w:val="0"/>
        <w:snapToGrid w:val="true"/>
        <w:spacing w:lineRule="atLeast" w:line="300"/>
        <w:ind w:firstLine="641" w:end="0"/>
        <w:jc w:val="start"/>
        <w:textAlignment w:val="auto"/>
        <w:rPr>
          <w:rFonts w:ascii="仿宋_GB2312" w:hAnsi="仿宋_GB2312" w:cs="宋体"/>
          <w:kern w:val="0"/>
          <w:szCs w:val="20"/>
        </w:rPr>
      </w:pPr>
      <w:r>
        <w:rPr>
          <w:rFonts w:ascii="仿宋_GB2312" w:hAnsi="仿宋_GB2312" w:cs="宋体" w:hint="eastAsia"/>
          <w:kern w:val="0"/>
          <w:szCs w:val="20"/>
        </w:rPr>
        <w:t>特种设备生产、经营、使用单位的主要负责人是特种设备安全第一责任人，应当对本单位特种设备安全工作全面负责。生产、经营、使用单位应当按照规定设置分管特种设备安全的负责人，协助主要负责人履行特种设备安全管理职责。</w:t>
      </w:r>
    </w:p>
    <w:p>
      <w:pPr>
        <w:pStyle w:val="Normal"/>
        <w:keepNext w:val="false"/>
        <w:keepLines w:val="false"/>
        <w:pageBreakBefore w:val="false"/>
        <w:kinsoku w:val="true"/>
        <w:overflowPunct w:val="true"/>
        <w:autoSpaceDE w:val="true"/>
        <w:bidi w:val="0"/>
        <w:snapToGrid w:val="true"/>
        <w:spacing w:lineRule="atLeast" w:line="300"/>
        <w:ind w:firstLine="643" w:end="0"/>
        <w:textAlignment w:val="auto"/>
        <w:rPr>
          <w:rFonts w:ascii="仿宋_GB2312" w:hAnsi="仿宋_GB2312" w:cs="宋体" w:hint="eastAsia"/>
          <w:kern w:val="0"/>
          <w:sz w:val="24"/>
          <w:szCs w:val="20"/>
        </w:rPr>
      </w:pPr>
      <w:r>
        <w:rPr>
          <w:rFonts w:ascii="黑体" w:hAnsi="黑体" w:cs="宋体" w:eastAsia="黑体"/>
          <w:kern w:val="0"/>
          <w:szCs w:val="20"/>
        </w:rPr>
        <w:t>第</w:t>
      </w:r>
      <w:r>
        <w:rPr>
          <w:rFonts w:ascii="黑体" w:hAnsi="黑体" w:cs="宋体" w:hint="eastAsia" w:eastAsia="黑体"/>
          <w:kern w:val="0"/>
          <w:szCs w:val="20"/>
        </w:rPr>
        <w:t>十二</w:t>
      </w:r>
      <w:r>
        <w:rPr>
          <w:rFonts w:ascii="黑体" w:hAnsi="黑体" w:cs="宋体" w:eastAsia="黑体"/>
          <w:kern w:val="0"/>
          <w:szCs w:val="20"/>
        </w:rPr>
        <w:t>条</w:t>
      </w:r>
      <w:r>
        <w:rPr>
          <w:rFonts w:ascii="黑体" w:hAnsi="黑体" w:cs="宋体" w:hint="eastAsia" w:eastAsia="黑体"/>
          <w:kern w:val="0"/>
          <w:szCs w:val="20"/>
        </w:rPr>
        <w:t xml:space="preserve">  </w:t>
      </w:r>
      <w:r>
        <w:rPr>
          <w:rFonts w:ascii="仿宋_GB2312" w:hAnsi="仿宋_GB2312" w:cs="宋体"/>
          <w:kern w:val="0"/>
          <w:szCs w:val="20"/>
        </w:rPr>
        <w:t>特种设备</w:t>
      </w:r>
      <w:r>
        <w:rPr>
          <w:rFonts w:ascii="仿宋_GB2312" w:hAnsi="仿宋_GB2312" w:cs="宋体" w:hint="eastAsia"/>
          <w:kern w:val="0"/>
          <w:szCs w:val="20"/>
        </w:rPr>
        <w:t>生产、经营、使用</w:t>
      </w:r>
      <w:r>
        <w:rPr>
          <w:rFonts w:ascii="仿宋_GB2312" w:hAnsi="仿宋_GB2312" w:cs="宋体"/>
          <w:kern w:val="0"/>
          <w:szCs w:val="20"/>
        </w:rPr>
        <w:t>单位应当按照国家有关规定</w:t>
      </w:r>
      <w:r>
        <w:rPr>
          <w:rFonts w:ascii="仿宋_GB2312" w:hAnsi="仿宋_GB2312" w:cs="宋体" w:hint="eastAsia"/>
          <w:kern w:val="0"/>
          <w:szCs w:val="20"/>
        </w:rPr>
        <w:t>配备</w:t>
      </w:r>
      <w:r>
        <w:rPr>
          <w:rFonts w:ascii="仿宋_GB2312" w:hAnsi="仿宋_GB2312" w:cs="宋体"/>
          <w:kern w:val="0"/>
          <w:szCs w:val="20"/>
        </w:rPr>
        <w:t>取得相应资格的人员</w:t>
      </w:r>
      <w:r>
        <w:rPr>
          <w:rFonts w:ascii="仿宋_GB2312" w:hAnsi="仿宋_GB2312" w:cs="宋体" w:hint="eastAsia"/>
          <w:kern w:val="0"/>
          <w:szCs w:val="20"/>
        </w:rPr>
        <w:t>，</w:t>
      </w:r>
      <w:r>
        <w:rPr>
          <w:rFonts w:ascii="仿宋_GB2312" w:hAnsi="仿宋_GB2312" w:cs="宋体"/>
          <w:kern w:val="0"/>
          <w:szCs w:val="20"/>
        </w:rPr>
        <w:t>从事特种设备的安全管理、作业、检测工作，并对其进行安全教育和技能培训</w:t>
      </w:r>
      <w:r>
        <w:rPr>
          <w:rFonts w:ascii="仿宋_GB2312" w:hAnsi="仿宋_GB2312" w:cs="宋体" w:hint="eastAsia"/>
          <w:kern w:val="0"/>
          <w:szCs w:val="20"/>
          <w:lang w:eastAsia="zh-CN"/>
        </w:rPr>
        <w:t>。</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kern w:val="0"/>
          <w:szCs w:val="20"/>
        </w:rPr>
      </w:pPr>
      <w:r>
        <w:rPr>
          <w:rFonts w:ascii="仿宋_GB2312" w:hAnsi="仿宋_GB2312" w:cs="宋体" w:hint="eastAsia"/>
          <w:kern w:val="0"/>
          <w:szCs w:val="20"/>
        </w:rPr>
        <w:t>禁止伪造、变造、倒卖、出租、出借特种设备作业人员证。</w:t>
      </w:r>
    </w:p>
    <w:p>
      <w:pPr>
        <w:pStyle w:val="Normal"/>
        <w:keepNext w:val="false"/>
        <w:keepLines w:val="false"/>
        <w:pageBreakBefore w:val="false"/>
        <w:kinsoku w:val="true"/>
        <w:overflowPunct w:val="true"/>
        <w:autoSpaceDE w:val="true"/>
        <w:bidi w:val="0"/>
        <w:snapToGrid w:val="true"/>
        <w:spacing w:lineRule="atLeast" w:line="300"/>
        <w:ind w:firstLine="638" w:end="0"/>
        <w:textAlignment w:val="auto"/>
        <w:rPr>
          <w:rFonts w:ascii="仿宋_GB2312" w:hAnsi="仿宋_GB2312" w:cs="宋体"/>
          <w:kern w:val="0"/>
          <w:szCs w:val="20"/>
          <w:u w:val="wave" w:color="000000"/>
        </w:rPr>
      </w:pPr>
      <w:r>
        <w:rPr>
          <w:rFonts w:ascii="黑体" w:hAnsi="黑体" w:cs="黑体" w:eastAsia="黑体"/>
        </w:rPr>
        <w:t>第</w:t>
      </w:r>
      <w:r>
        <w:rPr>
          <w:rFonts w:ascii="黑体" w:hAnsi="黑体" w:cs="黑体" w:hint="eastAsia" w:eastAsia="黑体"/>
        </w:rPr>
        <w:t>十三</w:t>
      </w:r>
      <w:r>
        <w:rPr>
          <w:rFonts w:ascii="黑体" w:hAnsi="黑体" w:cs="黑体" w:eastAsia="黑体"/>
        </w:rPr>
        <w:t>条</w:t>
      </w:r>
      <w:r>
        <w:rPr>
          <w:rFonts w:ascii="黑体" w:hAnsi="黑体" w:cs="宋体" w:hint="eastAsia" w:eastAsia="黑体"/>
          <w:kern w:val="0"/>
          <w:szCs w:val="20"/>
        </w:rPr>
        <w:t xml:space="preserve"> </w:t>
      </w:r>
      <w:r>
        <w:rPr>
          <w:rFonts w:ascii="仿宋_GB2312" w:hAnsi="仿宋_GB2312" w:cs="宋体" w:hint="eastAsia"/>
          <w:b/>
          <w:kern w:val="0"/>
          <w:szCs w:val="20"/>
        </w:rPr>
        <w:t xml:space="preserve"> </w:t>
      </w:r>
      <w:r>
        <w:rPr>
          <w:rFonts w:ascii="仿宋_GB2312" w:hAnsi="仿宋_GB2312" w:cs="宋体"/>
          <w:kern w:val="0"/>
          <w:szCs w:val="20"/>
        </w:rPr>
        <w:t>因生产原因造成特种设备存在危及安全的同一性缺陷的，特种设备生产单位应当立即停止生产</w:t>
      </w:r>
      <w:r>
        <w:rPr>
          <w:rFonts w:ascii="仿宋_GB2312" w:hAnsi="仿宋_GB2312" w:cs="宋体" w:hint="eastAsia"/>
          <w:kern w:val="0"/>
          <w:szCs w:val="20"/>
        </w:rPr>
        <w:t>、停止</w:t>
      </w:r>
      <w:r>
        <w:rPr>
          <w:rFonts w:ascii="仿宋_GB2312" w:hAnsi="仿宋_GB2312" w:cs="宋体"/>
          <w:kern w:val="0"/>
          <w:szCs w:val="20"/>
        </w:rPr>
        <w:t>交付</w:t>
      </w:r>
      <w:r>
        <w:rPr>
          <w:rFonts w:ascii="仿宋_GB2312" w:hAnsi="仿宋_GB2312" w:cs="宋体" w:hint="eastAsia"/>
          <w:kern w:val="0"/>
          <w:szCs w:val="20"/>
        </w:rPr>
        <w:t>，</w:t>
      </w:r>
      <w:r>
        <w:rPr>
          <w:rFonts w:ascii="仿宋_GB2312" w:hAnsi="仿宋_GB2312" w:cs="宋体"/>
          <w:kern w:val="0"/>
          <w:szCs w:val="20"/>
        </w:rPr>
        <w:t>实施召回</w:t>
      </w:r>
      <w:r>
        <w:rPr>
          <w:rFonts w:ascii="仿宋_GB2312" w:hAnsi="仿宋_GB2312" w:cs="宋体" w:hint="eastAsia"/>
          <w:kern w:val="0"/>
          <w:szCs w:val="20"/>
        </w:rPr>
        <w:t>，</w:t>
      </w:r>
      <w:r>
        <w:rPr>
          <w:rFonts w:ascii="仿宋_GB2312" w:hAnsi="仿宋_GB2312" w:cs="宋体"/>
          <w:kern w:val="0"/>
          <w:szCs w:val="20"/>
        </w:rPr>
        <w:t>通知相关经营和使用单位，并向市特种设备安全监督管理部门报告。</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kern w:val="0"/>
          <w:szCs w:val="20"/>
        </w:rPr>
        <w:t>经营和使用单位获知特种设备存在</w:t>
      </w:r>
      <w:r>
        <w:rPr>
          <w:rFonts w:ascii="仿宋_GB2312" w:hAnsi="仿宋_GB2312" w:cs="宋体" w:hint="eastAsia"/>
          <w:kern w:val="0"/>
          <w:szCs w:val="20"/>
        </w:rPr>
        <w:t>前款规定</w:t>
      </w:r>
      <w:r>
        <w:rPr>
          <w:rFonts w:ascii="仿宋_GB2312" w:hAnsi="仿宋_GB2312" w:cs="宋体"/>
          <w:kern w:val="0"/>
          <w:szCs w:val="20"/>
        </w:rPr>
        <w:t>缺陷的，应当立即停止销售、租赁和使用，并协助生产单位召回缺陷特种设备。</w:t>
      </w:r>
    </w:p>
    <w:p>
      <w:pPr>
        <w:pStyle w:val="Normal"/>
        <w:keepNext w:val="false"/>
        <w:keepLines w:val="false"/>
        <w:pageBreakBefore w:val="false"/>
        <w:kinsoku w:val="true"/>
        <w:overflowPunct w:val="true"/>
        <w:autoSpaceDE w:val="true"/>
        <w:bidi w:val="0"/>
        <w:snapToGrid w:val="true"/>
        <w:spacing w:lineRule="atLeast" w:line="300"/>
        <w:ind w:firstLine="641" w:end="0"/>
        <w:textAlignment w:val="auto"/>
        <w:rPr>
          <w:rFonts w:ascii="仿宋_GB2312" w:hAnsi="仿宋_GB2312" w:cs="宋体" w:hint="eastAsia"/>
          <w:kern w:val="0"/>
          <w:szCs w:val="20"/>
        </w:rPr>
      </w:pPr>
      <w:r>
        <w:rPr>
          <w:rFonts w:ascii="黑体" w:hAnsi="黑体" w:cs="宋体" w:eastAsia="黑体"/>
          <w:kern w:val="0"/>
          <w:szCs w:val="20"/>
        </w:rPr>
        <w:t>第</w:t>
      </w:r>
      <w:r>
        <w:rPr>
          <w:rFonts w:ascii="黑体" w:hAnsi="黑体" w:cs="宋体" w:hint="eastAsia" w:eastAsia="黑体"/>
          <w:kern w:val="0"/>
          <w:szCs w:val="20"/>
        </w:rPr>
        <w:t>十四</w:t>
      </w:r>
      <w:r>
        <w:rPr>
          <w:rFonts w:ascii="黑体" w:hAnsi="黑体" w:cs="宋体" w:eastAsia="黑体"/>
          <w:kern w:val="0"/>
          <w:szCs w:val="20"/>
        </w:rPr>
        <w:t>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kern w:val="0"/>
          <w:szCs w:val="20"/>
        </w:rPr>
        <w:t>鼓励特种设备制造单位</w:t>
      </w:r>
      <w:r>
        <w:rPr>
          <w:rFonts w:ascii="仿宋_GB2312" w:hAnsi="仿宋_GB2312" w:cs="宋体" w:hint="eastAsia"/>
          <w:kern w:val="0"/>
          <w:szCs w:val="20"/>
        </w:rPr>
        <w:t>对其</w:t>
      </w:r>
      <w:r>
        <w:rPr>
          <w:rFonts w:ascii="仿宋_GB2312" w:hAnsi="仿宋_GB2312" w:cs="宋体"/>
          <w:kern w:val="0"/>
          <w:szCs w:val="20"/>
        </w:rPr>
        <w:t>制造</w:t>
      </w:r>
      <w:r>
        <w:rPr>
          <w:rFonts w:ascii="仿宋_GB2312" w:hAnsi="仿宋_GB2312" w:cs="宋体" w:hint="eastAsia"/>
          <w:kern w:val="0"/>
          <w:szCs w:val="20"/>
        </w:rPr>
        <w:t>的</w:t>
      </w:r>
      <w:r>
        <w:rPr>
          <w:rFonts w:ascii="仿宋_GB2312" w:hAnsi="仿宋_GB2312" w:cs="宋体"/>
          <w:kern w:val="0"/>
          <w:szCs w:val="20"/>
        </w:rPr>
        <w:t>特种设备</w:t>
      </w:r>
      <w:r>
        <w:rPr>
          <w:rFonts w:ascii="仿宋_GB2312" w:hAnsi="仿宋_GB2312" w:cs="宋体" w:hint="eastAsia"/>
          <w:kern w:val="0"/>
          <w:szCs w:val="20"/>
        </w:rPr>
        <w:t>进行</w:t>
      </w:r>
      <w:r>
        <w:rPr>
          <w:rFonts w:ascii="仿宋_GB2312" w:hAnsi="仿宋_GB2312" w:cs="宋体"/>
          <w:kern w:val="0"/>
          <w:szCs w:val="20"/>
        </w:rPr>
        <w:t>日常维护保养。</w:t>
      </w:r>
    </w:p>
    <w:p>
      <w:pPr>
        <w:pStyle w:val="Normal"/>
        <w:keepNext w:val="false"/>
        <w:keepLines w:val="false"/>
        <w:pageBreakBefore w:val="false"/>
        <w:kinsoku w:val="true"/>
        <w:overflowPunct w:val="true"/>
        <w:autoSpaceDE w:val="true"/>
        <w:bidi w:val="0"/>
        <w:snapToGrid w:val="true"/>
        <w:spacing w:lineRule="atLeast" w:line="300"/>
        <w:ind w:firstLine="641" w:end="0"/>
        <w:textAlignment w:val="auto"/>
        <w:rPr>
          <w:rFonts w:ascii="黑体" w:hAnsi="黑体" w:eastAsia="黑体" w:cs="黑体" w:hint="eastAsia"/>
          <w:kern w:val="0"/>
          <w:szCs w:val="20"/>
        </w:rPr>
      </w:pPr>
      <w:r>
        <w:rPr>
          <w:rFonts w:eastAsia="黑体" w:cs="黑体" w:hint="eastAsia" w:ascii="黑体" w:hAnsi="黑体"/>
          <w:kern w:val="0"/>
          <w:szCs w:val="20"/>
        </w:rPr>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ascii="楷体_GB2312" w:hAnsi="楷体_GB2312" w:eastAsia="楷体_GB2312" w:cs="宋体" w:hint="eastAsia"/>
          <w:kern w:val="0"/>
          <w:szCs w:val="20"/>
        </w:rPr>
      </w:pPr>
      <w:r>
        <w:rPr>
          <w:rFonts w:ascii="楷体_GB2312" w:hAnsi="楷体_GB2312" w:cs="宋体" w:hint="eastAsia" w:eastAsia="楷体_GB2312"/>
          <w:kern w:val="0"/>
          <w:szCs w:val="20"/>
        </w:rPr>
        <w:t>第二节  生产、经营</w:t>
      </w:r>
    </w:p>
    <w:p>
      <w:pPr>
        <w:pStyle w:val="Normal"/>
        <w:keepNext w:val="false"/>
        <w:keepLines w:val="false"/>
        <w:pageBreakBefore w:val="false"/>
        <w:kinsoku w:val="true"/>
        <w:overflowPunct w:val="true"/>
        <w:autoSpaceDE w:val="true"/>
        <w:bidi w:val="0"/>
        <w:snapToGrid w:val="true"/>
        <w:spacing w:lineRule="atLeast" w:line="300"/>
        <w:ind w:firstLine="638" w:end="0"/>
        <w:textAlignment w:val="auto"/>
        <w:rPr>
          <w:rFonts w:ascii="仿宋_GB2312" w:hAnsi="仿宋_GB2312" w:cs="宋体"/>
          <w:kern w:val="0"/>
          <w:szCs w:val="20"/>
        </w:rPr>
      </w:pPr>
      <w:r>
        <w:rPr>
          <w:rFonts w:ascii="黑体" w:hAnsi="黑体" w:cs="宋体" w:eastAsia="黑体"/>
          <w:kern w:val="0"/>
          <w:szCs w:val="20"/>
        </w:rPr>
        <w:t>第</w:t>
      </w:r>
      <w:r>
        <w:rPr>
          <w:rFonts w:ascii="黑体" w:hAnsi="黑体" w:cs="宋体" w:hint="eastAsia" w:eastAsia="黑体"/>
          <w:kern w:val="0"/>
          <w:szCs w:val="20"/>
        </w:rPr>
        <w:t>十五</w:t>
      </w:r>
      <w:r>
        <w:rPr>
          <w:rFonts w:ascii="黑体" w:hAnsi="黑体" w:cs="宋体" w:eastAsia="黑体"/>
          <w:kern w:val="0"/>
          <w:szCs w:val="20"/>
        </w:rPr>
        <w:t>条</w:t>
      </w:r>
      <w:r>
        <w:rPr>
          <w:rFonts w:ascii="黑体" w:hAnsi="黑体" w:cs="宋体" w:hint="eastAsia" w:eastAsia="黑体"/>
          <w:kern w:val="0"/>
          <w:szCs w:val="20"/>
        </w:rPr>
        <w:t xml:space="preserve"> </w:t>
      </w:r>
      <w:r>
        <w:rPr>
          <w:rFonts w:ascii="仿宋_GB2312" w:hAnsi="仿宋_GB2312" w:cs="宋体" w:hint="eastAsia"/>
          <w:b/>
          <w:kern w:val="0"/>
          <w:szCs w:val="20"/>
        </w:rPr>
        <w:t xml:space="preserve"> </w:t>
      </w:r>
      <w:r>
        <w:rPr>
          <w:rFonts w:ascii="仿宋_GB2312" w:hAnsi="仿宋_GB2312" w:cs="宋体"/>
          <w:kern w:val="0"/>
          <w:szCs w:val="20"/>
        </w:rPr>
        <w:t>依法取得许可</w:t>
      </w:r>
      <w:r>
        <w:rPr>
          <w:rFonts w:ascii="仿宋_GB2312" w:hAnsi="仿宋_GB2312" w:cs="宋体" w:hint="eastAsia"/>
          <w:kern w:val="0"/>
          <w:szCs w:val="20"/>
        </w:rPr>
        <w:t>的</w:t>
      </w:r>
      <w:r>
        <w:rPr>
          <w:rFonts w:ascii="仿宋_GB2312" w:hAnsi="仿宋_GB2312" w:cs="宋体"/>
          <w:kern w:val="0"/>
          <w:szCs w:val="20"/>
        </w:rPr>
        <w:t>特种设备生产单位应当遵守下</w:t>
      </w:r>
      <w:r>
        <w:rPr>
          <w:rFonts w:ascii="仿宋_GB2312" w:hAnsi="仿宋_GB2312" w:cs="宋体" w:hint="eastAsia"/>
          <w:kern w:val="0"/>
          <w:szCs w:val="20"/>
        </w:rPr>
        <w:t>列</w:t>
      </w:r>
      <w:r>
        <w:rPr>
          <w:rFonts w:ascii="仿宋_GB2312" w:hAnsi="仿宋_GB2312" w:cs="宋体"/>
          <w:kern w:val="0"/>
          <w:szCs w:val="20"/>
        </w:rPr>
        <w:t xml:space="preserve">规定： </w:t>
      </w:r>
    </w:p>
    <w:p>
      <w:pPr>
        <w:pStyle w:val="Normal"/>
        <w:keepNext w:val="false"/>
        <w:keepLines w:val="false"/>
        <w:pageBreakBefore w:val="false"/>
        <w:kinsoku w:val="true"/>
        <w:overflowPunct w:val="true"/>
        <w:autoSpaceDE w:val="true"/>
        <w:bidi w:val="0"/>
        <w:snapToGrid w:val="true"/>
        <w:spacing w:lineRule="atLeast" w:line="300"/>
        <w:ind w:firstLine="638" w:end="0"/>
        <w:textAlignment w:val="auto"/>
        <w:rPr>
          <w:rFonts w:ascii="仿宋_GB2312" w:hAnsi="仿宋_GB2312" w:cs="宋体" w:hint="eastAsia"/>
          <w:kern w:val="0"/>
          <w:szCs w:val="20"/>
        </w:rPr>
      </w:pPr>
      <w:r>
        <w:rPr>
          <w:rFonts w:ascii="仿宋_GB2312" w:hAnsi="仿宋_GB2312" w:cs="宋体"/>
          <w:kern w:val="0"/>
          <w:szCs w:val="20"/>
        </w:rPr>
        <w:t>（一）保持取得生产许可</w:t>
      </w:r>
      <w:r>
        <w:rPr>
          <w:rFonts w:ascii="仿宋_GB2312" w:hAnsi="仿宋_GB2312" w:cs="宋体" w:hint="eastAsia"/>
          <w:kern w:val="0"/>
          <w:szCs w:val="20"/>
        </w:rPr>
        <w:t>所应具备</w:t>
      </w:r>
      <w:r>
        <w:rPr>
          <w:rFonts w:ascii="仿宋_GB2312" w:hAnsi="仿宋_GB2312" w:cs="宋体"/>
          <w:kern w:val="0"/>
          <w:szCs w:val="20"/>
        </w:rPr>
        <w:t>的条件</w:t>
      </w:r>
      <w:r>
        <w:rPr>
          <w:rFonts w:ascii="仿宋_GB2312" w:hAnsi="仿宋_GB2312" w:cs="宋体" w:hint="eastAsia"/>
          <w:kern w:val="0"/>
          <w:szCs w:val="20"/>
        </w:rPr>
        <w:t>并</w:t>
      </w:r>
      <w:r>
        <w:rPr>
          <w:rFonts w:ascii="仿宋_GB2312" w:hAnsi="仿宋_GB2312" w:cs="宋体"/>
          <w:kern w:val="0"/>
          <w:szCs w:val="20"/>
        </w:rPr>
        <w:t>符合安全技术规范</w:t>
      </w:r>
      <w:r>
        <w:rPr>
          <w:rFonts w:ascii="仿宋_GB2312" w:hAnsi="仿宋_GB2312" w:cs="宋体" w:hint="eastAsia"/>
          <w:kern w:val="0"/>
          <w:szCs w:val="20"/>
        </w:rPr>
        <w:t>及相关标准</w:t>
      </w:r>
      <w:r>
        <w:rPr>
          <w:rFonts w:ascii="仿宋_GB2312" w:hAnsi="仿宋_GB2312" w:cs="宋体"/>
          <w:kern w:val="0"/>
          <w:szCs w:val="20"/>
        </w:rPr>
        <w:t>的</w:t>
      </w:r>
      <w:r>
        <w:rPr>
          <w:rFonts w:ascii="仿宋_GB2312" w:hAnsi="仿宋_GB2312" w:cs="宋体" w:hint="eastAsia"/>
          <w:kern w:val="0"/>
          <w:szCs w:val="20"/>
        </w:rPr>
        <w:t>要求，对其生产的特种设备的安全性能负责；</w:t>
      </w:r>
    </w:p>
    <w:p>
      <w:pPr>
        <w:pStyle w:val="Normal"/>
        <w:keepNext w:val="false"/>
        <w:keepLines w:val="false"/>
        <w:pageBreakBefore w:val="false"/>
        <w:kinsoku w:val="true"/>
        <w:overflowPunct w:val="true"/>
        <w:autoSpaceDE w:val="true"/>
        <w:bidi w:val="0"/>
        <w:snapToGrid w:val="true"/>
        <w:spacing w:lineRule="atLeast" w:line="300"/>
        <w:ind w:firstLine="638" w:end="0"/>
        <w:textAlignment w:val="auto"/>
        <w:rPr>
          <w:rFonts w:ascii="仿宋_GB2312" w:hAnsi="仿宋_GB2312" w:cs="宋体" w:hint="eastAsia"/>
          <w:kern w:val="0"/>
          <w:sz w:val="24"/>
          <w:szCs w:val="20"/>
        </w:rPr>
      </w:pPr>
      <w:r>
        <w:rPr>
          <w:rFonts w:ascii="仿宋_GB2312" w:hAnsi="仿宋_GB2312" w:cs="宋体"/>
          <w:kern w:val="0"/>
          <w:szCs w:val="20"/>
        </w:rPr>
        <w:t>（</w:t>
      </w:r>
      <w:r>
        <w:rPr>
          <w:rFonts w:ascii="仿宋_GB2312" w:hAnsi="仿宋_GB2312" w:cs="宋体" w:hint="eastAsia"/>
          <w:kern w:val="0"/>
          <w:szCs w:val="20"/>
        </w:rPr>
        <w:t>二</w:t>
      </w:r>
      <w:r>
        <w:rPr>
          <w:rFonts w:ascii="仿宋_GB2312" w:hAnsi="仿宋_GB2312" w:cs="宋体"/>
          <w:kern w:val="0"/>
          <w:szCs w:val="20"/>
        </w:rPr>
        <w:t>）法定代表人或者主要负责人变更的，应当自变更之日起三十日内报原发证部门备案；单位名称或者单位地址变更的，应当自变更之日起三十日内提出申请，由原发证部门办理变更手续</w:t>
      </w:r>
      <w:r>
        <w:rPr>
          <w:rFonts w:ascii="仿宋_GB2312" w:hAnsi="仿宋_GB2312" w:cs="宋体" w:hint="eastAsia"/>
          <w:kern w:val="0"/>
          <w:szCs w:val="20"/>
        </w:rPr>
        <w:t>；</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kern w:val="0"/>
          <w:szCs w:val="20"/>
        </w:rPr>
        <w:t>（</w:t>
      </w:r>
      <w:r>
        <w:rPr>
          <w:rFonts w:ascii="仿宋_GB2312" w:hAnsi="仿宋_GB2312" w:cs="宋体" w:hint="eastAsia"/>
          <w:kern w:val="0"/>
          <w:szCs w:val="20"/>
        </w:rPr>
        <w:t>三</w:t>
      </w:r>
      <w:r>
        <w:rPr>
          <w:rFonts w:ascii="仿宋_GB2312" w:hAnsi="仿宋_GB2312" w:cs="宋体"/>
          <w:kern w:val="0"/>
          <w:szCs w:val="20"/>
        </w:rPr>
        <w:t>）不得超出许可的范围和期限从事生产活动</w:t>
      </w:r>
      <w:r>
        <w:rPr>
          <w:rFonts w:ascii="仿宋_GB2312" w:hAnsi="仿宋_GB2312" w:cs="宋体" w:hint="eastAsia"/>
          <w:kern w:val="0"/>
          <w:szCs w:val="20"/>
        </w:rPr>
        <w:t>；</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kern w:val="0"/>
          <w:szCs w:val="20"/>
        </w:rPr>
        <w:t>（</w:t>
      </w:r>
      <w:r>
        <w:rPr>
          <w:rFonts w:ascii="仿宋_GB2312" w:hAnsi="仿宋_GB2312" w:cs="宋体" w:hint="eastAsia"/>
          <w:kern w:val="0"/>
          <w:szCs w:val="20"/>
        </w:rPr>
        <w:t>四</w:t>
      </w:r>
      <w:r>
        <w:rPr>
          <w:rFonts w:ascii="仿宋_GB2312" w:hAnsi="仿宋_GB2312" w:cs="宋体"/>
          <w:kern w:val="0"/>
          <w:szCs w:val="20"/>
        </w:rPr>
        <w:t>）不得</w:t>
      </w:r>
      <w:r>
        <w:rPr>
          <w:rFonts w:ascii="仿宋_GB2312" w:hAnsi="仿宋_GB2312" w:cs="宋体" w:hint="eastAsia"/>
          <w:kern w:val="0"/>
          <w:szCs w:val="20"/>
        </w:rPr>
        <w:t>伪造、变造</w:t>
      </w:r>
      <w:r>
        <w:rPr>
          <w:rFonts w:ascii="仿宋_GB2312" w:hAnsi="仿宋_GB2312" w:cs="宋体"/>
          <w:kern w:val="0"/>
          <w:szCs w:val="20"/>
        </w:rPr>
        <w:t>、倒卖、出租、出借生产许可证</w:t>
      </w:r>
      <w:r>
        <w:rPr>
          <w:rFonts w:ascii="仿宋_GB2312" w:hAnsi="仿宋_GB2312" w:cs="宋体" w:hint="eastAsia"/>
          <w:kern w:val="0"/>
          <w:szCs w:val="20"/>
        </w:rPr>
        <w:t>。</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kern w:val="0"/>
          <w:szCs w:val="20"/>
        </w:rPr>
      </w:pPr>
      <w:r>
        <w:rPr>
          <w:rFonts w:ascii="黑体" w:hAnsi="黑体" w:cs="黑体" w:eastAsia="黑体"/>
        </w:rPr>
        <w:t>第</w:t>
      </w:r>
      <w:r>
        <w:rPr>
          <w:rFonts w:ascii="黑体" w:hAnsi="黑体" w:cs="黑体" w:hint="eastAsia" w:eastAsia="黑体"/>
        </w:rPr>
        <w:t>十六</w:t>
      </w:r>
      <w:r>
        <w:rPr>
          <w:rFonts w:ascii="黑体" w:hAnsi="黑体" w:cs="黑体" w:eastAsia="黑体"/>
        </w:rPr>
        <w:t>条</w:t>
      </w:r>
      <w:r>
        <w:rPr>
          <w:rFonts w:ascii="黑体" w:hAnsi="黑体" w:cs="宋体" w:hint="eastAsia" w:eastAsia="黑体"/>
          <w:kern w:val="0"/>
          <w:szCs w:val="20"/>
        </w:rPr>
        <w:t xml:space="preserve"> </w:t>
      </w:r>
      <w:r>
        <w:rPr>
          <w:rFonts w:ascii="仿宋_GB2312" w:hAnsi="仿宋_GB2312" w:cs="宋体" w:hint="eastAsia"/>
          <w:b/>
          <w:kern w:val="0"/>
          <w:szCs w:val="20"/>
        </w:rPr>
        <w:t xml:space="preserve"> </w:t>
      </w:r>
      <w:r>
        <w:rPr>
          <w:rFonts w:ascii="仿宋_GB2312" w:hAnsi="仿宋_GB2312" w:cs="宋体"/>
          <w:kern w:val="0"/>
          <w:szCs w:val="20"/>
        </w:rPr>
        <w:t>特种设备安装、改造、修理的施工单位应当在施工前</w:t>
      </w:r>
      <w:r>
        <w:rPr>
          <w:rFonts w:ascii="仿宋_GB2312" w:hAnsi="仿宋_GB2312" w:cs="宋体" w:hint="eastAsia"/>
          <w:kern w:val="0"/>
          <w:szCs w:val="20"/>
        </w:rPr>
        <w:t>，</w:t>
      </w:r>
      <w:r>
        <w:rPr>
          <w:rFonts w:ascii="仿宋_GB2312" w:hAnsi="仿宋_GB2312" w:cs="宋体"/>
          <w:kern w:val="0"/>
          <w:szCs w:val="20"/>
        </w:rPr>
        <w:t>将拟进行的特种设备安装、改造、修理情况书面告知</w:t>
      </w:r>
      <w:r>
        <w:rPr>
          <w:rFonts w:ascii="仿宋_GB2312" w:hAnsi="仿宋_GB2312" w:cs="宋体" w:hint="eastAsia"/>
          <w:kern w:val="0"/>
          <w:szCs w:val="20"/>
        </w:rPr>
        <w:t>市特种设备安全监督管理部门。市特种设备安全监督管理部门根据需要，可以委托特种设备施工所在地的区特种设备安全监督管理部门接受书面告知。</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kern w:val="0"/>
          <w:szCs w:val="20"/>
        </w:rPr>
      </w:pPr>
      <w:r>
        <w:rPr>
          <w:rFonts w:ascii="仿宋_GB2312" w:hAnsi="仿宋_GB2312" w:cs="宋体"/>
          <w:kern w:val="0"/>
          <w:szCs w:val="20"/>
        </w:rPr>
        <w:t>施工单位应当按照相关设计文件、标准、安全技术规范</w:t>
      </w:r>
      <w:r>
        <w:rPr>
          <w:rFonts w:ascii="仿宋_GB2312" w:hAnsi="仿宋_GB2312" w:cs="宋体" w:hint="eastAsia"/>
          <w:kern w:val="0"/>
          <w:szCs w:val="20"/>
        </w:rPr>
        <w:t>以及</w:t>
      </w:r>
      <w:r>
        <w:rPr>
          <w:rFonts w:ascii="仿宋_GB2312" w:hAnsi="仿宋_GB2312" w:cs="宋体"/>
          <w:kern w:val="0"/>
          <w:szCs w:val="20"/>
        </w:rPr>
        <w:t>施工方案等进行</w:t>
      </w:r>
      <w:r>
        <w:rPr>
          <w:rFonts w:ascii="仿宋_GB2312" w:hAnsi="仿宋_GB2312" w:cs="宋体" w:hint="eastAsia"/>
          <w:kern w:val="0"/>
          <w:szCs w:val="20"/>
        </w:rPr>
        <w:t>施工</w:t>
      </w:r>
      <w:r>
        <w:rPr>
          <w:rFonts w:ascii="仿宋_GB2312" w:hAnsi="仿宋_GB2312" w:cs="宋体"/>
          <w:kern w:val="0"/>
          <w:szCs w:val="20"/>
        </w:rPr>
        <w:t>，对施工过程如实进行记录并存档</w:t>
      </w:r>
      <w:r>
        <w:rPr>
          <w:rFonts w:ascii="仿宋_GB2312" w:hAnsi="仿宋_GB2312" w:cs="宋体" w:hint="eastAsia"/>
          <w:kern w:val="0"/>
          <w:szCs w:val="20"/>
        </w:rPr>
        <w:t>，</w:t>
      </w:r>
      <w:r>
        <w:rPr>
          <w:rFonts w:ascii="仿宋_GB2312" w:hAnsi="仿宋_GB2312" w:cs="宋体"/>
          <w:kern w:val="0"/>
          <w:szCs w:val="20"/>
        </w:rPr>
        <w:t>承担施工过程安全管理责任。</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kern w:val="0"/>
          <w:szCs w:val="20"/>
        </w:rPr>
      </w:pPr>
      <w:r>
        <w:rPr>
          <w:rFonts w:ascii="仿宋_GB2312" w:hAnsi="仿宋_GB2312" w:cs="宋体"/>
          <w:kern w:val="0"/>
          <w:szCs w:val="20"/>
        </w:rPr>
        <w:t>施工单位不得安装未</w:t>
      </w:r>
      <w:r>
        <w:rPr>
          <w:rFonts w:ascii="仿宋_GB2312" w:hAnsi="仿宋_GB2312" w:cs="宋体" w:hint="eastAsia"/>
          <w:kern w:val="0"/>
          <w:szCs w:val="20"/>
        </w:rPr>
        <w:t>经</w:t>
      </w:r>
      <w:r>
        <w:rPr>
          <w:rFonts w:ascii="仿宋_GB2312" w:hAnsi="仿宋_GB2312" w:cs="宋体"/>
          <w:kern w:val="0"/>
          <w:szCs w:val="20"/>
        </w:rPr>
        <w:t>许可</w:t>
      </w:r>
      <w:r>
        <w:rPr>
          <w:rFonts w:ascii="仿宋_GB2312" w:hAnsi="仿宋_GB2312" w:cs="宋体" w:hint="eastAsia"/>
          <w:kern w:val="0"/>
          <w:szCs w:val="20"/>
        </w:rPr>
        <w:t>生产</w:t>
      </w:r>
      <w:r>
        <w:rPr>
          <w:rFonts w:ascii="仿宋_GB2312" w:hAnsi="仿宋_GB2312" w:cs="宋体"/>
          <w:kern w:val="0"/>
          <w:szCs w:val="20"/>
        </w:rPr>
        <w:t>、国家</w:t>
      </w:r>
      <w:r>
        <w:rPr>
          <w:rFonts w:ascii="仿宋_GB2312" w:hAnsi="仿宋_GB2312" w:cs="宋体" w:hint="eastAsia"/>
          <w:kern w:val="0"/>
          <w:szCs w:val="20"/>
        </w:rPr>
        <w:t>或者</w:t>
      </w:r>
      <w:r>
        <w:rPr>
          <w:rFonts w:ascii="仿宋_GB2312" w:hAnsi="仿宋_GB2312" w:cs="宋体"/>
          <w:kern w:val="0"/>
          <w:szCs w:val="20"/>
        </w:rPr>
        <w:t>本市明令淘汰</w:t>
      </w:r>
      <w:r>
        <w:rPr>
          <w:rFonts w:ascii="仿宋_GB2312" w:hAnsi="仿宋_GB2312" w:cs="宋体" w:hint="eastAsia"/>
          <w:kern w:val="0"/>
          <w:szCs w:val="20"/>
        </w:rPr>
        <w:t>、已经</w:t>
      </w:r>
      <w:r>
        <w:rPr>
          <w:rFonts w:ascii="仿宋_GB2312" w:hAnsi="仿宋_GB2312" w:cs="宋体"/>
          <w:kern w:val="0"/>
          <w:szCs w:val="20"/>
        </w:rPr>
        <w:t>报废</w:t>
      </w:r>
      <w:r>
        <w:rPr>
          <w:rFonts w:ascii="仿宋_GB2312" w:hAnsi="仿宋_GB2312" w:cs="宋体" w:hint="eastAsia"/>
          <w:kern w:val="0"/>
          <w:szCs w:val="20"/>
        </w:rPr>
        <w:t>、相关技术</w:t>
      </w:r>
      <w:r>
        <w:rPr>
          <w:rFonts w:ascii="仿宋_GB2312" w:hAnsi="仿宋_GB2312" w:cs="宋体"/>
          <w:kern w:val="0"/>
          <w:szCs w:val="20"/>
        </w:rPr>
        <w:t>资料</w:t>
      </w:r>
      <w:r>
        <w:rPr>
          <w:rFonts w:ascii="仿宋_GB2312" w:hAnsi="仿宋_GB2312" w:cs="宋体" w:hint="eastAsia"/>
          <w:kern w:val="0"/>
          <w:szCs w:val="20"/>
        </w:rPr>
        <w:t>和文件</w:t>
      </w:r>
      <w:r>
        <w:rPr>
          <w:rFonts w:ascii="仿宋_GB2312" w:hAnsi="仿宋_GB2312" w:cs="宋体"/>
          <w:kern w:val="0"/>
          <w:szCs w:val="20"/>
        </w:rPr>
        <w:t>不全、</w:t>
      </w:r>
      <w:r>
        <w:rPr>
          <w:rFonts w:ascii="仿宋_GB2312" w:hAnsi="仿宋_GB2312" w:cs="宋体" w:hint="eastAsia"/>
          <w:kern w:val="0"/>
          <w:szCs w:val="20"/>
        </w:rPr>
        <w:t>未经检验或者</w:t>
      </w:r>
      <w:r>
        <w:rPr>
          <w:rFonts w:ascii="仿宋_GB2312" w:hAnsi="仿宋_GB2312" w:cs="宋体"/>
          <w:kern w:val="0"/>
          <w:szCs w:val="20"/>
        </w:rPr>
        <w:t>检验不合格的特种设备。</w:t>
      </w:r>
    </w:p>
    <w:p>
      <w:pPr>
        <w:pStyle w:val="Normal"/>
        <w:keepNext w:val="false"/>
        <w:keepLines w:val="false"/>
        <w:pageBreakBefore w:val="false"/>
        <w:kinsoku w:val="true"/>
        <w:overflowPunct w:val="true"/>
        <w:autoSpaceDE w:val="true"/>
        <w:bidi w:val="0"/>
        <w:snapToGrid w:val="true"/>
        <w:spacing w:lineRule="atLeast" w:line="300"/>
        <w:ind w:firstLine="641" w:end="0"/>
        <w:textAlignment w:val="auto"/>
        <w:rPr>
          <w:rFonts w:ascii="仿宋_GB2312" w:hAnsi="仿宋_GB2312" w:cs="宋体" w:hint="eastAsia"/>
          <w:kern w:val="0"/>
          <w:szCs w:val="20"/>
        </w:rPr>
      </w:pPr>
      <w:r>
        <w:rPr>
          <w:rFonts w:ascii="黑体" w:hAnsi="黑体" w:cs="宋体" w:eastAsia="黑体"/>
          <w:kern w:val="0"/>
          <w:szCs w:val="20"/>
        </w:rPr>
        <w:t>第</w:t>
      </w:r>
      <w:r>
        <w:rPr>
          <w:rFonts w:ascii="黑体" w:hAnsi="黑体" w:cs="宋体" w:hint="eastAsia" w:eastAsia="黑体"/>
          <w:kern w:val="0"/>
          <w:szCs w:val="20"/>
        </w:rPr>
        <w:t>十七</w:t>
      </w:r>
      <w:r>
        <w:rPr>
          <w:rFonts w:ascii="黑体" w:hAnsi="黑体" w:cs="宋体" w:eastAsia="黑体"/>
          <w:kern w:val="0"/>
          <w:szCs w:val="20"/>
        </w:rPr>
        <w:t>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kern w:val="0"/>
          <w:szCs w:val="20"/>
        </w:rPr>
        <w:t>特种设备安装、改造、修理竣工后，安装、改造、修理的施工单位应当在验收后三十日内</w:t>
      </w:r>
      <w:r>
        <w:rPr>
          <w:rFonts w:ascii="仿宋_GB2312" w:hAnsi="仿宋_GB2312" w:cs="宋体" w:hint="eastAsia"/>
          <w:kern w:val="0"/>
          <w:szCs w:val="20"/>
        </w:rPr>
        <w:t>及时</w:t>
      </w:r>
      <w:r>
        <w:rPr>
          <w:rFonts w:ascii="仿宋_GB2312" w:hAnsi="仿宋_GB2312" w:cs="宋体"/>
          <w:kern w:val="0"/>
          <w:szCs w:val="20"/>
        </w:rPr>
        <w:t>将相关技术资料和文件移交特种设备使用单位</w:t>
      </w:r>
      <w:r>
        <w:rPr>
          <w:rFonts w:ascii="仿宋_GB2312" w:hAnsi="仿宋_GB2312" w:cs="宋体" w:hint="eastAsia"/>
          <w:kern w:val="0"/>
          <w:szCs w:val="20"/>
        </w:rPr>
        <w:t>。</w:t>
      </w:r>
      <w:r>
        <w:rPr>
          <w:rFonts w:ascii="仿宋_GB2312" w:hAnsi="仿宋_GB2312" w:cs="宋体"/>
          <w:kern w:val="0"/>
          <w:szCs w:val="20"/>
        </w:rPr>
        <w:t>特种设备使用单位应当将其存入该特种设备的安全技术档案。</w:t>
      </w:r>
    </w:p>
    <w:p>
      <w:pPr>
        <w:pStyle w:val="Normal"/>
        <w:keepNext w:val="false"/>
        <w:keepLines w:val="false"/>
        <w:pageBreakBefore w:val="false"/>
        <w:kinsoku w:val="true"/>
        <w:overflowPunct w:val="true"/>
        <w:autoSpaceDE w:val="true"/>
        <w:bidi w:val="0"/>
        <w:snapToGrid w:val="true"/>
        <w:spacing w:lineRule="atLeast" w:line="300"/>
        <w:ind w:firstLine="641" w:end="0"/>
        <w:textAlignment w:val="auto"/>
        <w:rPr>
          <w:rFonts w:ascii="仿宋_GB2312" w:hAnsi="仿宋_GB2312" w:cs="宋体" w:hint="eastAsia"/>
          <w:kern w:val="0"/>
          <w:szCs w:val="20"/>
        </w:rPr>
      </w:pPr>
      <w:r>
        <w:rPr>
          <w:rFonts w:ascii="仿宋_GB2312" w:hAnsi="仿宋_GB2312" w:cs="宋体"/>
          <w:kern w:val="0"/>
          <w:szCs w:val="20"/>
        </w:rPr>
        <w:t>特种设备经监督检验合格并竣工验收后，施工单位将技术资料移交给特种设备使用单位的即为交付使用。</w:t>
      </w:r>
      <w:r>
        <w:rPr>
          <w:rFonts w:ascii="仿宋_GB2312" w:hAnsi="仿宋_GB2312" w:cs="宋体" w:hint="eastAsia"/>
          <w:kern w:val="0"/>
          <w:szCs w:val="20"/>
        </w:rPr>
        <w:t>在</w:t>
      </w:r>
      <w:r>
        <w:rPr>
          <w:rFonts w:ascii="仿宋_GB2312" w:hAnsi="仿宋_GB2312" w:cs="宋体"/>
          <w:kern w:val="0"/>
          <w:szCs w:val="20"/>
        </w:rPr>
        <w:t>交付使用前，</w:t>
      </w:r>
      <w:r>
        <w:rPr>
          <w:rFonts w:ascii="仿宋_GB2312" w:hAnsi="仿宋_GB2312" w:cs="宋体" w:hint="eastAsia"/>
          <w:kern w:val="0"/>
          <w:szCs w:val="20"/>
        </w:rPr>
        <w:t>施工单位</w:t>
      </w:r>
      <w:r>
        <w:rPr>
          <w:rFonts w:ascii="仿宋_GB2312" w:hAnsi="仿宋_GB2312" w:cs="宋体"/>
          <w:kern w:val="0"/>
          <w:szCs w:val="20"/>
        </w:rPr>
        <w:t>应当采取措施防止</w:t>
      </w:r>
      <w:r>
        <w:rPr>
          <w:rFonts w:ascii="仿宋_GB2312" w:hAnsi="仿宋_GB2312" w:cs="宋体" w:hint="eastAsia"/>
          <w:kern w:val="0"/>
          <w:szCs w:val="20"/>
        </w:rPr>
        <w:t>该</w:t>
      </w:r>
      <w:r>
        <w:rPr>
          <w:rFonts w:ascii="仿宋_GB2312" w:hAnsi="仿宋_GB2312" w:cs="宋体"/>
          <w:kern w:val="0"/>
          <w:szCs w:val="20"/>
        </w:rPr>
        <w:t>特种设备投入使用。</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hint="eastAsia"/>
          <w:kern w:val="0"/>
          <w:szCs w:val="20"/>
        </w:rPr>
      </w:pPr>
      <w:r>
        <w:rPr>
          <w:rFonts w:ascii="黑体" w:hAnsi="黑体" w:cs="宋体" w:eastAsia="黑体"/>
          <w:kern w:val="0"/>
          <w:szCs w:val="20"/>
        </w:rPr>
        <w:t>第</w:t>
      </w:r>
      <w:r>
        <w:rPr>
          <w:rFonts w:ascii="黑体" w:hAnsi="黑体" w:cs="宋体" w:hint="eastAsia" w:eastAsia="黑体"/>
          <w:kern w:val="0"/>
          <w:szCs w:val="20"/>
        </w:rPr>
        <w:t>十八</w:t>
      </w:r>
      <w:r>
        <w:rPr>
          <w:rFonts w:ascii="黑体" w:hAnsi="黑体" w:cs="宋体" w:eastAsia="黑体"/>
          <w:kern w:val="0"/>
          <w:szCs w:val="20"/>
        </w:rPr>
        <w:t>条</w:t>
      </w:r>
      <w:r>
        <w:rPr>
          <w:rFonts w:ascii="黑体" w:hAnsi="黑体" w:cs="宋体" w:hint="eastAsia" w:eastAsia="黑体"/>
          <w:kern w:val="0"/>
          <w:szCs w:val="20"/>
        </w:rPr>
        <w:t xml:space="preserve"> </w:t>
      </w:r>
      <w:r>
        <w:rPr>
          <w:rFonts w:ascii="仿宋_GB2312" w:hAnsi="仿宋_GB2312" w:cs="宋体" w:hint="eastAsia"/>
          <w:b/>
          <w:kern w:val="0"/>
          <w:szCs w:val="20"/>
        </w:rPr>
        <w:t xml:space="preserve"> </w:t>
      </w:r>
      <w:r>
        <w:rPr>
          <w:rFonts w:ascii="仿宋_GB2312" w:hAnsi="仿宋_GB2312" w:cs="宋体"/>
          <w:kern w:val="0"/>
          <w:szCs w:val="20"/>
        </w:rPr>
        <w:t>特种设备销售单位应当遵守下</w:t>
      </w:r>
      <w:r>
        <w:rPr>
          <w:rFonts w:ascii="仿宋_GB2312" w:hAnsi="仿宋_GB2312" w:cs="宋体" w:hint="eastAsia"/>
          <w:kern w:val="0"/>
          <w:szCs w:val="20"/>
        </w:rPr>
        <w:t>列</w:t>
      </w:r>
      <w:r>
        <w:rPr>
          <w:rFonts w:ascii="仿宋_GB2312" w:hAnsi="仿宋_GB2312" w:cs="宋体"/>
          <w:kern w:val="0"/>
          <w:szCs w:val="20"/>
        </w:rPr>
        <w:t>规定：</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hint="eastAsia"/>
          <w:kern w:val="0"/>
          <w:szCs w:val="20"/>
        </w:rPr>
      </w:pPr>
      <w:r>
        <w:rPr>
          <w:rFonts w:ascii="仿宋_GB2312" w:hAnsi="仿宋_GB2312" w:cs="宋体"/>
          <w:kern w:val="0"/>
          <w:szCs w:val="20"/>
        </w:rPr>
        <w:t>（一）销售的特种设备应当符合安全技术规范</w:t>
      </w:r>
      <w:r>
        <w:rPr>
          <w:rFonts w:ascii="仿宋_GB2312" w:hAnsi="仿宋_GB2312" w:cs="宋体" w:hint="eastAsia"/>
          <w:kern w:val="0"/>
          <w:szCs w:val="20"/>
        </w:rPr>
        <w:t>及</w:t>
      </w:r>
      <w:r>
        <w:rPr>
          <w:rFonts w:ascii="仿宋_GB2312" w:hAnsi="仿宋_GB2312" w:cs="宋体"/>
          <w:kern w:val="0"/>
          <w:szCs w:val="20"/>
        </w:rPr>
        <w:t>标准，并提供完整的</w:t>
      </w:r>
      <w:r>
        <w:rPr>
          <w:rFonts w:ascii="仿宋_GB2312" w:hAnsi="仿宋_GB2312" w:cs="宋体" w:hint="eastAsia"/>
          <w:kern w:val="0"/>
          <w:szCs w:val="20"/>
        </w:rPr>
        <w:t>相关技术</w:t>
      </w:r>
      <w:r>
        <w:rPr>
          <w:rFonts w:ascii="仿宋_GB2312" w:hAnsi="仿宋_GB2312" w:cs="宋体"/>
          <w:kern w:val="0"/>
          <w:szCs w:val="20"/>
        </w:rPr>
        <w:t>资料</w:t>
      </w:r>
      <w:r>
        <w:rPr>
          <w:rFonts w:ascii="仿宋_GB2312" w:hAnsi="仿宋_GB2312" w:cs="宋体" w:hint="eastAsia"/>
          <w:kern w:val="0"/>
          <w:szCs w:val="20"/>
        </w:rPr>
        <w:t xml:space="preserve">和文件； </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hint="eastAsia"/>
          <w:kern w:val="0"/>
          <w:szCs w:val="20"/>
        </w:rPr>
      </w:pPr>
      <w:r>
        <w:rPr>
          <w:rFonts w:ascii="仿宋_GB2312" w:hAnsi="仿宋_GB2312" w:cs="宋体"/>
          <w:kern w:val="0"/>
          <w:szCs w:val="20"/>
        </w:rPr>
        <w:t>（二）建立特种设备</w:t>
      </w:r>
      <w:r>
        <w:rPr>
          <w:rFonts w:ascii="仿宋_GB2312" w:hAnsi="仿宋_GB2312" w:cs="宋体" w:hint="eastAsia"/>
          <w:kern w:val="0"/>
          <w:szCs w:val="20"/>
        </w:rPr>
        <w:t>检查</w:t>
      </w:r>
      <w:r>
        <w:rPr>
          <w:rFonts w:ascii="仿宋_GB2312" w:hAnsi="仿宋_GB2312" w:cs="宋体"/>
          <w:kern w:val="0"/>
          <w:szCs w:val="20"/>
        </w:rPr>
        <w:t>验收和销售记录制度</w:t>
      </w:r>
      <w:r>
        <w:rPr>
          <w:rFonts w:ascii="仿宋_GB2312" w:hAnsi="仿宋_GB2312" w:cs="宋体" w:hint="eastAsia"/>
          <w:kern w:val="0"/>
          <w:szCs w:val="20"/>
        </w:rPr>
        <w:t>，</w:t>
      </w:r>
      <w:r>
        <w:rPr>
          <w:rFonts w:ascii="仿宋_GB2312" w:hAnsi="仿宋_GB2312" w:cs="宋体"/>
          <w:kern w:val="0"/>
          <w:szCs w:val="20"/>
        </w:rPr>
        <w:t>记录保存</w:t>
      </w:r>
      <w:r>
        <w:rPr>
          <w:rFonts w:ascii="仿宋_GB2312" w:hAnsi="仿宋_GB2312" w:cs="宋体" w:hint="eastAsia"/>
          <w:kern w:val="0"/>
          <w:szCs w:val="20"/>
        </w:rPr>
        <w:t>时间</w:t>
      </w:r>
      <w:r>
        <w:rPr>
          <w:rFonts w:ascii="仿宋_GB2312" w:hAnsi="仿宋_GB2312" w:cs="宋体"/>
          <w:kern w:val="0"/>
          <w:szCs w:val="20"/>
        </w:rPr>
        <w:t>不得少于特种设备的使用期限</w:t>
      </w:r>
      <w:r>
        <w:rPr>
          <w:rFonts w:ascii="仿宋_GB2312" w:hAnsi="仿宋_GB2312" w:cs="宋体" w:hint="eastAsia"/>
          <w:kern w:val="0"/>
          <w:szCs w:val="20"/>
        </w:rPr>
        <w:t>，</w:t>
      </w:r>
      <w:r>
        <w:rPr>
          <w:rFonts w:ascii="仿宋_GB2312" w:hAnsi="仿宋_GB2312" w:cs="宋体"/>
          <w:kern w:val="0"/>
          <w:szCs w:val="20"/>
        </w:rPr>
        <w:t>无使用期限的不得少于十年</w:t>
      </w:r>
      <w:r>
        <w:rPr>
          <w:rFonts w:ascii="仿宋_GB2312" w:hAnsi="仿宋_GB2312" w:cs="宋体" w:hint="eastAsia"/>
          <w:kern w:val="0"/>
          <w:szCs w:val="20"/>
        </w:rPr>
        <w:t>；</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hint="eastAsia"/>
          <w:kern w:val="0"/>
          <w:szCs w:val="20"/>
        </w:rPr>
      </w:pPr>
      <w:r>
        <w:rPr>
          <w:rFonts w:ascii="仿宋_GB2312" w:hAnsi="仿宋_GB2312" w:cs="宋体"/>
          <w:kern w:val="0"/>
          <w:szCs w:val="20"/>
        </w:rPr>
        <w:t>（三）销售已办理使用登记的特种设备还应当提供使用登记</w:t>
      </w:r>
      <w:r>
        <w:rPr>
          <w:rFonts w:ascii="仿宋_GB2312" w:hAnsi="仿宋_GB2312" w:cs="宋体" w:hint="eastAsia"/>
          <w:kern w:val="0"/>
          <w:szCs w:val="20"/>
        </w:rPr>
        <w:t>证书</w:t>
      </w:r>
      <w:r>
        <w:rPr>
          <w:rFonts w:ascii="仿宋_GB2312" w:hAnsi="仿宋_GB2312" w:cs="宋体"/>
          <w:kern w:val="0"/>
          <w:szCs w:val="20"/>
        </w:rPr>
        <w:t>、完整的安全技术档案</w:t>
      </w:r>
      <w:r>
        <w:rPr>
          <w:rFonts w:ascii="仿宋_GB2312" w:hAnsi="仿宋_GB2312" w:cs="宋体" w:hint="eastAsia"/>
          <w:kern w:val="0"/>
          <w:szCs w:val="20"/>
        </w:rPr>
        <w:t>和</w:t>
      </w:r>
      <w:r>
        <w:rPr>
          <w:rFonts w:ascii="仿宋_GB2312" w:hAnsi="仿宋_GB2312" w:cs="宋体"/>
          <w:kern w:val="0"/>
          <w:szCs w:val="20"/>
        </w:rPr>
        <w:t>检验、检测合格证明等文件</w:t>
      </w:r>
      <w:r>
        <w:rPr>
          <w:rFonts w:ascii="仿宋_GB2312" w:hAnsi="仿宋_GB2312" w:cs="宋体" w:hint="eastAsia"/>
          <w:kern w:val="0"/>
          <w:szCs w:val="20"/>
        </w:rPr>
        <w:t>。</w:t>
      </w:r>
    </w:p>
    <w:p>
      <w:pPr>
        <w:pStyle w:val="Normal"/>
        <w:keepNext w:val="false"/>
        <w:keepLines w:val="false"/>
        <w:pageBreakBefore w:val="false"/>
        <w:kinsoku w:val="true"/>
        <w:overflowPunct w:val="true"/>
        <w:autoSpaceDE w:val="true"/>
        <w:bidi w:val="0"/>
        <w:snapToGrid w:val="true"/>
        <w:spacing w:lineRule="atLeast" w:line="300"/>
        <w:ind w:firstLine="641" w:end="0"/>
        <w:textAlignment w:val="auto"/>
        <w:rPr>
          <w:rFonts w:ascii="仿宋_GB2312" w:hAnsi="仿宋_GB2312" w:cs="宋体"/>
          <w:kern w:val="0"/>
          <w:szCs w:val="20"/>
        </w:rPr>
      </w:pPr>
      <w:r>
        <w:rPr>
          <w:rFonts w:ascii="黑体" w:hAnsi="黑体" w:cs="宋体" w:eastAsia="黑体"/>
          <w:kern w:val="0"/>
          <w:szCs w:val="20"/>
        </w:rPr>
        <w:t>第</w:t>
      </w:r>
      <w:r>
        <w:rPr>
          <w:rFonts w:ascii="黑体" w:hAnsi="黑体" w:cs="宋体" w:hint="eastAsia" w:eastAsia="黑体"/>
          <w:kern w:val="0"/>
          <w:szCs w:val="20"/>
        </w:rPr>
        <w:t>十九</w:t>
      </w:r>
      <w:r>
        <w:rPr>
          <w:rFonts w:ascii="黑体" w:hAnsi="黑体" w:cs="宋体" w:eastAsia="黑体"/>
          <w:kern w:val="0"/>
          <w:szCs w:val="20"/>
        </w:rPr>
        <w:t>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特种设备</w:t>
      </w:r>
      <w:r>
        <w:rPr>
          <w:rFonts w:ascii="仿宋_GB2312" w:hAnsi="仿宋_GB2312" w:cs="宋体"/>
          <w:kern w:val="0"/>
          <w:szCs w:val="20"/>
        </w:rPr>
        <w:t>出租、出借单位应当向承租、</w:t>
      </w:r>
      <w:r>
        <w:rPr>
          <w:rFonts w:ascii="仿宋_GB2312" w:hAnsi="仿宋_GB2312" w:cs="宋体" w:hint="eastAsia"/>
          <w:kern w:val="0"/>
          <w:szCs w:val="20"/>
        </w:rPr>
        <w:t>借用</w:t>
      </w:r>
      <w:r>
        <w:rPr>
          <w:rFonts w:ascii="仿宋_GB2312" w:hAnsi="仿宋_GB2312" w:cs="宋体"/>
          <w:kern w:val="0"/>
          <w:szCs w:val="20"/>
        </w:rPr>
        <w:t>单位提供特种设备的使用登记证</w:t>
      </w:r>
      <w:r>
        <w:rPr>
          <w:rFonts w:ascii="仿宋_GB2312" w:hAnsi="仿宋_GB2312" w:cs="宋体" w:hint="eastAsia"/>
          <w:kern w:val="0"/>
          <w:szCs w:val="20"/>
        </w:rPr>
        <w:t>书</w:t>
      </w:r>
      <w:r>
        <w:rPr>
          <w:rFonts w:ascii="仿宋_GB2312" w:hAnsi="仿宋_GB2312" w:cs="宋体"/>
          <w:kern w:val="0"/>
          <w:szCs w:val="20"/>
        </w:rPr>
        <w:t xml:space="preserve">、检验合格证明、日常维护保养证明，并进行必要的指导和说明；配备特种设备作业人员的，应当提供作业人员证。 </w:t>
      </w:r>
    </w:p>
    <w:p>
      <w:pPr>
        <w:pStyle w:val="Normal"/>
        <w:keepNext w:val="false"/>
        <w:keepLines w:val="false"/>
        <w:pageBreakBefore w:val="false"/>
        <w:kinsoku w:val="true"/>
        <w:overflowPunct w:val="true"/>
        <w:autoSpaceDE w:val="true"/>
        <w:bidi w:val="0"/>
        <w:snapToGrid w:val="true"/>
        <w:spacing w:lineRule="atLeast" w:line="300"/>
        <w:ind w:firstLine="641" w:end="0"/>
        <w:textAlignment w:val="auto"/>
        <w:rPr>
          <w:rFonts w:ascii="仿宋_GB2312" w:hAnsi="仿宋_GB2312" w:cs="宋体"/>
          <w:kern w:val="0"/>
          <w:szCs w:val="20"/>
        </w:rPr>
      </w:pPr>
      <w:r>
        <w:rPr>
          <w:rFonts w:ascii="仿宋_GB2312" w:hAnsi="仿宋_GB2312" w:cs="宋体"/>
          <w:kern w:val="0"/>
          <w:szCs w:val="20"/>
        </w:rPr>
        <w:t>特种设备承租、</w:t>
      </w:r>
      <w:r>
        <w:rPr>
          <w:rFonts w:ascii="仿宋_GB2312" w:hAnsi="仿宋_GB2312" w:cs="宋体" w:hint="eastAsia"/>
          <w:kern w:val="0"/>
          <w:szCs w:val="20"/>
        </w:rPr>
        <w:t>借用</w:t>
      </w:r>
      <w:r>
        <w:rPr>
          <w:rFonts w:ascii="仿宋_GB2312" w:hAnsi="仿宋_GB2312" w:cs="宋体"/>
          <w:kern w:val="0"/>
          <w:szCs w:val="20"/>
        </w:rPr>
        <w:t>单位经查验相关证明文件不齐全的，不得将租赁、借用的特种设备投入使用。</w:t>
      </w:r>
    </w:p>
    <w:p>
      <w:pPr>
        <w:pStyle w:val="Normal"/>
        <w:keepNext w:val="false"/>
        <w:keepLines w:val="false"/>
        <w:pageBreakBefore w:val="false"/>
        <w:kinsoku w:val="true"/>
        <w:overflowPunct w:val="true"/>
        <w:autoSpaceDE w:val="true"/>
        <w:bidi w:val="0"/>
        <w:snapToGrid w:val="true"/>
        <w:spacing w:lineRule="atLeast" w:line="300"/>
        <w:ind w:firstLine="641" w:end="0"/>
        <w:textAlignment w:val="auto"/>
        <w:rPr>
          <w:rFonts w:ascii="黑体" w:hAnsi="黑体" w:eastAsia="黑体" w:cs="宋体"/>
          <w:kern w:val="0"/>
        </w:rPr>
      </w:pPr>
      <w:r>
        <w:rPr>
          <w:rFonts w:ascii="仿宋_GB2312" w:hAnsi="仿宋_GB2312" w:cs="宋体"/>
          <w:kern w:val="0"/>
          <w:szCs w:val="20"/>
        </w:rPr>
        <w:t>租赁、借用特种设备的双方可以书面约定特种设备在出租、出借期间的</w:t>
      </w:r>
      <w:r>
        <w:rPr>
          <w:rFonts w:ascii="仿宋_GB2312" w:hAnsi="仿宋_GB2312" w:cs="宋体" w:hint="eastAsia"/>
          <w:kern w:val="0"/>
          <w:szCs w:val="20"/>
        </w:rPr>
        <w:t>使用管理</w:t>
      </w:r>
      <w:r>
        <w:rPr>
          <w:rFonts w:ascii="仿宋_GB2312" w:hAnsi="仿宋_GB2312" w:cs="宋体"/>
          <w:kern w:val="0"/>
          <w:szCs w:val="20"/>
        </w:rPr>
        <w:t>责任，未作约定或者约定不明确的，</w:t>
      </w:r>
      <w:r>
        <w:rPr>
          <w:rFonts w:ascii="仿宋_GB2312" w:hAnsi="仿宋_GB2312" w:cs="宋体" w:hint="eastAsia"/>
          <w:kern w:val="0"/>
          <w:szCs w:val="20"/>
        </w:rPr>
        <w:t>由出租单位或者出借单位承担</w:t>
      </w:r>
      <w:r>
        <w:rPr>
          <w:rFonts w:ascii="黑体" w:hAnsi="黑体" w:cs="宋体" w:eastAsia="黑体"/>
          <w:kern w:val="0"/>
        </w:rPr>
        <w:t>。</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hint="eastAsia"/>
          <w:kern w:val="0"/>
          <w:szCs w:val="20"/>
        </w:rPr>
      </w:pPr>
      <w:r>
        <w:rPr>
          <w:rFonts w:ascii="黑体" w:hAnsi="黑体" w:cs="宋体" w:eastAsia="黑体"/>
          <w:kern w:val="0"/>
          <w:szCs w:val="20"/>
        </w:rPr>
        <w:t>第二十条</w:t>
      </w:r>
      <w:r>
        <w:rPr>
          <w:rFonts w:ascii="黑体" w:hAnsi="黑体" w:cs="宋体" w:hint="eastAsia" w:eastAsia="黑体"/>
          <w:kern w:val="0"/>
          <w:szCs w:val="20"/>
        </w:rPr>
        <w:t xml:space="preserve"> </w:t>
      </w:r>
      <w:r>
        <w:rPr>
          <w:rFonts w:ascii="仿宋_GB2312" w:hAnsi="仿宋_GB2312" w:cs="宋体" w:hint="eastAsia"/>
          <w:b/>
          <w:kern w:val="0"/>
          <w:szCs w:val="20"/>
        </w:rPr>
        <w:t xml:space="preserve"> </w:t>
      </w:r>
      <w:r>
        <w:rPr>
          <w:rFonts w:ascii="仿宋_GB2312" w:hAnsi="仿宋_GB2312" w:cs="宋体"/>
          <w:kern w:val="0"/>
          <w:szCs w:val="20"/>
        </w:rPr>
        <w:t>物流园、批发市场、游乐场等场地的经营管理单位应当与进场的特种设备使用单位签订安全管理协议，</w:t>
      </w:r>
      <w:r>
        <w:rPr>
          <w:rFonts w:ascii="仿宋_GB2312" w:hAnsi="仿宋_GB2312" w:cs="宋体" w:hint="eastAsia"/>
          <w:kern w:val="0"/>
          <w:szCs w:val="20"/>
        </w:rPr>
        <w:t>明确特种设备使用管理责任；未签订安全管理协议或者责任主体约定不明确的，由场地的经营管理单位承担使用管理责任</w:t>
      </w:r>
      <w:r>
        <w:rPr>
          <w:rFonts w:ascii="仿宋_GB2312" w:hAnsi="仿宋_GB2312" w:cs="宋体"/>
          <w:kern w:val="0"/>
          <w:szCs w:val="20"/>
        </w:rPr>
        <w:t>。</w:t>
      </w:r>
    </w:p>
    <w:p>
      <w:pPr>
        <w:pStyle w:val="Normal"/>
        <w:keepNext w:val="false"/>
        <w:keepLines w:val="false"/>
        <w:pageBreakBefore w:val="false"/>
        <w:kinsoku w:val="true"/>
        <w:overflowPunct w:val="true"/>
        <w:autoSpaceDE w:val="true"/>
        <w:bidi w:val="0"/>
        <w:snapToGrid w:val="true"/>
        <w:spacing w:lineRule="atLeast" w:line="300"/>
        <w:ind w:firstLineChars="224" w:startChars="0" w:start="0" w:endChars="0" w:end="0"/>
        <w:textAlignment w:val="auto"/>
        <w:rPr>
          <w:rFonts w:ascii="仿宋_GB2312" w:hAnsi="仿宋_GB2312" w:cs="宋体"/>
          <w:kern w:val="0"/>
          <w:szCs w:val="20"/>
        </w:rPr>
      </w:pPr>
      <w:r>
        <w:rPr>
          <w:rFonts w:ascii="仿宋_GB2312" w:hAnsi="仿宋_GB2312" w:cs="宋体"/>
          <w:kern w:val="0"/>
          <w:szCs w:val="20"/>
        </w:rPr>
        <w:t>场地的经营管理单位应当查验进场使用的特种设备的使用登记证、检验合格证以及作业人员资格证等</w:t>
      </w:r>
      <w:r>
        <w:rPr>
          <w:rFonts w:ascii="仿宋_GB2312" w:hAnsi="仿宋_GB2312" w:cs="宋体" w:hint="eastAsia"/>
          <w:kern w:val="0"/>
          <w:szCs w:val="20"/>
        </w:rPr>
        <w:t>证明</w:t>
      </w:r>
      <w:r>
        <w:rPr>
          <w:rFonts w:ascii="仿宋_GB2312" w:hAnsi="仿宋_GB2312" w:cs="宋体"/>
          <w:kern w:val="0"/>
          <w:szCs w:val="20"/>
        </w:rPr>
        <w:t>文件。证明文件不齐全的，场地</w:t>
      </w:r>
      <w:r>
        <w:rPr>
          <w:rFonts w:ascii="仿宋_GB2312" w:hAnsi="仿宋_GB2312" w:cs="宋体" w:hint="eastAsia"/>
          <w:kern w:val="0"/>
          <w:szCs w:val="20"/>
        </w:rPr>
        <w:t>的</w:t>
      </w:r>
      <w:r>
        <w:rPr>
          <w:rFonts w:ascii="仿宋_GB2312" w:hAnsi="仿宋_GB2312" w:cs="宋体"/>
          <w:kern w:val="0"/>
          <w:szCs w:val="20"/>
        </w:rPr>
        <w:t>经营管理单位不得允许进场使用。</w:t>
      </w:r>
    </w:p>
    <w:p>
      <w:pPr>
        <w:pStyle w:val="Normal"/>
        <w:keepNext w:val="false"/>
        <w:keepLines w:val="false"/>
        <w:pageBreakBefore w:val="false"/>
        <w:kinsoku w:val="true"/>
        <w:overflowPunct w:val="true"/>
        <w:autoSpaceDE w:val="true"/>
        <w:bidi w:val="0"/>
        <w:snapToGrid w:val="true"/>
        <w:spacing w:lineRule="atLeast" w:line="300"/>
        <w:ind w:firstLine="638" w:end="0"/>
        <w:textAlignment w:val="auto"/>
        <w:rPr>
          <w:rFonts w:ascii="仿宋_GB2312" w:hAnsi="仿宋_GB2312" w:cs="宋体"/>
          <w:kern w:val="0"/>
          <w:szCs w:val="20"/>
        </w:rPr>
      </w:pPr>
      <w:r>
        <w:rPr>
          <w:rFonts w:ascii="黑体" w:hAnsi="黑体" w:cs="宋体" w:eastAsia="黑体"/>
          <w:kern w:val="0"/>
          <w:szCs w:val="20"/>
        </w:rPr>
        <w:t>第二十</w:t>
      </w:r>
      <w:r>
        <w:rPr>
          <w:rFonts w:ascii="黑体" w:hAnsi="黑体" w:cs="宋体" w:hint="eastAsia" w:eastAsia="黑体"/>
          <w:kern w:val="0"/>
          <w:szCs w:val="20"/>
        </w:rPr>
        <w:t>一</w:t>
      </w:r>
      <w:r>
        <w:rPr>
          <w:rFonts w:ascii="黑体" w:hAnsi="黑体" w:cs="宋体" w:eastAsia="黑体"/>
          <w:kern w:val="0"/>
          <w:szCs w:val="20"/>
        </w:rPr>
        <w:t>条</w:t>
      </w:r>
      <w:r>
        <w:rPr>
          <w:rFonts w:ascii="黑体" w:hAnsi="黑体" w:cs="宋体" w:hint="eastAsia" w:eastAsia="黑体"/>
          <w:kern w:val="0"/>
          <w:szCs w:val="20"/>
        </w:rPr>
        <w:t xml:space="preserve">  </w:t>
      </w:r>
      <w:r>
        <w:rPr>
          <w:rFonts w:ascii="仿宋_GB2312" w:hAnsi="仿宋_GB2312" w:cs="宋体"/>
          <w:kern w:val="0"/>
          <w:szCs w:val="20"/>
        </w:rPr>
        <w:t>进口特种设备的，应当按照规定向市特种设备安全监督管理部门履行</w:t>
      </w:r>
      <w:r>
        <w:rPr>
          <w:rFonts w:ascii="仿宋_GB2312" w:hAnsi="仿宋_GB2312" w:cs="宋体" w:hint="eastAsia"/>
          <w:kern w:val="0"/>
          <w:szCs w:val="20"/>
        </w:rPr>
        <w:t>提前</w:t>
      </w:r>
      <w:r>
        <w:rPr>
          <w:rFonts w:ascii="仿宋_GB2312" w:hAnsi="仿宋_GB2312" w:cs="宋体"/>
          <w:kern w:val="0"/>
          <w:szCs w:val="20"/>
        </w:rPr>
        <w:t>告知义务。</w:t>
      </w:r>
    </w:p>
    <w:p>
      <w:pPr>
        <w:pStyle w:val="Normal"/>
        <w:keepNext w:val="false"/>
        <w:keepLines w:val="false"/>
        <w:pageBreakBefore w:val="false"/>
        <w:kinsoku w:val="true"/>
        <w:overflowPunct w:val="true"/>
        <w:autoSpaceDE w:val="true"/>
        <w:bidi w:val="0"/>
        <w:snapToGrid w:val="true"/>
        <w:spacing w:lineRule="atLeast" w:line="300"/>
        <w:ind w:firstLine="641" w:end="0"/>
        <w:textAlignment w:val="auto"/>
        <w:rPr>
          <w:rFonts w:ascii="仿宋_GB2312" w:hAnsi="仿宋_GB2312" w:cs="宋体" w:hint="eastAsia"/>
          <w:kern w:val="0"/>
          <w:szCs w:val="20"/>
        </w:rPr>
      </w:pPr>
      <w:r>
        <w:rPr>
          <w:rFonts w:ascii="黑体" w:hAnsi="黑体" w:cs="宋体" w:eastAsia="黑体"/>
          <w:kern w:val="0"/>
          <w:szCs w:val="20"/>
        </w:rPr>
        <w:t>第二十</w:t>
      </w:r>
      <w:r>
        <w:rPr>
          <w:rFonts w:ascii="黑体" w:hAnsi="黑体" w:cs="宋体" w:hint="eastAsia" w:eastAsia="黑体"/>
          <w:kern w:val="0"/>
          <w:szCs w:val="20"/>
        </w:rPr>
        <w:t>二</w:t>
      </w:r>
      <w:r>
        <w:rPr>
          <w:rFonts w:ascii="黑体" w:hAnsi="黑体" w:cs="宋体" w:eastAsia="黑体"/>
          <w:kern w:val="0"/>
          <w:szCs w:val="20"/>
        </w:rPr>
        <w:t>条</w:t>
      </w:r>
      <w:r>
        <w:rPr>
          <w:rFonts w:ascii="仿宋_GB2312" w:hAnsi="仿宋_GB2312" w:cs="宋体"/>
          <w:b/>
          <w:kern w:val="0"/>
          <w:szCs w:val="20"/>
        </w:rPr>
        <w:t xml:space="preserve">  </w:t>
      </w:r>
      <w:r>
        <w:rPr>
          <w:rFonts w:ascii="仿宋_GB2312" w:hAnsi="仿宋_GB2312" w:cs="宋体"/>
          <w:kern w:val="0"/>
          <w:szCs w:val="20"/>
        </w:rPr>
        <w:t>禁止销售、出租、出借、进口未</w:t>
      </w:r>
      <w:r>
        <w:rPr>
          <w:rFonts w:ascii="仿宋_GB2312" w:hAnsi="仿宋_GB2312" w:cs="宋体" w:hint="eastAsia"/>
          <w:kern w:val="0"/>
          <w:szCs w:val="20"/>
        </w:rPr>
        <w:t>经</w:t>
      </w:r>
      <w:r>
        <w:rPr>
          <w:rFonts w:ascii="仿宋_GB2312" w:hAnsi="仿宋_GB2312" w:cs="宋体"/>
          <w:kern w:val="0"/>
          <w:szCs w:val="20"/>
        </w:rPr>
        <w:t>许可生产、国家</w:t>
      </w:r>
      <w:r>
        <w:rPr>
          <w:rFonts w:ascii="仿宋_GB2312" w:hAnsi="仿宋_GB2312" w:cs="宋体" w:hint="eastAsia"/>
          <w:kern w:val="0"/>
          <w:szCs w:val="20"/>
        </w:rPr>
        <w:t>或者</w:t>
      </w:r>
      <w:r>
        <w:rPr>
          <w:rFonts w:ascii="仿宋_GB2312" w:hAnsi="仿宋_GB2312" w:cs="宋体"/>
          <w:kern w:val="0"/>
          <w:szCs w:val="20"/>
        </w:rPr>
        <w:t>本市明令淘汰</w:t>
      </w:r>
      <w:r>
        <w:rPr>
          <w:rFonts w:ascii="仿宋_GB2312" w:hAnsi="仿宋_GB2312" w:cs="宋体" w:hint="eastAsia"/>
          <w:kern w:val="0"/>
          <w:szCs w:val="20"/>
        </w:rPr>
        <w:t>、</w:t>
      </w:r>
      <w:r>
        <w:rPr>
          <w:rFonts w:ascii="仿宋_GB2312" w:hAnsi="仿宋_GB2312" w:cs="宋体"/>
          <w:kern w:val="0"/>
          <w:szCs w:val="20"/>
        </w:rPr>
        <w:t>已经报废</w:t>
      </w:r>
      <w:r>
        <w:rPr>
          <w:rFonts w:ascii="仿宋_GB2312" w:hAnsi="仿宋_GB2312" w:cs="宋体" w:hint="eastAsia"/>
          <w:kern w:val="0"/>
          <w:szCs w:val="20"/>
        </w:rPr>
        <w:t>、</w:t>
      </w:r>
      <w:r>
        <w:rPr>
          <w:rFonts w:ascii="仿宋_GB2312" w:hAnsi="仿宋_GB2312" w:cs="宋体"/>
          <w:kern w:val="0"/>
          <w:szCs w:val="20"/>
        </w:rPr>
        <w:t>未经检验或者检验不合格、相关技术资料和文件不齐全以及未按照安全技术规范的要求进行维护保养的特种设备。</w:t>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ascii="楷体_GB2312" w:hAnsi="楷体_GB2312" w:eastAsia="楷体_GB2312" w:cs="宋体" w:hint="eastAsia"/>
          <w:kern w:val="0"/>
          <w:szCs w:val="20"/>
        </w:rPr>
      </w:pPr>
      <w:r>
        <w:rPr>
          <w:rFonts w:eastAsia="楷体_GB2312" w:cs="宋体" w:hint="eastAsia" w:ascii="楷体_GB2312" w:hAnsi="楷体_GB2312"/>
          <w:kern w:val="0"/>
          <w:szCs w:val="20"/>
        </w:rPr>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ascii="楷体_GB2312" w:hAnsi="楷体_GB2312" w:eastAsia="楷体_GB2312" w:cs="宋体" w:hint="eastAsia"/>
          <w:kern w:val="0"/>
          <w:szCs w:val="20"/>
        </w:rPr>
      </w:pPr>
      <w:r>
        <w:rPr>
          <w:rFonts w:ascii="楷体_GB2312" w:hAnsi="楷体_GB2312" w:cs="宋体" w:hint="eastAsia" w:eastAsia="楷体_GB2312"/>
          <w:kern w:val="0"/>
          <w:szCs w:val="20"/>
        </w:rPr>
        <w:t>第三节  使  用</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黑体" w:hAnsi="黑体" w:eastAsia="黑体" w:cs="宋体" w:hint="eastAsia"/>
          <w:kern w:val="0"/>
          <w:szCs w:val="20"/>
        </w:rPr>
      </w:pPr>
      <w:r>
        <w:rPr>
          <w:rFonts w:ascii="黑体" w:hAnsi="黑体" w:cs="宋体" w:hint="eastAsia" w:eastAsia="黑体"/>
          <w:kern w:val="0"/>
          <w:szCs w:val="20"/>
        </w:rPr>
        <w:t xml:space="preserve">第二十三条 </w:t>
      </w:r>
      <w:r>
        <w:rPr>
          <w:rFonts w:ascii="仿宋_GB2312" w:hAnsi="仿宋_GB2312" w:cs="宋体" w:hint="eastAsia"/>
          <w:b/>
          <w:kern w:val="0"/>
          <w:szCs w:val="20"/>
        </w:rPr>
        <w:t xml:space="preserve"> </w:t>
      </w:r>
      <w:r>
        <w:rPr>
          <w:rFonts w:ascii="仿宋_GB2312" w:hAnsi="仿宋_GB2312" w:cs="宋体" w:hint="eastAsia"/>
          <w:kern w:val="0"/>
          <w:szCs w:val="20"/>
        </w:rPr>
        <w:t>特种设备使用单位按照下列规定确定</w:t>
      </w:r>
      <w:r>
        <w:rPr>
          <w:rFonts w:cs="宋体" w:hint="eastAsia" w:ascii="仿宋_GB2312" w:hAnsi="仿宋_GB2312"/>
          <w:kern w:val="0"/>
          <w:szCs w:val="20"/>
        </w:rPr>
        <w:t>:</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hint="eastAsia"/>
          <w:kern w:val="0"/>
          <w:szCs w:val="20"/>
        </w:rPr>
        <w:t>（一）自行管理的，所有权人为使用单位；</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hint="eastAsia"/>
          <w:kern w:val="0"/>
          <w:szCs w:val="20"/>
        </w:rPr>
        <w:t>（二）委托物业服务企业或者其他管理人管理的，受委托方为使用单位；</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hint="eastAsia"/>
          <w:kern w:val="0"/>
          <w:szCs w:val="20"/>
        </w:rPr>
        <w:t>（三）出租配有特种设备的场所的，可以约定使用单位，未作约定的，出租方为使用单位。</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hint="eastAsia"/>
          <w:kern w:val="0"/>
          <w:szCs w:val="20"/>
        </w:rPr>
        <w:t>特种设备属于所有权人共有且未委托他人管理的，共有人应当协商确定实际负责人承担具体管理工作。</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hint="eastAsia"/>
          <w:kern w:val="0"/>
          <w:szCs w:val="20"/>
        </w:rPr>
        <w:t>未确定使用单位或者实际负责人的，特种设备不得投入使用。</w:t>
      </w:r>
    </w:p>
    <w:p>
      <w:pPr>
        <w:pStyle w:val="Normal"/>
        <w:keepNext w:val="false"/>
        <w:keepLines w:val="false"/>
        <w:pageBreakBefore w:val="false"/>
        <w:kinsoku w:val="true"/>
        <w:overflowPunct w:val="true"/>
        <w:autoSpaceDE w:val="true"/>
        <w:bidi w:val="0"/>
        <w:snapToGrid w:val="true"/>
        <w:spacing w:lineRule="atLeast" w:line="300"/>
        <w:ind w:firstLine="626" w:end="0"/>
        <w:textAlignment w:val="auto"/>
        <w:rPr>
          <w:rFonts w:ascii="仿宋_GB2312" w:hAnsi="仿宋_GB2312" w:cs="宋体" w:hint="eastAsia"/>
          <w:kern w:val="0"/>
          <w:szCs w:val="20"/>
        </w:rPr>
      </w:pPr>
      <w:r>
        <w:rPr>
          <w:rFonts w:ascii="黑体" w:hAnsi="黑体" w:cs="宋体" w:hint="eastAsia" w:eastAsia="黑体"/>
          <w:kern w:val="0"/>
          <w:szCs w:val="20"/>
        </w:rPr>
        <w:t xml:space="preserve">第二十四条 </w:t>
      </w:r>
      <w:r>
        <w:rPr>
          <w:rFonts w:ascii="仿宋_GB2312" w:hAnsi="仿宋_GB2312" w:cs="宋体" w:hint="eastAsia"/>
          <w:b/>
          <w:kern w:val="0"/>
          <w:szCs w:val="20"/>
        </w:rPr>
        <w:t xml:space="preserve"> </w:t>
      </w:r>
      <w:r>
        <w:rPr>
          <w:rFonts w:ascii="仿宋_GB2312" w:hAnsi="仿宋_GB2312" w:cs="宋体" w:hint="eastAsia"/>
          <w:kern w:val="0"/>
          <w:szCs w:val="20"/>
        </w:rPr>
        <w:t xml:space="preserve">特种设备使用单位应当遵守下列规定： </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hint="eastAsia"/>
          <w:kern w:val="0"/>
          <w:szCs w:val="20"/>
        </w:rPr>
        <w:t>（一）不得使用未经许可生产的特种设备；</w:t>
      </w:r>
    </w:p>
    <w:p>
      <w:pPr>
        <w:pStyle w:val="Normal"/>
        <w:keepNext w:val="false"/>
        <w:keepLines w:val="false"/>
        <w:pageBreakBefore w:val="false"/>
        <w:tabs>
          <w:tab w:val="clear" w:pos="420"/>
          <w:tab w:val="right" w:pos="8844" w:leader="none"/>
        </w:tabs>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hint="eastAsia"/>
          <w:kern w:val="0"/>
          <w:szCs w:val="20"/>
        </w:rPr>
        <w:t>（二）不得使用未经检验或者检验不合格的特种设备；</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hint="eastAsia"/>
          <w:kern w:val="0"/>
          <w:szCs w:val="20"/>
        </w:rPr>
        <w:t>（三）不得超过允许工作参数、范围使用特种设备；</w:t>
      </w:r>
    </w:p>
    <w:p>
      <w:pPr>
        <w:pStyle w:val="Normal"/>
        <w:keepNext w:val="false"/>
        <w:keepLines w:val="false"/>
        <w:pageBreakBefore w:val="false"/>
        <w:kinsoku w:val="true"/>
        <w:overflowPunct w:val="true"/>
        <w:autoSpaceDE w:val="true"/>
        <w:bidi w:val="0"/>
        <w:snapToGrid w:val="true"/>
        <w:spacing w:lineRule="atLeast" w:line="300"/>
        <w:ind w:firstLine="636" w:end="0"/>
        <w:jc w:val="start"/>
        <w:textAlignment w:val="auto"/>
        <w:rPr>
          <w:rFonts w:ascii="仿宋_GB2312" w:hAnsi="仿宋_GB2312" w:cs="宋体"/>
          <w:kern w:val="0"/>
          <w:szCs w:val="20"/>
        </w:rPr>
      </w:pPr>
      <w:r>
        <w:rPr>
          <w:rFonts w:ascii="仿宋_GB2312" w:hAnsi="仿宋_GB2312" w:cs="宋体" w:hint="eastAsia"/>
          <w:kern w:val="0"/>
          <w:szCs w:val="20"/>
        </w:rPr>
        <w:t>（四）不得使用国家或者本市明令淘汰、已经报废的特种设备。</w:t>
      </w:r>
    </w:p>
    <w:p>
      <w:pPr>
        <w:pStyle w:val="Normal"/>
        <w:keepNext w:val="false"/>
        <w:keepLines w:val="false"/>
        <w:pageBreakBefore w:val="false"/>
        <w:kinsoku w:val="true"/>
        <w:overflowPunct w:val="true"/>
        <w:autoSpaceDE w:val="true"/>
        <w:bidi w:val="0"/>
        <w:snapToGrid w:val="true"/>
        <w:spacing w:lineRule="atLeast" w:line="300"/>
        <w:ind w:firstLine="626" w:end="0"/>
        <w:textAlignment w:val="auto"/>
        <w:rPr>
          <w:rFonts w:ascii="仿宋_GB2312" w:hAnsi="仿宋_GB2312" w:cs="宋体" w:hint="eastAsia"/>
          <w:kern w:val="0"/>
          <w:szCs w:val="20"/>
        </w:rPr>
      </w:pPr>
      <w:r>
        <w:rPr>
          <w:rFonts w:ascii="黑体" w:hAnsi="黑体" w:cs="宋体" w:hint="eastAsia" w:eastAsia="黑体"/>
          <w:kern w:val="0"/>
          <w:szCs w:val="20"/>
        </w:rPr>
        <w:t>第二十五条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特种设备使用单位在特种设备投入使用前，应当依法向特种设备安全监督管理部门提交相关资料，办理使用登记，取得使用登记证书；属于需要调试的成套设备或者机组的，使用单位可以自投入使用之日起三十日内办理使用登记手续。登记标志应当置于该特种设备的显著位置。</w:t>
      </w:r>
    </w:p>
    <w:p>
      <w:pPr>
        <w:pStyle w:val="Normal"/>
        <w:keepNext w:val="false"/>
        <w:keepLines w:val="false"/>
        <w:pageBreakBefore w:val="false"/>
        <w:kinsoku w:val="true"/>
        <w:overflowPunct w:val="true"/>
        <w:autoSpaceDE w:val="true"/>
        <w:bidi w:val="0"/>
        <w:snapToGrid w:val="true"/>
        <w:spacing w:lineRule="atLeast" w:line="300"/>
        <w:ind w:firstLine="636" w:end="0"/>
        <w:jc w:val="start"/>
        <w:textAlignment w:val="auto"/>
        <w:rPr>
          <w:rFonts w:ascii="仿宋_GB2312" w:hAnsi="仿宋_GB2312" w:cs="宋体"/>
          <w:kern w:val="0"/>
          <w:szCs w:val="20"/>
        </w:rPr>
      </w:pPr>
      <w:r>
        <w:rPr>
          <w:rFonts w:ascii="仿宋_GB2312" w:hAnsi="仿宋_GB2312" w:cs="宋体" w:hint="eastAsia"/>
          <w:kern w:val="0"/>
          <w:szCs w:val="20"/>
        </w:rPr>
        <w:t>按照安全技术规范规定需要变更使用登记的，使用单位应当到原登记部门办理变更登记手续。未办理变更登记手续的，不得继续使用。</w:t>
      </w:r>
    </w:p>
    <w:p>
      <w:pPr>
        <w:pStyle w:val="Normal"/>
        <w:keepNext w:val="false"/>
        <w:keepLines w:val="false"/>
        <w:pageBreakBefore w:val="false"/>
        <w:kinsoku w:val="true"/>
        <w:overflowPunct w:val="true"/>
        <w:autoSpaceDE w:val="true"/>
        <w:bidi w:val="0"/>
        <w:snapToGrid w:val="true"/>
        <w:spacing w:lineRule="atLeast" w:line="300"/>
        <w:ind w:firstLine="626" w:end="0"/>
        <w:textAlignment w:val="auto"/>
        <w:rPr>
          <w:rFonts w:ascii="仿宋_GB2312" w:hAnsi="仿宋_GB2312" w:cs="宋体" w:hint="eastAsia"/>
          <w:kern w:val="0"/>
        </w:rPr>
      </w:pPr>
      <w:r>
        <w:rPr>
          <w:rFonts w:ascii="黑体" w:hAnsi="黑体" w:cs="宋体" w:hint="eastAsia" w:eastAsia="黑体"/>
          <w:kern w:val="0"/>
          <w:szCs w:val="20"/>
        </w:rPr>
        <w:t xml:space="preserve">第二十六条 </w:t>
      </w:r>
      <w:r>
        <w:rPr>
          <w:rFonts w:ascii="仿宋_GB2312" w:hAnsi="仿宋_GB2312" w:cs="宋体" w:hint="eastAsia"/>
          <w:b/>
          <w:kern w:val="0"/>
          <w:szCs w:val="20"/>
        </w:rPr>
        <w:t xml:space="preserve"> </w:t>
      </w:r>
      <w:r>
        <w:rPr>
          <w:rFonts w:ascii="仿宋_GB2312" w:hAnsi="仿宋_GB2312" w:cs="宋体" w:hint="eastAsia"/>
          <w:kern w:val="0"/>
        </w:rPr>
        <w:t>使用单位停用特种设备，应当确保停用设备不危及人身、财产安全</w:t>
      </w:r>
      <w:r>
        <w:rPr>
          <w:rFonts w:cs="宋体" w:hint="eastAsia" w:ascii="仿宋_GB2312" w:hAnsi="仿宋_GB2312"/>
          <w:kern w:val="0"/>
        </w:rPr>
        <w:t>,</w:t>
      </w:r>
      <w:r>
        <w:rPr>
          <w:rFonts w:ascii="仿宋_GB2312" w:hAnsi="仿宋_GB2312" w:cs="宋体" w:hint="eastAsia"/>
          <w:kern w:val="0"/>
        </w:rPr>
        <w:t>并在显著位置设置停用标志。</w:t>
      </w:r>
    </w:p>
    <w:p>
      <w:pPr>
        <w:pStyle w:val="Normal"/>
        <w:keepNext w:val="false"/>
        <w:keepLines w:val="false"/>
        <w:pageBreakBefore w:val="false"/>
        <w:kinsoku w:val="true"/>
        <w:overflowPunct w:val="true"/>
        <w:autoSpaceDE w:val="true"/>
        <w:bidi w:val="0"/>
        <w:snapToGrid w:val="true"/>
        <w:spacing w:lineRule="atLeast" w:line="300"/>
        <w:ind w:firstLine="636" w:end="0"/>
        <w:jc w:val="start"/>
        <w:textAlignment w:val="auto"/>
        <w:rPr>
          <w:rFonts w:ascii="仿宋_GB2312" w:hAnsi="仿宋_GB2312" w:cs="宋体"/>
          <w:kern w:val="0"/>
        </w:rPr>
      </w:pPr>
      <w:r>
        <w:rPr>
          <w:rFonts w:ascii="仿宋_GB2312" w:hAnsi="仿宋_GB2312" w:cs="宋体" w:hint="eastAsia"/>
          <w:kern w:val="0"/>
        </w:rPr>
        <w:t>按照安全技术规范规定需要办理停用手续的，使用单位应当到原登记部门办理停用手续；重新启用的，使用单位应当到原登记部门办理启用手续。</w:t>
      </w:r>
    </w:p>
    <w:p>
      <w:pPr>
        <w:pStyle w:val="Normal"/>
        <w:keepNext w:val="false"/>
        <w:keepLines w:val="false"/>
        <w:pageBreakBefore w:val="false"/>
        <w:kinsoku w:val="true"/>
        <w:overflowPunct w:val="true"/>
        <w:autoSpaceDE w:val="true"/>
        <w:bidi w:val="0"/>
        <w:snapToGrid w:val="true"/>
        <w:spacing w:lineRule="atLeast" w:line="300"/>
        <w:ind w:firstLine="626" w:end="0"/>
        <w:textAlignment w:val="auto"/>
        <w:rPr>
          <w:rFonts w:ascii="仿宋_GB2312" w:hAnsi="仿宋_GB2312" w:cs="宋体"/>
          <w:kern w:val="0"/>
          <w:szCs w:val="20"/>
        </w:rPr>
      </w:pPr>
      <w:r>
        <w:rPr>
          <w:rFonts w:ascii="黑体" w:hAnsi="黑体" w:cs="宋体" w:hint="eastAsia" w:eastAsia="黑体"/>
          <w:kern w:val="0"/>
          <w:szCs w:val="20"/>
        </w:rPr>
        <w:t>第二十七条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特种设备使用单位的安全管理机构、安全管理人员以及作业人员应当履行法律、法规、规章和安全技术规范规定的安全使用职责，对不听制止或者不予纠正的违章指挥、强令冒险使用、违反操作规程等行为，应当及时向使用单位负责人报告，并记录在案。</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kern w:val="0"/>
          <w:szCs w:val="20"/>
        </w:rPr>
      </w:pPr>
      <w:r>
        <w:rPr>
          <w:rFonts w:ascii="仿宋_GB2312" w:hAnsi="仿宋_GB2312" w:cs="宋体" w:hint="eastAsia"/>
          <w:kern w:val="0"/>
          <w:szCs w:val="20"/>
        </w:rPr>
        <w:t>安全管理人员和作业人员有权对本单位违法使用特种设备的行为向特种设备安全监督管理部门举报。</w:t>
      </w:r>
    </w:p>
    <w:p>
      <w:pPr>
        <w:pStyle w:val="Normal"/>
        <w:keepNext w:val="false"/>
        <w:keepLines w:val="false"/>
        <w:pageBreakBefore w:val="false"/>
        <w:kinsoku w:val="true"/>
        <w:overflowPunct w:val="true"/>
        <w:autoSpaceDE w:val="true"/>
        <w:bidi w:val="0"/>
        <w:snapToGrid w:val="true"/>
        <w:spacing w:lineRule="atLeast" w:line="300"/>
        <w:ind w:firstLine="626" w:end="0"/>
        <w:textAlignment w:val="auto"/>
        <w:rPr>
          <w:rFonts w:ascii="仿宋_GB2312" w:hAnsi="仿宋_GB2312" w:cs="宋体" w:hint="eastAsia"/>
          <w:kern w:val="0"/>
          <w:szCs w:val="20"/>
        </w:rPr>
      </w:pPr>
      <w:r>
        <w:rPr>
          <w:rFonts w:ascii="黑体" w:hAnsi="黑体" w:cs="宋体" w:hint="eastAsia" w:eastAsia="黑体"/>
          <w:kern w:val="0"/>
          <w:szCs w:val="20"/>
        </w:rPr>
        <w:t xml:space="preserve">第二十八条  </w:t>
      </w:r>
      <w:r>
        <w:rPr>
          <w:rFonts w:ascii="仿宋_GB2312" w:hAnsi="仿宋_GB2312" w:cs="宋体" w:hint="eastAsia"/>
          <w:kern w:val="0"/>
          <w:szCs w:val="20"/>
        </w:rPr>
        <w:t>特种设备使用单位应当建立健全特种设备安全技术档案的收集、保管、查阅、交接等管理制度，鼓励采用信息化手段管理安全技术档案。</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hint="eastAsia"/>
          <w:kern w:val="0"/>
          <w:szCs w:val="20"/>
        </w:rPr>
        <w:t>特种设备使用单位变更的，原使用单位应当将安全技术档案完整移交给新的使用单位或者其他合法接收单位；未完整移交的，应当对特种设备安全承担相应责任。</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kern w:val="0"/>
          <w:szCs w:val="20"/>
        </w:rPr>
      </w:pPr>
      <w:r>
        <w:rPr>
          <w:rFonts w:ascii="仿宋_GB2312" w:hAnsi="仿宋_GB2312" w:cs="宋体" w:hint="eastAsia"/>
          <w:kern w:val="0"/>
          <w:szCs w:val="20"/>
        </w:rPr>
        <w:t>特种设备使用单位应当妥善保存安全技术档案至特种设备报废为止。法律、法规、规章和安全技术规范另有规定的，从其规定。</w:t>
      </w:r>
    </w:p>
    <w:p>
      <w:pPr>
        <w:pStyle w:val="Normal"/>
        <w:keepNext w:val="false"/>
        <w:keepLines w:val="false"/>
        <w:pageBreakBefore w:val="false"/>
        <w:kinsoku w:val="true"/>
        <w:overflowPunct w:val="true"/>
        <w:autoSpaceDE w:val="true"/>
        <w:bidi w:val="0"/>
        <w:snapToGrid w:val="true"/>
        <w:spacing w:lineRule="atLeast" w:line="300"/>
        <w:ind w:firstLine="638" w:end="0"/>
        <w:textAlignment w:val="auto"/>
        <w:rPr>
          <w:rFonts w:ascii="仿宋_GB2312" w:hAnsi="仿宋_GB2312" w:cs="宋体"/>
          <w:kern w:val="0"/>
          <w:szCs w:val="20"/>
        </w:rPr>
      </w:pPr>
      <w:r>
        <w:rPr>
          <w:rFonts w:ascii="黑体" w:hAnsi="黑体" w:cs="宋体" w:eastAsia="黑体"/>
          <w:kern w:val="0"/>
          <w:szCs w:val="20"/>
        </w:rPr>
        <w:t>第</w:t>
      </w:r>
      <w:r>
        <w:rPr>
          <w:rFonts w:ascii="黑体" w:hAnsi="黑体" w:cs="宋体" w:hint="eastAsia" w:eastAsia="黑体"/>
          <w:kern w:val="0"/>
          <w:szCs w:val="20"/>
        </w:rPr>
        <w:t>二十九</w:t>
      </w:r>
      <w:r>
        <w:rPr>
          <w:rFonts w:ascii="黑体" w:hAnsi="黑体" w:cs="宋体" w:eastAsia="黑体"/>
          <w:kern w:val="0"/>
          <w:szCs w:val="20"/>
        </w:rPr>
        <w:t>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kern w:val="0"/>
          <w:szCs w:val="20"/>
        </w:rPr>
        <w:t>特种设备使用单位应当对其使用的特种设备进行</w:t>
      </w:r>
      <w:r>
        <w:rPr>
          <w:rFonts w:ascii="仿宋_GB2312" w:hAnsi="仿宋_GB2312" w:cs="宋体" w:hint="eastAsia"/>
          <w:kern w:val="0"/>
          <w:szCs w:val="20"/>
        </w:rPr>
        <w:t>定期检</w:t>
      </w:r>
      <w:r>
        <w:rPr>
          <w:rFonts w:ascii="仿宋_GB2312" w:hAnsi="仿宋_GB2312" w:cs="宋体"/>
          <w:kern w:val="0"/>
          <w:szCs w:val="20"/>
        </w:rPr>
        <w:t>查，发现事故隐患应当立即</w:t>
      </w:r>
      <w:r>
        <w:rPr>
          <w:rFonts w:ascii="仿宋_GB2312" w:hAnsi="仿宋_GB2312" w:cs="宋体" w:hint="eastAsia"/>
          <w:kern w:val="0"/>
          <w:szCs w:val="20"/>
        </w:rPr>
        <w:t>停止使用，及时</w:t>
      </w:r>
      <w:r>
        <w:rPr>
          <w:rFonts w:ascii="仿宋_GB2312" w:hAnsi="仿宋_GB2312" w:cs="宋体"/>
          <w:kern w:val="0"/>
          <w:szCs w:val="20"/>
        </w:rPr>
        <w:t>采取措施消除</w:t>
      </w:r>
      <w:r>
        <w:rPr>
          <w:rFonts w:ascii="仿宋_GB2312" w:hAnsi="仿宋_GB2312" w:cs="宋体" w:hint="eastAsia"/>
          <w:kern w:val="0"/>
          <w:szCs w:val="20"/>
        </w:rPr>
        <w:t>隐患。隐患未消除的，不得继续使用。</w:t>
      </w:r>
      <w:r>
        <w:rPr>
          <w:rFonts w:ascii="仿宋_GB2312" w:hAnsi="仿宋_GB2312" w:cs="宋体"/>
          <w:kern w:val="0"/>
          <w:szCs w:val="20"/>
        </w:rPr>
        <w:t>发现严重事故隐患的，</w:t>
      </w:r>
      <w:r>
        <w:rPr>
          <w:rFonts w:ascii="仿宋_GB2312" w:hAnsi="仿宋_GB2312" w:cs="宋体" w:hint="eastAsia"/>
          <w:kern w:val="0"/>
          <w:szCs w:val="20"/>
        </w:rPr>
        <w:t>还</w:t>
      </w:r>
      <w:r>
        <w:rPr>
          <w:rFonts w:ascii="仿宋_GB2312" w:hAnsi="仿宋_GB2312" w:cs="宋体"/>
          <w:kern w:val="0"/>
          <w:szCs w:val="20"/>
        </w:rPr>
        <w:t>应当及时向区特种设备安全监督管理部门报告。接到严重事故隐患报告的区特种设备安全监督管理部门，应当及时依法</w:t>
      </w:r>
      <w:r>
        <w:rPr>
          <w:rFonts w:ascii="仿宋_GB2312" w:hAnsi="仿宋_GB2312" w:cs="宋体" w:hint="eastAsia"/>
          <w:kern w:val="0"/>
          <w:szCs w:val="20"/>
        </w:rPr>
        <w:t>处理</w:t>
      </w:r>
      <w:r>
        <w:rPr>
          <w:rFonts w:ascii="仿宋_GB2312" w:hAnsi="仿宋_GB2312" w:cs="宋体"/>
          <w:kern w:val="0"/>
          <w:szCs w:val="20"/>
        </w:rPr>
        <w:t>。</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kern w:val="0"/>
          <w:szCs w:val="20"/>
        </w:rPr>
      </w:pPr>
      <w:r>
        <w:rPr>
          <w:rFonts w:ascii="仿宋_GB2312" w:hAnsi="仿宋_GB2312" w:cs="宋体"/>
          <w:kern w:val="0"/>
          <w:szCs w:val="20"/>
        </w:rPr>
        <w:t>特种设备使用单位应当对</w:t>
      </w:r>
      <w:r>
        <w:rPr>
          <w:rFonts w:ascii="仿宋_GB2312" w:hAnsi="仿宋_GB2312" w:cs="宋体" w:hint="eastAsia"/>
          <w:kern w:val="0"/>
          <w:szCs w:val="20"/>
        </w:rPr>
        <w:t>定期检</w:t>
      </w:r>
      <w:r>
        <w:rPr>
          <w:rFonts w:ascii="仿宋_GB2312" w:hAnsi="仿宋_GB2312" w:cs="宋体"/>
          <w:kern w:val="0"/>
          <w:szCs w:val="20"/>
        </w:rPr>
        <w:t>查和隐患排除情况如实记录并存档。</w:t>
      </w:r>
    </w:p>
    <w:p>
      <w:pPr>
        <w:pStyle w:val="Normal"/>
        <w:keepNext w:val="false"/>
        <w:keepLines w:val="false"/>
        <w:pageBreakBefore w:val="false"/>
        <w:kinsoku w:val="true"/>
        <w:overflowPunct w:val="true"/>
        <w:autoSpaceDE w:val="true"/>
        <w:bidi w:val="0"/>
        <w:snapToGrid w:val="true"/>
        <w:spacing w:lineRule="atLeast" w:line="300"/>
        <w:ind w:firstLine="624" w:end="0"/>
        <w:textAlignment w:val="auto"/>
        <w:rPr>
          <w:rFonts w:ascii="仿宋_GB2312" w:hAnsi="仿宋_GB2312" w:cs="宋体" w:hint="eastAsia"/>
          <w:kern w:val="0"/>
          <w:szCs w:val="20"/>
        </w:rPr>
      </w:pPr>
      <w:r>
        <w:rPr>
          <w:rFonts w:ascii="黑体" w:hAnsi="黑体" w:cs="宋体" w:hint="eastAsia" w:eastAsia="黑体"/>
          <w:kern w:val="0"/>
          <w:szCs w:val="20"/>
        </w:rPr>
        <w:t>第三十条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特种设备使用单位应当按照有关安全技术规范、标准和使用维护保养说明的要求对设备进行日常维护保养，或者委托取得相应资质的单位维护保养。</w:t>
      </w:r>
    </w:p>
    <w:p>
      <w:pPr>
        <w:pStyle w:val="Normal"/>
        <w:keepNext w:val="false"/>
        <w:keepLines w:val="false"/>
        <w:pageBreakBefore w:val="false"/>
        <w:kinsoku w:val="true"/>
        <w:overflowPunct w:val="true"/>
        <w:autoSpaceDE w:val="true"/>
        <w:bidi w:val="0"/>
        <w:snapToGrid w:val="true"/>
        <w:spacing w:lineRule="atLeast" w:line="300"/>
        <w:ind w:firstLine="624" w:end="0"/>
        <w:textAlignment w:val="auto"/>
        <w:rPr>
          <w:rFonts w:ascii="仿宋_GB2312" w:hAnsi="仿宋_GB2312" w:cs="宋体"/>
          <w:kern w:val="0"/>
          <w:szCs w:val="20"/>
        </w:rPr>
      </w:pPr>
      <w:r>
        <w:rPr>
          <w:rFonts w:ascii="黑体" w:hAnsi="黑体" w:cs="宋体" w:hint="eastAsia" w:eastAsia="黑体"/>
          <w:kern w:val="0"/>
          <w:szCs w:val="20"/>
        </w:rPr>
        <w:t xml:space="preserve">第三十一条 </w:t>
      </w:r>
      <w:r>
        <w:rPr>
          <w:rFonts w:ascii="仿宋_GB2312" w:hAnsi="仿宋_GB2312" w:cs="宋体" w:hint="eastAsia"/>
          <w:b/>
          <w:kern w:val="0"/>
          <w:szCs w:val="20"/>
        </w:rPr>
        <w:t xml:space="preserve"> </w:t>
      </w:r>
      <w:r>
        <w:rPr>
          <w:rFonts w:ascii="仿宋_GB2312" w:hAnsi="仿宋_GB2312" w:cs="宋体" w:hint="eastAsia"/>
          <w:kern w:val="0"/>
          <w:szCs w:val="20"/>
        </w:rPr>
        <w:t>特种设备使用单位应当按照安全技术规范的要求，在特种设备检验合格有效期届满前一个月向特种设备检验机构提出定期检验要求。未经定期检验或者检验不合格的特种设备，不得继续使用。</w:t>
      </w:r>
    </w:p>
    <w:p>
      <w:pPr>
        <w:pStyle w:val="Normal"/>
        <w:keepNext w:val="false"/>
        <w:keepLines w:val="false"/>
        <w:pageBreakBefore w:val="false"/>
        <w:kinsoku w:val="true"/>
        <w:overflowPunct w:val="true"/>
        <w:autoSpaceDE w:val="true"/>
        <w:bidi w:val="0"/>
        <w:snapToGrid w:val="true"/>
        <w:spacing w:lineRule="atLeast" w:line="300"/>
        <w:ind w:firstLine="626" w:end="0"/>
        <w:textAlignment w:val="auto"/>
        <w:rPr>
          <w:rFonts w:ascii="仿宋_GB2312" w:hAnsi="仿宋_GB2312" w:cs="宋体" w:hint="eastAsia"/>
          <w:kern w:val="0"/>
          <w:szCs w:val="20"/>
        </w:rPr>
      </w:pPr>
      <w:r>
        <w:rPr>
          <w:rFonts w:ascii="黑体" w:hAnsi="黑体" w:cs="宋体" w:hint="eastAsia" w:eastAsia="黑体"/>
          <w:kern w:val="0"/>
          <w:szCs w:val="20"/>
        </w:rPr>
        <w:t>第三十二条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移动式压力容器、气瓶充装单位应当按照法律、法规、规章的规定和安全技术规范的要求，对移动式压力容器、气瓶进行充装活动，不得充装未经检验或者检验不合格的移动式压力容器、气瓶。</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hint="eastAsia"/>
          <w:kern w:val="0"/>
          <w:szCs w:val="20"/>
        </w:rPr>
        <w:t>气瓶充装单位应当使用气瓶信息化系统，按照有关规定在气瓶上设置条码、二维码或者射频标签等信息标识，不得充装没有信息标识的气瓶。</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hint="eastAsia"/>
          <w:kern w:val="0"/>
          <w:szCs w:val="20"/>
        </w:rPr>
      </w:pPr>
      <w:r>
        <w:rPr>
          <w:rFonts w:ascii="仿宋_GB2312" w:hAnsi="仿宋_GB2312" w:cs="宋体" w:hint="eastAsia"/>
          <w:kern w:val="0"/>
          <w:szCs w:val="20"/>
        </w:rPr>
        <w:t>气瓶检验机构应当将气瓶检验信息及时录入气瓶信息化系统。</w:t>
      </w:r>
    </w:p>
    <w:p>
      <w:pPr>
        <w:pStyle w:val="Normal"/>
        <w:keepNext w:val="false"/>
        <w:keepLines w:val="false"/>
        <w:pageBreakBefore w:val="false"/>
        <w:kinsoku w:val="true"/>
        <w:overflowPunct w:val="true"/>
        <w:autoSpaceDE w:val="true"/>
        <w:bidi w:val="0"/>
        <w:snapToGrid w:val="true"/>
        <w:spacing w:lineRule="atLeast" w:line="300"/>
        <w:ind w:firstLine="626" w:end="0"/>
        <w:textAlignment w:val="auto"/>
        <w:rPr>
          <w:rFonts w:ascii="仿宋_GB2312" w:hAnsi="仿宋_GB2312" w:cs="宋体" w:hint="eastAsia"/>
          <w:kern w:val="0"/>
          <w:szCs w:val="20"/>
        </w:rPr>
      </w:pPr>
      <w:r>
        <w:rPr>
          <w:rFonts w:ascii="黑体" w:hAnsi="黑体" w:cs="宋体" w:hint="eastAsia" w:eastAsia="黑体"/>
          <w:kern w:val="0"/>
          <w:szCs w:val="20"/>
        </w:rPr>
        <w:t xml:space="preserve">第三十三条 </w:t>
      </w:r>
      <w:r>
        <w:rPr>
          <w:rFonts w:ascii="仿宋_GB2312" w:hAnsi="仿宋_GB2312" w:cs="宋体" w:hint="eastAsia"/>
          <w:b/>
          <w:kern w:val="0"/>
          <w:szCs w:val="20"/>
        </w:rPr>
        <w:t xml:space="preserve"> </w:t>
      </w:r>
      <w:r>
        <w:rPr>
          <w:rFonts w:ascii="仿宋_GB2312" w:hAnsi="仿宋_GB2312" w:cs="宋体" w:hint="eastAsia"/>
          <w:kern w:val="0"/>
          <w:szCs w:val="20"/>
        </w:rPr>
        <w:t>特种设备有下列情形之一的应当报废：</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hint="eastAsia"/>
          <w:kern w:val="0"/>
          <w:szCs w:val="20"/>
        </w:rPr>
        <w:t>（一）存在严重事故隐患，无修理、改造价值的；</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hint="eastAsia"/>
          <w:kern w:val="0"/>
          <w:szCs w:val="20"/>
        </w:rPr>
        <w:t>（二）达到安全技术规范规定的报废条件的；</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hint="eastAsia"/>
          <w:kern w:val="0"/>
          <w:szCs w:val="20"/>
        </w:rPr>
        <w:t>（三）法律、法规、规章规定应当报废的其他情形。</w:t>
      </w:r>
    </w:p>
    <w:p>
      <w:pPr>
        <w:pStyle w:val="Normal"/>
        <w:keepNext w:val="false"/>
        <w:keepLines w:val="false"/>
        <w:pageBreakBefore w:val="false"/>
        <w:kinsoku w:val="true"/>
        <w:overflowPunct w:val="true"/>
        <w:autoSpaceDE w:val="true"/>
        <w:bidi w:val="0"/>
        <w:snapToGrid w:val="true"/>
        <w:spacing w:lineRule="atLeast" w:line="300"/>
        <w:ind w:firstLine="636" w:end="0"/>
        <w:jc w:val="start"/>
        <w:textAlignment w:val="auto"/>
        <w:rPr>
          <w:rFonts w:ascii="仿宋_GB2312" w:hAnsi="仿宋_GB2312" w:cs="宋体"/>
          <w:kern w:val="0"/>
          <w:szCs w:val="20"/>
        </w:rPr>
      </w:pPr>
      <w:r>
        <w:rPr>
          <w:rFonts w:ascii="仿宋_GB2312" w:hAnsi="仿宋_GB2312" w:cs="宋体" w:hint="eastAsia"/>
          <w:kern w:val="0"/>
          <w:szCs w:val="20"/>
        </w:rPr>
        <w:t>特种设备使用单位应当依法履行报废义务，采取必要措施消除该特种设备的使用功能，自报废之日起三十日内向原登记部门办理注销手续。特种设备的报废、销毁和回收等按照安全技术规范执行。</w:t>
      </w:r>
    </w:p>
    <w:p>
      <w:pPr>
        <w:pStyle w:val="Normal"/>
        <w:keepNext w:val="false"/>
        <w:keepLines w:val="false"/>
        <w:pageBreakBefore w:val="false"/>
        <w:kinsoku w:val="true"/>
        <w:overflowPunct w:val="true"/>
        <w:autoSpaceDE w:val="true"/>
        <w:bidi w:val="0"/>
        <w:snapToGrid w:val="true"/>
        <w:spacing w:lineRule="atLeast" w:line="300"/>
        <w:ind w:firstLine="624" w:end="0"/>
        <w:textAlignment w:val="auto"/>
        <w:rPr>
          <w:rFonts w:ascii="仿宋_GB2312" w:hAnsi="仿宋_GB2312" w:cs="宋体"/>
          <w:kern w:val="0"/>
          <w:szCs w:val="20"/>
        </w:rPr>
      </w:pPr>
      <w:r>
        <w:rPr>
          <w:rFonts w:ascii="黑体" w:hAnsi="黑体" w:cs="宋体" w:hint="eastAsia" w:eastAsia="黑体"/>
          <w:kern w:val="0"/>
          <w:szCs w:val="20"/>
        </w:rPr>
        <w:t xml:space="preserve">第三十四条 </w:t>
      </w:r>
      <w:r>
        <w:rPr>
          <w:rFonts w:ascii="黑体" w:hAnsi="黑体" w:cs="宋体" w:eastAsia="黑体"/>
          <w:kern w:val="0"/>
          <w:szCs w:val="20"/>
        </w:rPr>
        <w:t xml:space="preserve"> </w:t>
      </w:r>
      <w:r>
        <w:rPr>
          <w:rFonts w:ascii="仿宋_GB2312" w:hAnsi="仿宋_GB2312" w:cs="宋体" w:hint="eastAsia"/>
          <w:kern w:val="0"/>
          <w:szCs w:val="20"/>
        </w:rPr>
        <w:t>特种设备在使用过程中发生事故造成人身伤害的，使用单位应当及时救治，并垫付相关费用。事故责任认定后，使用单位可以依法对相关责任方进行追偿。</w:t>
      </w:r>
    </w:p>
    <w:p>
      <w:pPr>
        <w:pStyle w:val="Normal"/>
        <w:keepNext w:val="false"/>
        <w:keepLines w:val="false"/>
        <w:pageBreakBefore w:val="false"/>
        <w:kinsoku w:val="true"/>
        <w:overflowPunct w:val="true"/>
        <w:autoSpaceDE w:val="true"/>
        <w:bidi w:val="0"/>
        <w:snapToGrid w:val="true"/>
        <w:spacing w:lineRule="atLeast" w:line="300"/>
        <w:ind w:firstLine="626" w:end="0"/>
        <w:textAlignment w:val="auto"/>
        <w:rPr>
          <w:rFonts w:ascii="仿宋_GB2312" w:hAnsi="仿宋_GB2312" w:cs="宋体" w:hint="eastAsia"/>
          <w:kern w:val="0"/>
          <w:szCs w:val="20"/>
        </w:rPr>
      </w:pPr>
      <w:r>
        <w:rPr>
          <w:rFonts w:ascii="黑体" w:hAnsi="黑体" w:cs="宋体" w:hint="eastAsia" w:eastAsia="黑体"/>
          <w:kern w:val="0"/>
          <w:szCs w:val="20"/>
        </w:rPr>
        <w:t>第三十五条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学校、幼儿园以及医院、车站、机场、客运码头、商场、体育场馆、展览馆、公园、游乐场所等公众聚集场所的电梯，应当配备视频</w:t>
      </w:r>
      <w:hyperlink w:anchor="file%3A%2F%2F%2FC%3A\\view\\4340.htm" w:tgtFrame="_blank">
        <w:r>
          <w:rPr>
            <w:rStyle w:val="Hyperlink"/>
            <w:rFonts w:ascii="仿宋_GB2312" w:hAnsi="仿宋_GB2312" w:cs="宋体" w:hint="eastAsia"/>
            <w:kern w:val="0"/>
            <w:szCs w:val="20"/>
          </w:rPr>
          <w:t>监控</w:t>
        </w:r>
      </w:hyperlink>
      <w:r>
        <w:rPr>
          <w:rFonts w:ascii="仿宋_GB2312" w:hAnsi="仿宋_GB2312" w:cs="宋体" w:hint="eastAsia"/>
          <w:kern w:val="0"/>
          <w:szCs w:val="20"/>
        </w:rPr>
        <w:t>设施，并保证其正常运行。</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kern w:val="0"/>
          <w:szCs w:val="20"/>
        </w:rPr>
      </w:pPr>
      <w:r>
        <w:rPr>
          <w:rFonts w:ascii="仿宋_GB2312" w:hAnsi="仿宋_GB2312" w:cs="宋体" w:hint="eastAsia"/>
          <w:kern w:val="0"/>
          <w:szCs w:val="20"/>
        </w:rPr>
        <w:t>特种设备安全监督管理部门因监督管理需要对电梯实施监控或者安全预警的，电梯制造、使用和维护保养单位应当配合并提供必要的数据或者材料。</w:t>
      </w:r>
    </w:p>
    <w:p>
      <w:pPr>
        <w:pStyle w:val="Normal"/>
        <w:keepNext w:val="false"/>
        <w:keepLines w:val="false"/>
        <w:pageBreakBefore w:val="false"/>
        <w:kinsoku w:val="true"/>
        <w:overflowPunct w:val="true"/>
        <w:autoSpaceDE w:val="true"/>
        <w:bidi w:val="0"/>
        <w:snapToGrid w:val="true"/>
        <w:spacing w:lineRule="atLeast" w:line="300"/>
        <w:ind w:firstLine="785" w:end="0"/>
        <w:textAlignment w:val="auto"/>
        <w:rPr>
          <w:rFonts w:ascii="仿宋_GB2312" w:hAnsi="仿宋_GB2312" w:cs="宋体" w:hint="eastAsia"/>
          <w:kern w:val="0"/>
          <w:szCs w:val="20"/>
        </w:rPr>
      </w:pPr>
      <w:r>
        <w:rPr>
          <w:rFonts w:ascii="黑体" w:hAnsi="黑体" w:cs="宋体" w:hint="eastAsia" w:eastAsia="黑体"/>
          <w:kern w:val="0"/>
          <w:szCs w:val="20"/>
        </w:rPr>
        <w:t>第三十六条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电梯投入</w:t>
      </w:r>
      <w:r>
        <w:rPr>
          <w:rFonts w:ascii="仿宋_GB2312" w:hAnsi="仿宋_GB2312" w:cs="宋体"/>
          <w:kern w:val="0"/>
          <w:szCs w:val="20"/>
        </w:rPr>
        <w:t>使用后</w:t>
      </w:r>
      <w:r>
        <w:rPr>
          <w:rFonts w:ascii="仿宋_GB2312" w:hAnsi="仿宋_GB2312" w:cs="宋体" w:hint="eastAsia"/>
          <w:kern w:val="0"/>
          <w:szCs w:val="20"/>
        </w:rPr>
        <w:t>，电梯制造单位应当履行下列义务：</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hint="eastAsia"/>
          <w:kern w:val="0"/>
          <w:szCs w:val="20"/>
        </w:rPr>
        <w:t>（一）对其制造的电梯的安全运行情况进行跟踪调查和了解，并作出记录；</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hint="eastAsia"/>
          <w:kern w:val="0"/>
          <w:szCs w:val="20"/>
        </w:rPr>
        <w:t>（二）对电梯的维护保养单位或者使用单位在维护保养和安全运行方面存在的问题，提出改进建议，并提供技术升级、技术培训、技术资料和必需的电梯部件；</w:t>
      </w:r>
    </w:p>
    <w:p>
      <w:pPr>
        <w:pStyle w:val="Normal"/>
        <w:keepNext w:val="false"/>
        <w:keepLines w:val="false"/>
        <w:pageBreakBefore w:val="false"/>
        <w:kinsoku w:val="true"/>
        <w:overflowPunct w:val="true"/>
        <w:autoSpaceDE w:val="true"/>
        <w:bidi w:val="0"/>
        <w:snapToGrid w:val="true"/>
        <w:spacing w:lineRule="atLeast" w:line="300"/>
        <w:ind w:firstLine="636" w:end="0"/>
        <w:jc w:val="start"/>
        <w:textAlignment w:val="auto"/>
        <w:rPr>
          <w:rFonts w:ascii="仿宋_GB2312" w:hAnsi="仿宋_GB2312" w:cs="宋体"/>
          <w:kern w:val="0"/>
          <w:szCs w:val="20"/>
        </w:rPr>
      </w:pPr>
      <w:r>
        <w:rPr>
          <w:rFonts w:ascii="仿宋_GB2312" w:hAnsi="仿宋_GB2312" w:cs="宋体" w:hint="eastAsia"/>
          <w:kern w:val="0"/>
          <w:szCs w:val="20"/>
        </w:rPr>
        <w:t>（三）发现电梯存在严重事故隐患时，及时告知电梯使用单位和电梯所在地的区特种设备安全监督管理部门。</w:t>
      </w:r>
    </w:p>
    <w:p>
      <w:pPr>
        <w:pStyle w:val="Normal"/>
        <w:keepNext w:val="false"/>
        <w:keepLines w:val="false"/>
        <w:pageBreakBefore w:val="false"/>
        <w:kinsoku w:val="true"/>
        <w:overflowPunct w:val="true"/>
        <w:autoSpaceDE w:val="true"/>
        <w:bidi w:val="0"/>
        <w:snapToGrid w:val="true"/>
        <w:spacing w:lineRule="atLeast" w:line="300"/>
        <w:ind w:firstLine="785" w:end="0"/>
        <w:textAlignment w:val="auto"/>
        <w:rPr>
          <w:rFonts w:ascii="仿宋_GB2312" w:hAnsi="仿宋_GB2312" w:cs="宋体"/>
          <w:kern w:val="0"/>
          <w:szCs w:val="20"/>
        </w:rPr>
      </w:pPr>
      <w:r>
        <w:rPr>
          <w:rFonts w:ascii="黑体" w:hAnsi="黑体" w:cs="宋体" w:hint="eastAsia" w:eastAsia="黑体"/>
          <w:kern w:val="0"/>
          <w:szCs w:val="20"/>
        </w:rPr>
        <w:t xml:space="preserve">第三十七条  </w:t>
      </w:r>
      <w:r>
        <w:rPr>
          <w:rFonts w:ascii="仿宋_GB2312" w:hAnsi="仿宋_GB2312" w:cs="宋体" w:hint="eastAsia"/>
          <w:kern w:val="0"/>
          <w:szCs w:val="20"/>
        </w:rPr>
        <w:t>电梯使用单位应当保证其管理的电梯安全运行，并在电梯的显著位置公示下列信息：</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宋体"/>
          <w:kern w:val="0"/>
          <w:szCs w:val="20"/>
        </w:rPr>
      </w:pPr>
      <w:r>
        <w:rPr>
          <w:rFonts w:ascii="仿宋_GB2312" w:hAnsi="仿宋_GB2312" w:cs="宋体" w:hint="eastAsia"/>
          <w:kern w:val="0"/>
          <w:szCs w:val="20"/>
        </w:rPr>
        <w:t>（一）有效的电梯使用标志、安全注意事项和警示标志，以及应急救援电话；</w:t>
      </w:r>
      <w:r>
        <w:rPr>
          <w:rFonts w:ascii="仿宋_GB2312" w:hAnsi="仿宋_GB2312" w:cs="宋体"/>
          <w:kern w:val="0"/>
          <w:szCs w:val="20"/>
        </w:rPr>
        <w:t xml:space="preserve"> </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宋体"/>
          <w:kern w:val="0"/>
          <w:szCs w:val="20"/>
        </w:rPr>
      </w:pPr>
      <w:r>
        <w:rPr>
          <w:rFonts w:ascii="仿宋_GB2312" w:hAnsi="仿宋_GB2312" w:cs="宋体" w:hint="eastAsia"/>
          <w:kern w:val="0"/>
          <w:szCs w:val="20"/>
        </w:rPr>
        <w:t>（二）电梯安全管理人员、作业人员的基本信息；</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宋体"/>
          <w:kern w:val="0"/>
          <w:szCs w:val="20"/>
        </w:rPr>
      </w:pPr>
      <w:r>
        <w:rPr>
          <w:rFonts w:ascii="仿宋_GB2312" w:hAnsi="仿宋_GB2312" w:cs="宋体" w:hint="eastAsia"/>
          <w:kern w:val="0"/>
          <w:szCs w:val="20"/>
        </w:rPr>
        <w:t>（三）电梯维护保养的基本信息。</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黑体" w:hAnsi="黑体" w:eastAsia="黑体" w:cs="宋体" w:hint="eastAsia"/>
          <w:kern w:val="0"/>
          <w:szCs w:val="20"/>
        </w:rPr>
      </w:pPr>
      <w:r>
        <w:rPr>
          <w:rFonts w:ascii="黑体" w:hAnsi="黑体" w:cs="宋体" w:hint="eastAsia" w:eastAsia="黑体"/>
          <w:kern w:val="0"/>
          <w:szCs w:val="20"/>
        </w:rPr>
        <w:t>第三十八条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电梯的维护保养单位应当在维护保养中严格执行安全技术规范的要求，保证其维护保养电梯的安全性能。</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kern w:val="0"/>
          <w:szCs w:val="20"/>
        </w:rPr>
      </w:pPr>
      <w:r>
        <w:rPr>
          <w:rFonts w:ascii="仿宋_GB2312" w:hAnsi="仿宋_GB2312" w:cs="宋体" w:hint="eastAsia"/>
          <w:kern w:val="0"/>
          <w:szCs w:val="20"/>
        </w:rPr>
        <w:t>在本市从事电梯维护保养活动的单位应当具备电梯制造或者安装、改造、修理资质，并在本市设立办事场所。</w:t>
      </w:r>
    </w:p>
    <w:p>
      <w:pPr>
        <w:pStyle w:val="Normal"/>
        <w:keepNext w:val="false"/>
        <w:keepLines w:val="false"/>
        <w:pageBreakBefore w:val="false"/>
        <w:kinsoku w:val="true"/>
        <w:overflowPunct w:val="true"/>
        <w:autoSpaceDE w:val="true"/>
        <w:bidi w:val="0"/>
        <w:snapToGrid w:val="true"/>
        <w:spacing w:lineRule="atLeast" w:line="300"/>
        <w:ind w:firstLine="618" w:end="0"/>
        <w:textAlignment w:val="auto"/>
        <w:rPr>
          <w:rFonts w:ascii="仿宋_GB2312" w:hAnsi="仿宋_GB2312" w:cs="宋体" w:hint="eastAsia"/>
          <w:kern w:val="0"/>
          <w:szCs w:val="20"/>
        </w:rPr>
      </w:pPr>
      <w:r>
        <w:rPr>
          <w:rFonts w:ascii="黑体" w:hAnsi="黑体" w:cs="宋体" w:hint="eastAsia" w:eastAsia="黑体"/>
          <w:kern w:val="0"/>
          <w:szCs w:val="20"/>
        </w:rPr>
        <w:t xml:space="preserve">第三十九条  </w:t>
      </w:r>
      <w:r>
        <w:rPr>
          <w:rFonts w:ascii="仿宋_GB2312" w:hAnsi="仿宋_GB2312" w:cs="宋体" w:hint="eastAsia"/>
          <w:kern w:val="0"/>
          <w:szCs w:val="20"/>
        </w:rPr>
        <w:t>电梯发生一般等级以上事故的，使用单位应当委托安全评估机构实施安全评估。</w:t>
      </w:r>
    </w:p>
    <w:p>
      <w:pPr>
        <w:pStyle w:val="Normal"/>
        <w:keepNext w:val="false"/>
        <w:keepLines w:val="false"/>
        <w:pageBreakBefore w:val="false"/>
        <w:kinsoku w:val="true"/>
        <w:overflowPunct w:val="true"/>
        <w:autoSpaceDE w:val="true"/>
        <w:bidi w:val="0"/>
        <w:snapToGrid w:val="true"/>
        <w:spacing w:lineRule="atLeast" w:line="300"/>
        <w:ind w:firstLine="618" w:end="0"/>
        <w:textAlignment w:val="auto"/>
        <w:rPr>
          <w:rFonts w:ascii="仿宋_GB2312" w:hAnsi="仿宋_GB2312" w:cs="宋体"/>
          <w:kern w:val="0"/>
          <w:szCs w:val="20"/>
        </w:rPr>
      </w:pPr>
      <w:r>
        <w:rPr>
          <w:rFonts w:ascii="仿宋_GB2312" w:hAnsi="仿宋_GB2312" w:cs="宋体" w:hint="eastAsia"/>
          <w:kern w:val="0"/>
          <w:szCs w:val="20"/>
        </w:rPr>
        <w:t>所有权人、使用单位或者承租单位等认为有必要进行安全评估的，可以委托安全评估机构实施安全评估。</w:t>
      </w:r>
    </w:p>
    <w:p>
      <w:pPr>
        <w:pStyle w:val="Normal"/>
        <w:keepNext w:val="false"/>
        <w:keepLines w:val="false"/>
        <w:pageBreakBefore w:val="false"/>
        <w:kinsoku w:val="true"/>
        <w:overflowPunct w:val="true"/>
        <w:autoSpaceDE w:val="true"/>
        <w:bidi w:val="0"/>
        <w:snapToGrid w:val="true"/>
        <w:spacing w:lineRule="atLeast" w:line="300"/>
        <w:ind w:firstLineChars="224" w:startChars="0" w:start="0" w:endChars="0" w:end="0"/>
        <w:textAlignment w:val="auto"/>
        <w:rPr>
          <w:rFonts w:ascii="仿宋_GB2312" w:hAnsi="仿宋_GB2312" w:cs="宋体"/>
          <w:kern w:val="0"/>
          <w:szCs w:val="20"/>
        </w:rPr>
      </w:pPr>
      <w:r>
        <w:rPr>
          <w:rFonts w:ascii="黑体" w:hAnsi="黑体" w:cs="宋体" w:hint="eastAsia" w:eastAsia="黑体"/>
          <w:kern w:val="0"/>
          <w:szCs w:val="20"/>
        </w:rPr>
        <w:t xml:space="preserve">第四十条  </w:t>
      </w:r>
      <w:r>
        <w:rPr>
          <w:rFonts w:ascii="仿宋_GB2312" w:hAnsi="仿宋_GB2312" w:cs="宋体" w:hint="eastAsia"/>
          <w:kern w:val="0"/>
          <w:szCs w:val="20"/>
        </w:rPr>
        <w:t>公众乘坐或者操作电梯、客运索道、大型游乐设施，应当遵守安全使用说明和安全注意事项的要求，服从有关工作人员的管理和指挥；遇有运行不正常时，应当按照安全指引，有序撤离。</w:t>
      </w:r>
    </w:p>
    <w:p>
      <w:pPr>
        <w:pStyle w:val="Normal"/>
        <w:keepNext w:val="false"/>
        <w:keepLines w:val="false"/>
        <w:pageBreakBefore w:val="false"/>
        <w:kinsoku w:val="true"/>
        <w:overflowPunct w:val="true"/>
        <w:autoSpaceDE w:val="true"/>
        <w:bidi w:val="0"/>
        <w:snapToGrid w:val="true"/>
        <w:spacing w:lineRule="atLeast" w:line="300"/>
        <w:ind w:firstLineChars="224" w:startChars="0" w:start="0" w:endChars="0" w:end="0"/>
        <w:textAlignment w:val="auto"/>
        <w:rPr>
          <w:rFonts w:ascii="黑体" w:hAnsi="黑体" w:eastAsia="黑体" w:cs="宋体" w:hint="eastAsia"/>
          <w:kern w:val="0"/>
          <w:szCs w:val="20"/>
        </w:rPr>
      </w:pPr>
      <w:r>
        <w:rPr>
          <w:rFonts w:eastAsia="黑体" w:cs="宋体" w:hint="eastAsia" w:ascii="黑体" w:hAnsi="黑体"/>
          <w:kern w:val="0"/>
          <w:szCs w:val="20"/>
        </w:rPr>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宋体" w:hint="eastAsia"/>
          <w:kern w:val="0"/>
          <w:szCs w:val="20"/>
        </w:rPr>
      </w:pPr>
      <w:r>
        <w:rPr>
          <w:rFonts w:ascii="黑体" w:hAnsi="黑体" w:cs="宋体" w:hint="eastAsia" w:eastAsia="黑体"/>
          <w:kern w:val="0"/>
          <w:szCs w:val="20"/>
        </w:rPr>
        <w:t>第三章  检验、检测</w:t>
      </w:r>
    </w:p>
    <w:p>
      <w:pPr>
        <w:pStyle w:val="Normal"/>
        <w:keepNext w:val="false"/>
        <w:keepLines w:val="false"/>
        <w:pageBreakBefore w:val="false"/>
        <w:kinsoku w:val="true"/>
        <w:overflowPunct w:val="true"/>
        <w:autoSpaceDE w:val="true"/>
        <w:bidi w:val="0"/>
        <w:snapToGrid w:val="true"/>
        <w:spacing w:lineRule="atLeast" w:line="300"/>
        <w:ind w:firstLineChars="224" w:startChars="0" w:start="0" w:endChars="0" w:end="0"/>
        <w:textAlignment w:val="auto"/>
        <w:rPr>
          <w:rFonts w:ascii="仿宋_GB2312" w:hAnsi="仿宋_GB2312" w:cs="宋体" w:hint="eastAsia"/>
          <w:kern w:val="0"/>
          <w:szCs w:val="20"/>
        </w:rPr>
      </w:pPr>
      <w:r>
        <w:rPr>
          <w:rFonts w:ascii="黑体" w:hAnsi="黑体" w:cs="宋体" w:hint="eastAsia" w:eastAsia="黑体"/>
          <w:kern w:val="0"/>
          <w:szCs w:val="20"/>
        </w:rPr>
        <w:t>第四十一条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特种设备检验、检测机构及其检验、检测人员应当依法取得相应资质、资格，方可从事检验、检测工作，并</w:t>
      </w:r>
      <w:r>
        <w:rPr>
          <w:rFonts w:ascii="仿宋_GB2312" w:hAnsi="仿宋_GB2312" w:cs="宋体"/>
          <w:kern w:val="0"/>
          <w:szCs w:val="20"/>
        </w:rPr>
        <w:t>遵守</w:t>
      </w:r>
      <w:r>
        <w:rPr>
          <w:rFonts w:ascii="仿宋_GB2312" w:hAnsi="仿宋_GB2312" w:cs="宋体" w:hint="eastAsia"/>
          <w:kern w:val="0"/>
          <w:szCs w:val="20"/>
        </w:rPr>
        <w:t>下列规定</w:t>
      </w:r>
      <w:r>
        <w:rPr>
          <w:rFonts w:ascii="仿宋_GB2312" w:hAnsi="仿宋_GB2312" w:cs="宋体"/>
          <w:kern w:val="0"/>
          <w:szCs w:val="20"/>
        </w:rPr>
        <w:t>：</w:t>
      </w:r>
    </w:p>
    <w:p>
      <w:pPr>
        <w:pStyle w:val="Normal"/>
        <w:keepNext w:val="false"/>
        <w:keepLines w:val="false"/>
        <w:pageBreakBefore w:val="false"/>
        <w:kinsoku w:val="true"/>
        <w:overflowPunct w:val="true"/>
        <w:autoSpaceDE w:val="true"/>
        <w:bidi w:val="0"/>
        <w:snapToGrid w:val="true"/>
        <w:spacing w:lineRule="atLeast" w:line="300"/>
        <w:ind w:firstLine="624" w:end="0"/>
        <w:textAlignment w:val="auto"/>
        <w:rPr>
          <w:rFonts w:ascii="仿宋_GB2312" w:hAnsi="仿宋_GB2312" w:cs="宋体"/>
          <w:kern w:val="0"/>
          <w:szCs w:val="20"/>
        </w:rPr>
      </w:pPr>
      <w:r>
        <w:rPr>
          <w:rFonts w:ascii="仿宋_GB2312" w:hAnsi="仿宋_GB2312" w:cs="宋体" w:hint="eastAsia"/>
          <w:kern w:val="0"/>
          <w:szCs w:val="20"/>
        </w:rPr>
        <w:t>（一）依照法律、行政法规的规定和安全技术规范的要求进行检验、检测工作；</w:t>
      </w:r>
    </w:p>
    <w:p>
      <w:pPr>
        <w:pStyle w:val="Normal"/>
        <w:keepNext w:val="false"/>
        <w:keepLines w:val="false"/>
        <w:pageBreakBefore w:val="false"/>
        <w:kinsoku w:val="true"/>
        <w:overflowPunct w:val="true"/>
        <w:autoSpaceDE w:val="true"/>
        <w:bidi w:val="0"/>
        <w:snapToGrid w:val="true"/>
        <w:spacing w:lineRule="atLeast" w:line="300"/>
        <w:ind w:firstLine="624" w:end="0"/>
        <w:textAlignment w:val="auto"/>
        <w:rPr>
          <w:rFonts w:ascii="仿宋_GB2312" w:hAnsi="仿宋_GB2312" w:cs="宋体"/>
          <w:kern w:val="0"/>
          <w:szCs w:val="20"/>
        </w:rPr>
      </w:pPr>
      <w:r>
        <w:rPr>
          <w:rFonts w:ascii="仿宋_GB2312" w:hAnsi="仿宋_GB2312" w:cs="宋体" w:hint="eastAsia"/>
          <w:kern w:val="0"/>
          <w:szCs w:val="20"/>
        </w:rPr>
        <w:t>（二）在检验、检测中发现特种设备存在严重事故隐患的，及时告知相关单位，并立即向特种设备安全监督管理部门报告；</w:t>
      </w:r>
    </w:p>
    <w:p>
      <w:pPr>
        <w:pStyle w:val="Normal"/>
        <w:keepNext w:val="false"/>
        <w:keepLines w:val="false"/>
        <w:pageBreakBefore w:val="false"/>
        <w:kinsoku w:val="true"/>
        <w:overflowPunct w:val="true"/>
        <w:autoSpaceDE w:val="true"/>
        <w:bidi w:val="0"/>
        <w:snapToGrid w:val="true"/>
        <w:spacing w:lineRule="atLeast" w:line="300"/>
        <w:ind w:firstLine="624" w:end="0"/>
        <w:textAlignment w:val="auto"/>
        <w:rPr>
          <w:rFonts w:ascii="仿宋_GB2312" w:hAnsi="仿宋_GB2312" w:cs="宋体" w:hint="eastAsia"/>
          <w:kern w:val="0"/>
          <w:szCs w:val="20"/>
        </w:rPr>
      </w:pPr>
      <w:r>
        <w:rPr>
          <w:rFonts w:ascii="仿宋_GB2312" w:hAnsi="仿宋_GB2312" w:cs="宋体" w:hint="eastAsia"/>
          <w:kern w:val="0"/>
          <w:szCs w:val="20"/>
        </w:rPr>
        <w:t>（三）对检验、检测过程中知悉的商业秘密，负有保密义务；</w:t>
      </w:r>
    </w:p>
    <w:p>
      <w:pPr>
        <w:pStyle w:val="Normal"/>
        <w:keepNext w:val="false"/>
        <w:keepLines w:val="false"/>
        <w:pageBreakBefore w:val="false"/>
        <w:kinsoku w:val="true"/>
        <w:overflowPunct w:val="true"/>
        <w:autoSpaceDE w:val="true"/>
        <w:bidi w:val="0"/>
        <w:snapToGrid w:val="true"/>
        <w:spacing w:lineRule="atLeast" w:line="300"/>
        <w:ind w:firstLine="624" w:end="0"/>
        <w:textAlignment w:val="auto"/>
        <w:rPr>
          <w:rFonts w:ascii="仿宋_GB2312" w:hAnsi="仿宋_GB2312" w:cs="宋体"/>
          <w:kern w:val="0"/>
          <w:szCs w:val="20"/>
        </w:rPr>
      </w:pPr>
      <w:r>
        <w:rPr>
          <w:rFonts w:ascii="仿宋_GB2312" w:hAnsi="仿宋_GB2312" w:cs="宋体" w:hint="eastAsia"/>
          <w:kern w:val="0"/>
          <w:szCs w:val="20"/>
        </w:rPr>
        <w:t>（四）</w:t>
      </w:r>
      <w:r>
        <w:rPr>
          <w:rFonts w:ascii="仿宋_GB2312" w:hAnsi="仿宋_GB2312" w:cs="宋体"/>
          <w:kern w:val="0"/>
          <w:szCs w:val="20"/>
        </w:rPr>
        <w:t>不得从事有关特种设备的生产、经营活动，不得推荐或者监制、监销特种设备</w:t>
      </w:r>
      <w:r>
        <w:rPr>
          <w:rFonts w:ascii="仿宋_GB2312" w:hAnsi="仿宋_GB2312" w:cs="宋体" w:hint="eastAsia"/>
          <w:kern w:val="0"/>
          <w:szCs w:val="20"/>
        </w:rPr>
        <w:t>；</w:t>
      </w:r>
    </w:p>
    <w:p>
      <w:pPr>
        <w:pStyle w:val="Normal"/>
        <w:keepNext w:val="false"/>
        <w:keepLines w:val="false"/>
        <w:pageBreakBefore w:val="false"/>
        <w:kinsoku w:val="true"/>
        <w:overflowPunct w:val="true"/>
        <w:autoSpaceDE w:val="true"/>
        <w:bidi w:val="0"/>
        <w:snapToGrid w:val="true"/>
        <w:spacing w:lineRule="atLeast" w:line="300"/>
        <w:ind w:firstLineChars="224" w:startChars="0" w:start="0" w:endChars="0" w:end="0"/>
        <w:textAlignment w:val="auto"/>
        <w:rPr>
          <w:rFonts w:ascii="仿宋_GB2312" w:hAnsi="仿宋_GB2312" w:cs="宋体"/>
          <w:kern w:val="0"/>
          <w:szCs w:val="20"/>
        </w:rPr>
      </w:pPr>
      <w:r>
        <w:rPr>
          <w:rFonts w:ascii="仿宋_GB2312" w:hAnsi="仿宋_GB2312" w:cs="宋体" w:hint="eastAsia"/>
          <w:kern w:val="0"/>
          <w:szCs w:val="20"/>
        </w:rPr>
        <w:t>（五）客观、公正、及时地出具检验、检测报告，并对检验、检测结果和鉴定结论负责。</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kern w:val="0"/>
          <w:szCs w:val="20"/>
        </w:rPr>
      </w:pPr>
      <w:r>
        <w:rPr>
          <w:rFonts w:ascii="黑体" w:hAnsi="黑体" w:cs="宋体" w:hint="eastAsia" w:eastAsia="黑体"/>
          <w:kern w:val="0"/>
          <w:szCs w:val="20"/>
        </w:rPr>
        <w:t>第四十二条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受检单位应当履行下列义务</w:t>
      </w:r>
      <w:r>
        <w:rPr>
          <w:rFonts w:cs="宋体" w:hint="eastAsia" w:ascii="仿宋_GB2312" w:hAnsi="仿宋_GB2312"/>
          <w:kern w:val="0"/>
          <w:szCs w:val="20"/>
        </w:rPr>
        <w:t>:</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kern w:val="0"/>
          <w:szCs w:val="20"/>
        </w:rPr>
      </w:pPr>
      <w:r>
        <w:rPr>
          <w:rFonts w:ascii="仿宋_GB2312" w:hAnsi="仿宋_GB2312" w:cs="宋体" w:hint="eastAsia"/>
          <w:kern w:val="0"/>
          <w:szCs w:val="20"/>
        </w:rPr>
        <w:t>（一）做好检验前的准备工作，使特种设备处于适合的待检状态，提供安全的检验环境，并确定专人做好检验配合工作；</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hint="eastAsia"/>
          <w:kern w:val="0"/>
          <w:szCs w:val="20"/>
        </w:rPr>
      </w:pPr>
      <w:r>
        <w:rPr>
          <w:rFonts w:ascii="仿宋_GB2312" w:hAnsi="仿宋_GB2312" w:cs="宋体" w:hint="eastAsia"/>
          <w:kern w:val="0"/>
          <w:szCs w:val="20"/>
        </w:rPr>
        <w:t>（二）提供符合安全技术规范要求的有关资料和文件，并对其真实性、完整性和准确性负责；</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kern w:val="0"/>
          <w:szCs w:val="20"/>
        </w:rPr>
      </w:pPr>
      <w:r>
        <w:rPr>
          <w:rFonts w:ascii="仿宋_GB2312" w:hAnsi="仿宋_GB2312" w:cs="宋体" w:hint="eastAsia"/>
          <w:kern w:val="0"/>
          <w:szCs w:val="20"/>
        </w:rPr>
        <w:t>（三）对检验人员发现的缺陷和问题提出处理或者整改措施并且负责落实，及时向检验机构书面反馈处理或者整改情况，并且如实提供重大缺陷处理或者整改情况的资料。</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kern w:val="0"/>
          <w:szCs w:val="20"/>
        </w:rPr>
      </w:pPr>
      <w:r>
        <w:rPr>
          <w:rFonts w:ascii="黑体" w:hAnsi="黑体" w:cs="宋体" w:hint="eastAsia" w:eastAsia="黑体"/>
          <w:kern w:val="0"/>
          <w:szCs w:val="20"/>
        </w:rPr>
        <w:t xml:space="preserve">第四十三条 </w:t>
      </w:r>
      <w:r>
        <w:rPr>
          <w:rFonts w:ascii="仿宋_GB2312" w:hAnsi="仿宋_GB2312" w:cs="宋体" w:hint="eastAsia"/>
          <w:b/>
          <w:kern w:val="0"/>
          <w:szCs w:val="20"/>
        </w:rPr>
        <w:t xml:space="preserve"> </w:t>
      </w:r>
      <w:r>
        <w:rPr>
          <w:rFonts w:ascii="仿宋_GB2312" w:hAnsi="仿宋_GB2312" w:cs="宋体" w:hint="eastAsia"/>
          <w:kern w:val="0"/>
          <w:szCs w:val="20"/>
        </w:rPr>
        <w:t>检验、检测机构应当自受理检验、检测申请之日起十个工作日内与申请人约定实施检验、检测的日期；自现场检验、检测完成之日起两个工作日内出具检验、检测意见通知书，并在十个工作日内出具检验、检测报告。相关安全技术规范另有规定的，从其规定。</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宋体"/>
          <w:kern w:val="0"/>
          <w:szCs w:val="20"/>
        </w:rPr>
      </w:pPr>
      <w:r>
        <w:rPr>
          <w:rFonts w:ascii="黑体" w:hAnsi="黑体" w:cs="宋体" w:hint="eastAsia" w:eastAsia="黑体"/>
          <w:kern w:val="0"/>
          <w:szCs w:val="20"/>
        </w:rPr>
        <w:t>第四十四条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现场检验出现下列情形之一的，经检验机构负责人同意，检验人员可以中止检验：</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kern w:val="0"/>
          <w:szCs w:val="20"/>
        </w:rPr>
      </w:pPr>
      <w:r>
        <w:rPr>
          <w:rFonts w:ascii="仿宋_GB2312" w:hAnsi="仿宋_GB2312" w:cs="宋体" w:hint="eastAsia"/>
          <w:kern w:val="0"/>
          <w:szCs w:val="20"/>
        </w:rPr>
        <w:t>（一）受检单位准备工作不足，实施检验不能得出完整结论的；</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kern w:val="0"/>
          <w:szCs w:val="20"/>
        </w:rPr>
      </w:pPr>
      <w:r>
        <w:rPr>
          <w:rFonts w:ascii="仿宋_GB2312" w:hAnsi="仿宋_GB2312" w:cs="宋体" w:hint="eastAsia"/>
          <w:kern w:val="0"/>
          <w:szCs w:val="20"/>
        </w:rPr>
        <w:t>（二）现场不具备检验条件的；</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kern w:val="0"/>
          <w:szCs w:val="20"/>
        </w:rPr>
      </w:pPr>
      <w:r>
        <w:rPr>
          <w:rFonts w:ascii="仿宋_GB2312" w:hAnsi="仿宋_GB2312" w:cs="宋体" w:hint="eastAsia"/>
          <w:kern w:val="0"/>
          <w:szCs w:val="20"/>
        </w:rPr>
        <w:t>（三）开展检验可能危及检验人员或者他人安全或者健康的。</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kern w:val="0"/>
          <w:szCs w:val="20"/>
        </w:rPr>
      </w:pPr>
      <w:r>
        <w:rPr>
          <w:rFonts w:ascii="仿宋_GB2312" w:hAnsi="仿宋_GB2312" w:cs="宋体" w:hint="eastAsia"/>
          <w:kern w:val="0"/>
          <w:szCs w:val="20"/>
        </w:rPr>
        <w:t>检验人员中止检验，应当书面向受检单位说明原因。</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kern w:val="0"/>
          <w:szCs w:val="20"/>
        </w:rPr>
      </w:pPr>
      <w:r>
        <w:rPr>
          <w:rFonts w:ascii="仿宋_GB2312" w:hAnsi="仿宋_GB2312" w:cs="宋体" w:hint="eastAsia"/>
          <w:kern w:val="0"/>
          <w:szCs w:val="20"/>
        </w:rPr>
        <w:t>中止检验的情形消除后，检验机构应当继续检验。中止检验期间不计入检验期限。</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黑体" w:hAnsi="黑体" w:cs="宋体" w:hint="eastAsia" w:eastAsia="黑体"/>
          <w:kern w:val="0"/>
          <w:szCs w:val="20"/>
        </w:rPr>
        <w:t xml:space="preserve">第四十五条 </w:t>
      </w:r>
      <w:r>
        <w:rPr>
          <w:rFonts w:ascii="黑体" w:hAnsi="黑体" w:cs="宋体" w:eastAsia="黑体"/>
          <w:kern w:val="0"/>
          <w:szCs w:val="20"/>
        </w:rPr>
        <w:t xml:space="preserve"> </w:t>
      </w:r>
      <w:r>
        <w:rPr>
          <w:rFonts w:ascii="仿宋_GB2312" w:hAnsi="仿宋_GB2312" w:cs="宋体" w:hint="eastAsia"/>
          <w:kern w:val="0"/>
          <w:szCs w:val="20"/>
        </w:rPr>
        <w:t>受检单位对检验、检测结果有异议的，可以自收到检验、检测报告之日起十五个工作日内，以书面形式向检验、检测机构提出。检验、检测机构应当自收到书面异议之日起十五个工作日内对受检单位提出的异议予以书面答复。</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hint="eastAsia"/>
          <w:kern w:val="0"/>
          <w:szCs w:val="20"/>
        </w:rPr>
        <w:t>受检单位对检验、检测机构的答复仍有异议的，可以自收到答复之日起十五个工作日内，以书面形式向特种设备安全监督管理部门申诉。特种设备安全监督管理部门应当自收到申诉之日起十五个工作日内，另行组织检验、检测机构重新检验、检测或者组织专家对原检验、检测结果进行鉴定。</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hint="eastAsia"/>
          <w:kern w:val="0"/>
          <w:szCs w:val="20"/>
        </w:rPr>
        <w:t>上述检验、检测、鉴定费用，由提出异议的单位先行支付。重新检验、检测或者鉴定结论证明原检验、检测结果有误的，该费用由出具原检验、检测结果的检验、检测机构承担。</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hint="eastAsia"/>
          <w:kern w:val="0"/>
          <w:szCs w:val="20"/>
        </w:rPr>
        <w:t>在检验、检测结果异议和申诉期间，检验、检测结果仍然有效。</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cs="宋体" w:hint="eastAsia" w:ascii="仿宋_GB2312" w:hAnsi="仿宋_GB2312"/>
          <w:kern w:val="0"/>
          <w:szCs w:val="20"/>
        </w:rPr>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宋体" w:hint="eastAsia"/>
          <w:kern w:val="0"/>
          <w:szCs w:val="20"/>
        </w:rPr>
      </w:pPr>
      <w:r>
        <w:rPr>
          <w:rFonts w:ascii="黑体" w:hAnsi="黑体" w:cs="宋体" w:hint="eastAsia" w:eastAsia="黑体"/>
          <w:kern w:val="0"/>
          <w:szCs w:val="20"/>
        </w:rPr>
        <w:t>第四章  监督管理</w:t>
      </w:r>
    </w:p>
    <w:p>
      <w:pPr>
        <w:pStyle w:val="Normal"/>
        <w:keepNext w:val="false"/>
        <w:keepLines w:val="false"/>
        <w:pageBreakBefore w:val="false"/>
        <w:kinsoku w:val="true"/>
        <w:overflowPunct w:val="true"/>
        <w:autoSpaceDE w:val="true"/>
        <w:bidi w:val="0"/>
        <w:snapToGrid w:val="true"/>
        <w:spacing w:lineRule="atLeast" w:line="300"/>
        <w:ind w:firstLine="624" w:end="0"/>
        <w:textAlignment w:val="auto"/>
        <w:rPr>
          <w:rFonts w:ascii="黑体" w:hAnsi="黑体" w:eastAsia="黑体" w:cs="宋体"/>
          <w:kern w:val="0"/>
          <w:szCs w:val="20"/>
        </w:rPr>
      </w:pPr>
      <w:r>
        <w:rPr>
          <w:rFonts w:ascii="黑体" w:hAnsi="黑体" w:cs="宋体" w:eastAsia="黑体"/>
          <w:kern w:val="0"/>
          <w:szCs w:val="20"/>
        </w:rPr>
        <w:t>第</w:t>
      </w:r>
      <w:r>
        <w:rPr>
          <w:rFonts w:ascii="黑体" w:hAnsi="黑体" w:cs="宋体" w:hint="eastAsia" w:eastAsia="黑体"/>
          <w:kern w:val="0"/>
          <w:szCs w:val="20"/>
        </w:rPr>
        <w:t>四十六</w:t>
      </w:r>
      <w:r>
        <w:rPr>
          <w:rFonts w:ascii="黑体" w:hAnsi="黑体" w:cs="宋体" w:eastAsia="黑体"/>
          <w:kern w:val="0"/>
          <w:szCs w:val="20"/>
        </w:rPr>
        <w:t>条</w:t>
      </w:r>
      <w:r>
        <w:rPr>
          <w:rFonts w:ascii="黑体" w:hAnsi="黑体" w:cs="宋体" w:hint="eastAsia" w:eastAsia="黑体"/>
          <w:kern w:val="0"/>
          <w:szCs w:val="20"/>
        </w:rPr>
        <w:t xml:space="preserve">  </w:t>
      </w:r>
      <w:r>
        <w:rPr>
          <w:rFonts w:ascii="仿宋_GB2312" w:hAnsi="仿宋_GB2312" w:cs="宋体"/>
          <w:kern w:val="0"/>
          <w:szCs w:val="20"/>
        </w:rPr>
        <w:t>特种设备安全监督管理部门应当制定年度监督检查计划，对生产、经营、使用单位和检验、检测机构实施监督检查；对学校、幼儿园</w:t>
      </w:r>
      <w:r>
        <w:rPr>
          <w:rFonts w:ascii="仿宋_GB2312" w:hAnsi="仿宋_GB2312" w:cs="宋体" w:hint="eastAsia"/>
          <w:kern w:val="0"/>
          <w:szCs w:val="20"/>
        </w:rPr>
        <w:t>以及</w:t>
      </w:r>
      <w:r>
        <w:rPr>
          <w:rFonts w:ascii="仿宋_GB2312" w:hAnsi="仿宋_GB2312" w:cs="宋体"/>
          <w:kern w:val="0"/>
          <w:szCs w:val="20"/>
        </w:rPr>
        <w:t>医院、车站、机场、客运码头、商场、体育场馆、展览馆、公园</w:t>
      </w:r>
      <w:r>
        <w:rPr>
          <w:rFonts w:ascii="仿宋_GB2312" w:hAnsi="仿宋_GB2312" w:cs="宋体" w:hint="eastAsia"/>
          <w:kern w:val="0"/>
          <w:szCs w:val="20"/>
        </w:rPr>
        <w:t>、游乐场所</w:t>
      </w:r>
      <w:r>
        <w:rPr>
          <w:rFonts w:ascii="仿宋_GB2312" w:hAnsi="仿宋_GB2312" w:cs="宋体"/>
          <w:kern w:val="0"/>
          <w:szCs w:val="20"/>
        </w:rPr>
        <w:t xml:space="preserve">等公众聚集场所的特种设备，实施重点安全监督检查。 </w:t>
      </w:r>
    </w:p>
    <w:p>
      <w:pPr>
        <w:pStyle w:val="Normal"/>
        <w:keepNext w:val="false"/>
        <w:keepLines w:val="false"/>
        <w:pageBreakBefore w:val="false"/>
        <w:kinsoku w:val="true"/>
        <w:overflowPunct w:val="true"/>
        <w:autoSpaceDE w:val="true"/>
        <w:bidi w:val="0"/>
        <w:snapToGrid w:val="true"/>
        <w:spacing w:lineRule="atLeast" w:line="300"/>
        <w:ind w:firstLine="638" w:end="0"/>
        <w:textAlignment w:val="auto"/>
        <w:rPr>
          <w:rFonts w:ascii="仿宋_GB2312" w:hAnsi="仿宋_GB2312" w:cs="宋体"/>
          <w:kern w:val="0"/>
          <w:szCs w:val="20"/>
        </w:rPr>
      </w:pPr>
      <w:r>
        <w:rPr>
          <w:rFonts w:ascii="黑体" w:hAnsi="黑体" w:cs="宋体" w:hint="eastAsia" w:eastAsia="黑体"/>
          <w:kern w:val="0"/>
          <w:szCs w:val="20"/>
        </w:rPr>
        <w:t>第四十七条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特种设备安全监督管理部门发现违反特种设备有关法律、法规、规章、安全技术规范的行为或者特种设备存在事故隐患时，应当以书面形式发出特种设备安全监察指令，责令有关单位及时采取措施予以改正或者消除事故隐患。</w:t>
      </w:r>
    </w:p>
    <w:p>
      <w:pPr>
        <w:pStyle w:val="Normal"/>
        <w:keepNext w:val="false"/>
        <w:keepLines w:val="false"/>
        <w:pageBreakBefore w:val="false"/>
        <w:kinsoku w:val="true"/>
        <w:overflowPunct w:val="true"/>
        <w:autoSpaceDE w:val="true"/>
        <w:bidi w:val="0"/>
        <w:snapToGrid w:val="true"/>
        <w:spacing w:lineRule="atLeast" w:line="300"/>
        <w:ind w:firstLine="638" w:end="0"/>
        <w:textAlignment w:val="auto"/>
        <w:rPr>
          <w:rFonts w:ascii="仿宋_GB2312" w:hAnsi="仿宋_GB2312" w:cs="宋体" w:hint="eastAsia"/>
          <w:kern w:val="0"/>
          <w:szCs w:val="20"/>
        </w:rPr>
      </w:pPr>
      <w:r>
        <w:rPr>
          <w:rFonts w:ascii="仿宋_GB2312" w:hAnsi="仿宋_GB2312" w:cs="宋体" w:hint="eastAsia"/>
          <w:kern w:val="0"/>
          <w:szCs w:val="20"/>
        </w:rPr>
        <w:t>收到安全监察指令的单位应当及时改正违法行为或者消除事故隐患</w:t>
      </w:r>
      <w:r>
        <w:rPr>
          <w:rFonts w:cs="宋体" w:hint="eastAsia" w:ascii="仿宋_GB2312" w:hAnsi="仿宋_GB2312"/>
          <w:kern w:val="0"/>
          <w:szCs w:val="20"/>
        </w:rPr>
        <w:t>;</w:t>
      </w:r>
      <w:r>
        <w:rPr>
          <w:rFonts w:ascii="仿宋_GB2312" w:hAnsi="仿宋_GB2312" w:cs="宋体" w:hint="eastAsia"/>
          <w:kern w:val="0"/>
          <w:szCs w:val="20"/>
        </w:rPr>
        <w:t>拒不执行安全监察指令的，应当纳入相应的信用信息管理系统。</w:t>
      </w:r>
    </w:p>
    <w:p>
      <w:pPr>
        <w:pStyle w:val="Normal"/>
        <w:keepNext w:val="false"/>
        <w:keepLines w:val="false"/>
        <w:pageBreakBefore w:val="false"/>
        <w:kinsoku w:val="true"/>
        <w:overflowPunct w:val="true"/>
        <w:autoSpaceDE w:val="true"/>
        <w:bidi w:val="0"/>
        <w:snapToGrid w:val="true"/>
        <w:spacing w:lineRule="atLeast" w:line="300"/>
        <w:ind w:firstLine="638" w:end="0"/>
        <w:textAlignment w:val="auto"/>
        <w:rPr>
          <w:rFonts w:ascii="黑体" w:hAnsi="黑体" w:eastAsia="黑体" w:cs="宋体" w:hint="eastAsia"/>
          <w:kern w:val="0"/>
          <w:szCs w:val="20"/>
        </w:rPr>
      </w:pPr>
      <w:r>
        <w:rPr>
          <w:rFonts w:ascii="黑体" w:hAnsi="黑体" w:cs="宋体" w:hint="eastAsia" w:eastAsia="黑体"/>
          <w:kern w:val="0"/>
          <w:szCs w:val="20"/>
        </w:rPr>
        <w:t xml:space="preserve">第四十八条 </w:t>
      </w:r>
      <w:r>
        <w:rPr>
          <w:rFonts w:ascii="仿宋_GB2312" w:hAnsi="仿宋_GB2312" w:cs="宋体" w:hint="eastAsia"/>
          <w:kern w:val="0"/>
          <w:szCs w:val="20"/>
        </w:rPr>
        <w:t>特种设备安全监督管理部门在依法履职过程中，发现特种设备存在严重事故隐患的，应当责令有关单位立即停止使用该特种设备、采取措施消除事故隐患，并及时向上级特种设备安全监督管理部门报告。</w:t>
      </w:r>
    </w:p>
    <w:p>
      <w:pPr>
        <w:pStyle w:val="Normal"/>
        <w:keepNext w:val="false"/>
        <w:keepLines w:val="false"/>
        <w:pageBreakBefore w:val="false"/>
        <w:kinsoku w:val="true"/>
        <w:overflowPunct w:val="true"/>
        <w:autoSpaceDE w:val="true"/>
        <w:bidi w:val="0"/>
        <w:snapToGrid w:val="true"/>
        <w:spacing w:lineRule="atLeast" w:line="300"/>
        <w:ind w:firstLine="638" w:end="0"/>
        <w:textAlignment w:val="auto"/>
        <w:rPr>
          <w:rFonts w:ascii="仿宋_GB2312" w:hAnsi="仿宋_GB2312" w:cs="宋体" w:hint="eastAsia"/>
          <w:kern w:val="0"/>
          <w:szCs w:val="20"/>
        </w:rPr>
      </w:pPr>
      <w:r>
        <w:rPr>
          <w:rFonts w:ascii="黑体" w:hAnsi="黑体" w:cs="宋体" w:hint="eastAsia" w:eastAsia="黑体"/>
          <w:kern w:val="0"/>
          <w:szCs w:val="20"/>
        </w:rPr>
        <w:t xml:space="preserve">第四十九条 </w:t>
      </w:r>
      <w:r>
        <w:rPr>
          <w:rFonts w:ascii="黑体" w:hAnsi="黑体" w:cs="宋体" w:eastAsia="黑体"/>
          <w:kern w:val="0"/>
          <w:szCs w:val="20"/>
        </w:rPr>
        <w:t xml:space="preserve"> </w:t>
      </w:r>
      <w:r>
        <w:rPr>
          <w:rFonts w:ascii="仿宋_GB2312" w:hAnsi="仿宋_GB2312" w:cs="宋体" w:hint="eastAsia"/>
          <w:kern w:val="0"/>
          <w:szCs w:val="20"/>
        </w:rPr>
        <w:t>特种设备安全监督管理部门应当加强对特种设备行政许可获证单位的事中事后监管。事中事后监管可以采用抽查方式，抽查可以委托第三方进行。</w:t>
      </w:r>
    </w:p>
    <w:p>
      <w:pPr>
        <w:pStyle w:val="Normal"/>
        <w:keepNext w:val="false"/>
        <w:keepLines w:val="false"/>
        <w:pageBreakBefore w:val="false"/>
        <w:kinsoku w:val="true"/>
        <w:overflowPunct w:val="true"/>
        <w:autoSpaceDE w:val="true"/>
        <w:bidi w:val="0"/>
        <w:snapToGrid w:val="true"/>
        <w:spacing w:lineRule="atLeast" w:line="300"/>
        <w:ind w:firstLine="635" w:end="0"/>
        <w:textAlignment w:val="auto"/>
        <w:rPr>
          <w:rFonts w:ascii="仿宋_GB2312" w:hAnsi="仿宋_GB2312" w:cs="宋体" w:hint="eastAsia"/>
          <w:kern w:val="0"/>
          <w:szCs w:val="20"/>
        </w:rPr>
      </w:pPr>
      <w:r>
        <w:rPr>
          <w:rFonts w:ascii="仿宋_GB2312" w:hAnsi="仿宋_GB2312" w:cs="宋体" w:hint="eastAsia"/>
          <w:kern w:val="0"/>
          <w:szCs w:val="20"/>
        </w:rPr>
        <w:t>特种设备安全监督管理部门可以组织第三方对电梯维护保养质量进行评价，并向社会公布评价结果，接受社会监督</w:t>
      </w:r>
      <w:r>
        <w:rPr>
          <w:rFonts w:ascii="仿宋_GB2312" w:hAnsi="仿宋_GB2312" w:cs="宋体"/>
          <w:kern w:val="0"/>
          <w:szCs w:val="20"/>
        </w:rPr>
        <w:t>。</w:t>
      </w:r>
    </w:p>
    <w:p>
      <w:pPr>
        <w:pStyle w:val="Normal"/>
        <w:keepNext w:val="false"/>
        <w:keepLines w:val="false"/>
        <w:pageBreakBefore w:val="false"/>
        <w:kinsoku w:val="true"/>
        <w:overflowPunct w:val="true"/>
        <w:autoSpaceDE w:val="true"/>
        <w:bidi w:val="0"/>
        <w:snapToGrid w:val="true"/>
        <w:spacing w:lineRule="atLeast" w:line="300"/>
        <w:ind w:firstLineChars="196" w:startChars="0" w:start="0" w:endChars="0" w:end="0"/>
        <w:textAlignment w:val="auto"/>
        <w:rPr>
          <w:rFonts w:hint="eastAsia"/>
        </w:rPr>
      </w:pPr>
      <w:r>
        <w:rPr>
          <w:rFonts w:ascii="黑体" w:hAnsi="黑体" w:cs="宋体" w:hint="eastAsia" w:eastAsia="黑体"/>
          <w:kern w:val="0"/>
          <w:szCs w:val="20"/>
        </w:rPr>
        <w:t>第五十条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hint="eastAsia"/>
        </w:rPr>
        <w:t>特种设备安全监督管理部门应当将特种设备生产、经营、使用单位和检验、检测机构的违法行为信息纳入相应的信用信息管理系统。</w:t>
      </w:r>
    </w:p>
    <w:p>
      <w:pPr>
        <w:pStyle w:val="Normal"/>
        <w:keepNext w:val="false"/>
        <w:keepLines w:val="false"/>
        <w:pageBreakBefore w:val="false"/>
        <w:kinsoku w:val="true"/>
        <w:overflowPunct w:val="true"/>
        <w:autoSpaceDE w:val="true"/>
        <w:bidi w:val="0"/>
        <w:snapToGrid w:val="true"/>
        <w:spacing w:lineRule="atLeast" w:line="300"/>
        <w:ind w:firstLine="638" w:end="0"/>
        <w:textAlignment w:val="auto"/>
        <w:rPr>
          <w:rFonts w:ascii="仿宋_GB2312" w:hAnsi="仿宋_GB2312" w:cs="宋体"/>
          <w:kern w:val="0"/>
          <w:szCs w:val="20"/>
        </w:rPr>
      </w:pPr>
      <w:r>
        <w:rPr>
          <w:rFonts w:ascii="黑体" w:hAnsi="黑体" w:cs="宋体" w:hint="eastAsia" w:eastAsia="黑体"/>
          <w:kern w:val="0"/>
          <w:szCs w:val="20"/>
        </w:rPr>
        <w:t>第五十一条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特种设备安全监督管理部门接到涉及特种设备安全的举报或者投诉后，应当及时调查处理，并依据有关规定将调查处理结果及时告知举报人或者投诉人。</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kern w:val="0"/>
          <w:szCs w:val="20"/>
        </w:rPr>
      </w:pPr>
      <w:r>
        <w:rPr>
          <w:rFonts w:ascii="仿宋_GB2312" w:hAnsi="仿宋_GB2312" w:cs="宋体" w:hint="eastAsia"/>
          <w:kern w:val="0"/>
          <w:szCs w:val="20"/>
        </w:rPr>
        <w:t>特种设备安全监督管理部门应当公布举报、投诉电话和电子邮箱</w:t>
      </w:r>
      <w:r>
        <w:rPr>
          <w:rFonts w:ascii="仿宋_GB2312" w:hAnsi="仿宋_GB2312" w:cs="宋体"/>
          <w:kern w:val="0"/>
          <w:szCs w:val="20"/>
        </w:rPr>
        <w:t>。</w:t>
      </w:r>
    </w:p>
    <w:p>
      <w:pPr>
        <w:pStyle w:val="Normal"/>
        <w:keepNext w:val="false"/>
        <w:keepLines w:val="false"/>
        <w:pageBreakBefore w:val="false"/>
        <w:kinsoku w:val="true"/>
        <w:overflowPunct w:val="true"/>
        <w:autoSpaceDE w:val="true"/>
        <w:bidi w:val="0"/>
        <w:snapToGrid w:val="true"/>
        <w:spacing w:lineRule="atLeast" w:line="300"/>
        <w:ind w:firstLine="638" w:end="0"/>
        <w:textAlignment w:val="auto"/>
        <w:rPr>
          <w:rFonts w:ascii="仿宋_GB2312" w:hAnsi="仿宋_GB2312" w:cs="宋体"/>
          <w:kern w:val="0"/>
          <w:szCs w:val="20"/>
        </w:rPr>
      </w:pPr>
      <w:r>
        <w:rPr>
          <w:rFonts w:ascii="黑体" w:hAnsi="黑体" w:cs="宋体" w:hint="eastAsia" w:eastAsia="黑体"/>
          <w:kern w:val="0"/>
          <w:szCs w:val="20"/>
        </w:rPr>
        <w:t xml:space="preserve">第五十二条 </w:t>
      </w:r>
      <w:r>
        <w:rPr>
          <w:rFonts w:ascii="黑体" w:hAnsi="黑体" w:cs="宋体" w:eastAsia="黑体"/>
          <w:kern w:val="0"/>
          <w:szCs w:val="20"/>
        </w:rPr>
        <w:t xml:space="preserve"> </w:t>
      </w:r>
      <w:r>
        <w:rPr>
          <w:rFonts w:ascii="仿宋_GB2312" w:hAnsi="仿宋_GB2312" w:cs="宋体" w:hint="eastAsia"/>
          <w:kern w:val="0"/>
          <w:szCs w:val="20"/>
        </w:rPr>
        <w:t>特种设备安全监督管理部门可以聘任特种设备兼职安全监察员，协助开展安全监督管理工作。</w:t>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黑体"/>
          <w:kern w:val="0"/>
          <w:szCs w:val="20"/>
        </w:rPr>
      </w:pPr>
      <w:r>
        <w:rPr>
          <w:rFonts w:eastAsia="黑体" w:cs="黑体" w:ascii="黑体" w:hAnsi="黑体"/>
          <w:kern w:val="0"/>
          <w:szCs w:val="20"/>
        </w:rPr>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黑体" w:hint="eastAsia"/>
          <w:kern w:val="0"/>
        </w:rPr>
      </w:pPr>
      <w:r>
        <w:rPr>
          <w:rFonts w:ascii="黑体" w:hAnsi="黑体" w:cs="黑体" w:hint="eastAsia" w:eastAsia="黑体"/>
          <w:kern w:val="0"/>
        </w:rPr>
        <w:t>第五</w:t>
      </w:r>
      <w:r>
        <w:rPr>
          <w:rFonts w:ascii="黑体" w:hAnsi="黑体" w:cs="黑体" w:eastAsia="黑体"/>
          <w:kern w:val="0"/>
        </w:rPr>
        <w:t>章</w:t>
      </w:r>
      <w:r>
        <w:rPr>
          <w:rFonts w:ascii="黑体" w:hAnsi="黑体" w:cs="黑体" w:hint="eastAsia" w:eastAsia="黑体"/>
          <w:kern w:val="0"/>
        </w:rPr>
        <w:t>　事故</w:t>
      </w:r>
      <w:r>
        <w:rPr>
          <w:rFonts w:ascii="黑体" w:hAnsi="黑体" w:cs="黑体" w:eastAsia="黑体"/>
          <w:kern w:val="0"/>
        </w:rPr>
        <w:t>应急救援与调查处理</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kern w:val="0"/>
          <w:szCs w:val="20"/>
        </w:rPr>
      </w:pPr>
      <w:r>
        <w:rPr>
          <w:rFonts w:ascii="黑体" w:hAnsi="黑体" w:cs="宋体" w:eastAsia="黑体"/>
          <w:kern w:val="0"/>
          <w:szCs w:val="20"/>
        </w:rPr>
        <w:t>第</w:t>
      </w:r>
      <w:r>
        <w:rPr>
          <w:rFonts w:ascii="黑体" w:hAnsi="黑体" w:cs="宋体" w:hint="eastAsia" w:eastAsia="黑体"/>
          <w:kern w:val="0"/>
          <w:szCs w:val="20"/>
        </w:rPr>
        <w:t>五十三</w:t>
      </w:r>
      <w:r>
        <w:rPr>
          <w:rFonts w:ascii="黑体" w:hAnsi="黑体" w:cs="宋体" w:eastAsia="黑体"/>
          <w:kern w:val="0"/>
          <w:szCs w:val="20"/>
        </w:rPr>
        <w:t>条</w:t>
      </w:r>
      <w:r>
        <w:rPr>
          <w:rFonts w:ascii="黑体" w:hAnsi="黑体" w:cs="宋体" w:hint="eastAsia" w:eastAsia="黑体"/>
          <w:kern w:val="0"/>
          <w:szCs w:val="20"/>
        </w:rPr>
        <w:t xml:space="preserve">  </w:t>
      </w:r>
      <w:r>
        <w:rPr>
          <w:rFonts w:ascii="仿宋_GB2312" w:hAnsi="仿宋_GB2312" w:cs="宋体"/>
          <w:kern w:val="0"/>
          <w:szCs w:val="20"/>
        </w:rPr>
        <w:t>特种设备事故发生后，事故发生单位应当</w:t>
      </w:r>
      <w:r>
        <w:rPr>
          <w:rFonts w:ascii="仿宋_GB2312" w:hAnsi="仿宋_GB2312" w:cs="宋体" w:hint="eastAsia"/>
          <w:kern w:val="0"/>
          <w:szCs w:val="20"/>
        </w:rPr>
        <w:t>及时</w:t>
      </w:r>
      <w:r>
        <w:rPr>
          <w:rFonts w:ascii="仿宋_GB2312" w:hAnsi="仿宋_GB2312" w:cs="宋体"/>
          <w:kern w:val="0"/>
          <w:szCs w:val="20"/>
        </w:rPr>
        <w:t>处置，并</w:t>
      </w:r>
      <w:r>
        <w:rPr>
          <w:rFonts w:ascii="仿宋_GB2312" w:hAnsi="仿宋_GB2312" w:cs="宋体" w:hint="eastAsia"/>
          <w:kern w:val="0"/>
          <w:szCs w:val="20"/>
        </w:rPr>
        <w:t>同</w:t>
      </w:r>
      <w:r>
        <w:rPr>
          <w:rFonts w:ascii="仿宋_GB2312" w:hAnsi="仿宋_GB2312" w:cs="宋体"/>
          <w:kern w:val="0"/>
          <w:szCs w:val="20"/>
        </w:rPr>
        <w:t>时向事故发生地</w:t>
      </w:r>
      <w:r>
        <w:rPr>
          <w:rFonts w:ascii="仿宋_GB2312" w:hAnsi="仿宋_GB2312" w:cs="宋体" w:hint="eastAsia"/>
          <w:kern w:val="0"/>
          <w:szCs w:val="20"/>
        </w:rPr>
        <w:t>的</w:t>
      </w:r>
      <w:r>
        <w:rPr>
          <w:rFonts w:ascii="仿宋_GB2312" w:hAnsi="仿宋_GB2312" w:cs="宋体"/>
          <w:kern w:val="0"/>
          <w:szCs w:val="20"/>
        </w:rPr>
        <w:t xml:space="preserve">区特种设备安全监督管理部门和有关部门报告。 </w:t>
      </w:r>
    </w:p>
    <w:p>
      <w:pPr>
        <w:pStyle w:val="Normal"/>
        <w:keepNext w:val="false"/>
        <w:keepLines w:val="false"/>
        <w:pageBreakBefore w:val="false"/>
        <w:kinsoku w:val="true"/>
        <w:overflowPunct w:val="true"/>
        <w:autoSpaceDE w:val="true"/>
        <w:bidi w:val="0"/>
        <w:snapToGrid w:val="true"/>
        <w:spacing w:lineRule="atLeast" w:line="300"/>
        <w:ind w:firstLine="623" w:end="0"/>
        <w:textAlignment w:val="auto"/>
        <w:rPr>
          <w:rFonts w:ascii="仿宋_GB2312" w:hAnsi="仿宋_GB2312" w:cs="宋体"/>
          <w:kern w:val="0"/>
          <w:szCs w:val="20"/>
        </w:rPr>
      </w:pPr>
      <w:r>
        <w:rPr>
          <w:rFonts w:ascii="仿宋_GB2312" w:hAnsi="仿宋_GB2312" w:cs="宋体" w:hint="eastAsia"/>
          <w:kern w:val="0"/>
          <w:szCs w:val="20"/>
        </w:rPr>
        <w:t>事故相关单位和人员不得迟报、谎报或者瞒报事故情况，不得隐匿、毁灭有关证据或者故意破坏事故现场。</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黑体" w:hAnsi="黑体" w:cs="宋体" w:hint="eastAsia" w:eastAsia="黑体"/>
          <w:kern w:val="0"/>
          <w:szCs w:val="20"/>
        </w:rPr>
        <w:t xml:space="preserve">第五十四条  </w:t>
      </w:r>
      <w:r>
        <w:rPr>
          <w:rFonts w:ascii="仿宋_GB2312" w:hAnsi="仿宋_GB2312" w:cs="宋体" w:hint="eastAsia"/>
          <w:kern w:val="0"/>
          <w:szCs w:val="20"/>
        </w:rPr>
        <w:t>特种设备安全监督管理部门接到事故报告，应当尽快核实情况，立即向本级人民政府报告，并按照规定逐级上报。必要时，可以越级上报事故情况。</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仿宋_GB2312" w:hAnsi="仿宋_GB2312" w:cs="宋体"/>
          <w:kern w:val="0"/>
          <w:szCs w:val="20"/>
        </w:rPr>
        <w:t>事故发生地</w:t>
      </w:r>
      <w:r>
        <w:rPr>
          <w:rFonts w:ascii="仿宋_GB2312" w:hAnsi="仿宋_GB2312" w:cs="宋体" w:hint="eastAsia"/>
          <w:kern w:val="0"/>
          <w:szCs w:val="20"/>
        </w:rPr>
        <w:t>的区</w:t>
      </w:r>
      <w:r>
        <w:rPr>
          <w:rFonts w:ascii="仿宋_GB2312" w:hAnsi="仿宋_GB2312" w:cs="宋体"/>
          <w:kern w:val="0"/>
          <w:szCs w:val="20"/>
        </w:rPr>
        <w:t>人民政府负责组织本行政区域内有关部门做好事故救援、处置以及善后处理工作。</w:t>
      </w:r>
    </w:p>
    <w:p>
      <w:pPr>
        <w:pStyle w:val="Normal"/>
        <w:keepNext w:val="false"/>
        <w:keepLines w:val="false"/>
        <w:pageBreakBefore w:val="false"/>
        <w:kinsoku w:val="true"/>
        <w:overflowPunct w:val="true"/>
        <w:autoSpaceDE w:val="true"/>
        <w:bidi w:val="0"/>
        <w:snapToGrid w:val="true"/>
        <w:spacing w:lineRule="atLeast" w:line="300"/>
        <w:ind w:firstLine="623" w:end="0"/>
        <w:textAlignment w:val="auto"/>
        <w:rPr>
          <w:rFonts w:hint="eastAsia"/>
        </w:rPr>
      </w:pPr>
      <w:r>
        <w:rPr>
          <w:rFonts w:ascii="黑体" w:hAnsi="黑体" w:cs="黑体" w:hint="eastAsia" w:eastAsia="黑体"/>
        </w:rPr>
        <w:t>第五十五条</w:t>
      </w:r>
      <w:r>
        <w:rPr>
          <w:rFonts w:hint="eastAsia"/>
        </w:rPr>
        <w:t xml:space="preserve"> </w:t>
      </w:r>
      <w:r>
        <w:rPr/>
        <w:t xml:space="preserve"> </w:t>
      </w:r>
      <w:r>
        <w:rPr>
          <w:rFonts w:hint="eastAsia"/>
        </w:rPr>
        <w:t>特种设备发生较大事故，由市特种设备安全监督管理部门会同有关部门组织事故调查组进行调查；发生一般事故，由区特种设备安全监督管理部门会同有关部门组织事故调查组进行调查。</w:t>
      </w:r>
    </w:p>
    <w:p>
      <w:pPr>
        <w:pStyle w:val="Normal"/>
        <w:keepNext w:val="false"/>
        <w:keepLines w:val="false"/>
        <w:pageBreakBefore w:val="false"/>
        <w:kinsoku w:val="true"/>
        <w:overflowPunct w:val="true"/>
        <w:autoSpaceDE w:val="true"/>
        <w:bidi w:val="0"/>
        <w:snapToGrid w:val="true"/>
        <w:spacing w:lineRule="atLeast" w:line="300"/>
        <w:ind w:firstLine="638" w:end="0"/>
        <w:textAlignment w:val="auto"/>
        <w:rPr>
          <w:rFonts w:hint="eastAsia"/>
        </w:rPr>
      </w:pPr>
      <w:r>
        <w:rPr>
          <w:rFonts w:hint="eastAsia"/>
        </w:rPr>
        <w:t>事故调查报告应当经同级人民政府批复，并报上一级特种设备安全监督管理部门备案。</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宋体" w:hint="eastAsia"/>
          <w:kern w:val="0"/>
          <w:szCs w:val="20"/>
        </w:rPr>
      </w:pPr>
      <w:r>
        <w:rPr>
          <w:rFonts w:ascii="黑体" w:hAnsi="黑体" w:cs="宋体" w:hint="eastAsia" w:eastAsia="黑体"/>
          <w:kern w:val="0"/>
          <w:szCs w:val="20"/>
        </w:rPr>
        <w:t>第五十六条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特种设备存在严重事故隐患未及时消除，或者存在其他安全管理问题的，特种设备安全监督管理部门可以约谈有关单位主要负责人，要求其采取措施消除安全隐患。约谈情况应当形成记录。</w:t>
      </w:r>
    </w:p>
    <w:p>
      <w:pPr>
        <w:pStyle w:val="Normal"/>
        <w:keepNext w:val="false"/>
        <w:keepLines w:val="false"/>
        <w:pageBreakBefore w:val="false"/>
        <w:kinsoku w:val="true"/>
        <w:overflowPunct w:val="true"/>
        <w:autoSpaceDE w:val="true"/>
        <w:bidi w:val="0"/>
        <w:snapToGrid w:val="true"/>
        <w:spacing w:lineRule="atLeast" w:line="300"/>
        <w:textAlignment w:val="auto"/>
        <w:rPr>
          <w:rFonts w:ascii="黑体" w:hAnsi="黑体" w:eastAsia="黑体" w:cs="黑体" w:hint="eastAsia"/>
          <w:kern w:val="0"/>
          <w:szCs w:val="20"/>
        </w:rPr>
      </w:pPr>
      <w:r>
        <w:rPr>
          <w:rFonts w:eastAsia="黑体" w:cs="黑体" w:hint="eastAsia" w:ascii="黑体" w:hAnsi="黑体"/>
          <w:kern w:val="0"/>
          <w:szCs w:val="20"/>
        </w:rPr>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黑体" w:hint="eastAsia"/>
          <w:kern w:val="0"/>
        </w:rPr>
      </w:pPr>
      <w:r>
        <w:rPr>
          <w:rFonts w:ascii="黑体" w:hAnsi="黑体" w:cs="黑体" w:eastAsia="黑体"/>
          <w:kern w:val="0"/>
        </w:rPr>
        <w:t>第</w:t>
      </w:r>
      <w:r>
        <w:rPr>
          <w:rFonts w:ascii="黑体" w:hAnsi="黑体" w:cs="黑体" w:hint="eastAsia" w:eastAsia="黑体"/>
          <w:kern w:val="0"/>
        </w:rPr>
        <w:t>六</w:t>
      </w:r>
      <w:r>
        <w:rPr>
          <w:rFonts w:ascii="黑体" w:hAnsi="黑体" w:cs="黑体" w:eastAsia="黑体"/>
          <w:kern w:val="0"/>
        </w:rPr>
        <w:t>章</w:t>
      </w:r>
      <w:r>
        <w:rPr>
          <w:rFonts w:ascii="黑体" w:hAnsi="黑体" w:cs="黑体" w:hint="eastAsia" w:eastAsia="黑体"/>
          <w:kern w:val="0"/>
        </w:rPr>
        <w:t xml:space="preserve"> </w:t>
      </w:r>
      <w:r>
        <w:rPr>
          <w:rFonts w:ascii="黑体" w:hAnsi="黑体" w:cs="黑体" w:eastAsia="黑体"/>
          <w:kern w:val="0"/>
        </w:rPr>
        <w:t xml:space="preserve"> </w:t>
      </w:r>
      <w:r>
        <w:rPr>
          <w:rFonts w:ascii="黑体" w:hAnsi="黑体" w:cs="黑体" w:hint="eastAsia" w:eastAsia="黑体"/>
          <w:kern w:val="0"/>
        </w:rPr>
        <w:t>法律</w:t>
      </w:r>
      <w:r>
        <w:rPr>
          <w:rFonts w:ascii="黑体" w:hAnsi="黑体" w:cs="黑体" w:eastAsia="黑体"/>
          <w:kern w:val="0"/>
        </w:rPr>
        <w:t>责任</w:t>
      </w:r>
    </w:p>
    <w:p>
      <w:pPr>
        <w:pStyle w:val="Normal"/>
        <w:keepNext w:val="false"/>
        <w:keepLines w:val="false"/>
        <w:pageBreakBefore w:val="false"/>
        <w:kinsoku w:val="true"/>
        <w:overflowPunct w:val="true"/>
        <w:autoSpaceDE w:val="true"/>
        <w:bidi w:val="0"/>
        <w:snapToGrid w:val="true"/>
        <w:spacing w:lineRule="atLeast" w:line="300"/>
        <w:ind w:firstLine="638" w:end="0"/>
        <w:textAlignment w:val="auto"/>
        <w:rPr>
          <w:rFonts w:ascii="黑体" w:hAnsi="黑体" w:eastAsia="黑体" w:cs="宋体" w:hint="eastAsia"/>
          <w:kern w:val="0"/>
          <w:szCs w:val="20"/>
        </w:rPr>
      </w:pPr>
      <w:r>
        <w:rPr>
          <w:rFonts w:ascii="黑体" w:hAnsi="黑体" w:cs="宋体" w:hint="eastAsia" w:eastAsia="黑体"/>
          <w:kern w:val="0"/>
          <w:szCs w:val="20"/>
        </w:rPr>
        <w:t xml:space="preserve">第五十七条 </w:t>
      </w:r>
      <w:r>
        <w:rPr>
          <w:rFonts w:ascii="黑体" w:hAnsi="黑体" w:cs="宋体" w:eastAsia="黑体"/>
          <w:kern w:val="0"/>
          <w:szCs w:val="20"/>
        </w:rPr>
        <w:t xml:space="preserve"> </w:t>
      </w:r>
      <w:r>
        <w:rPr>
          <w:rFonts w:ascii="仿宋_GB2312" w:hAnsi="仿宋_GB2312" w:cs="宋体" w:hint="eastAsia"/>
          <w:kern w:val="0"/>
          <w:szCs w:val="20"/>
        </w:rPr>
        <w:t>违反本条例规定的</w:t>
      </w:r>
      <w:r>
        <w:rPr>
          <w:rFonts w:ascii="仿宋_GB2312" w:hAnsi="仿宋_GB2312" w:cs="宋体"/>
          <w:kern w:val="0"/>
          <w:szCs w:val="20"/>
        </w:rPr>
        <w:t>行为</w:t>
      </w:r>
      <w:r>
        <w:rPr>
          <w:rFonts w:ascii="仿宋_GB2312" w:hAnsi="仿宋_GB2312" w:cs="宋体" w:hint="eastAsia"/>
          <w:kern w:val="0"/>
          <w:szCs w:val="20"/>
        </w:rPr>
        <w:t>，法律、行政法规已有处罚规定的，从其规定。</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宋体"/>
          <w:kern w:val="0"/>
          <w:szCs w:val="20"/>
        </w:rPr>
      </w:pPr>
      <w:r>
        <w:rPr>
          <w:rFonts w:ascii="黑体" w:hAnsi="黑体" w:cs="宋体" w:hint="eastAsia" w:eastAsia="黑体"/>
          <w:kern w:val="0"/>
          <w:szCs w:val="20"/>
        </w:rPr>
        <w:t xml:space="preserve">第五十八条  </w:t>
      </w:r>
      <w:r>
        <w:rPr>
          <w:rFonts w:ascii="仿宋_GB2312" w:hAnsi="仿宋_GB2312" w:cs="宋体"/>
          <w:kern w:val="0"/>
          <w:szCs w:val="20"/>
        </w:rPr>
        <w:t>违反本条例规定，特种设备安全监督管理部门及其工作人员有下</w:t>
      </w:r>
      <w:r>
        <w:rPr>
          <w:rFonts w:ascii="仿宋_GB2312" w:hAnsi="仿宋_GB2312" w:cs="宋体" w:hint="eastAsia"/>
          <w:kern w:val="0"/>
          <w:szCs w:val="20"/>
        </w:rPr>
        <w:t>列</w:t>
      </w:r>
      <w:r>
        <w:rPr>
          <w:rFonts w:ascii="仿宋_GB2312" w:hAnsi="仿宋_GB2312" w:cs="宋体"/>
          <w:kern w:val="0"/>
          <w:szCs w:val="20"/>
        </w:rPr>
        <w:t>情形之一的，对直接负责的主管人员和其他直接责任人员，依法给予处分</w:t>
      </w:r>
      <w:r>
        <w:rPr>
          <w:rFonts w:ascii="仿宋_GB2312" w:hAnsi="仿宋_GB2312" w:cs="宋体" w:hint="eastAsia"/>
          <w:kern w:val="0"/>
          <w:szCs w:val="20"/>
        </w:rPr>
        <w:t>；构成犯罪的，依法追究刑事责任</w:t>
      </w:r>
      <w:r>
        <w:rPr>
          <w:rFonts w:ascii="仿宋_GB2312" w:hAnsi="仿宋_GB2312" w:cs="宋体"/>
          <w:kern w:val="0"/>
          <w:szCs w:val="20"/>
        </w:rPr>
        <w:t>：　　</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宋体"/>
          <w:kern w:val="0"/>
          <w:szCs w:val="20"/>
        </w:rPr>
      </w:pPr>
      <w:r>
        <w:rPr>
          <w:rFonts w:ascii="仿宋_GB2312" w:hAnsi="仿宋_GB2312" w:cs="宋体"/>
          <w:kern w:val="0"/>
          <w:szCs w:val="20"/>
        </w:rPr>
        <w:t>（一）未依法实施行政许可的；</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宋体"/>
          <w:kern w:val="0"/>
          <w:szCs w:val="20"/>
        </w:rPr>
      </w:pPr>
      <w:r>
        <w:rPr>
          <w:rFonts w:ascii="仿宋_GB2312" w:hAnsi="仿宋_GB2312" w:cs="宋体"/>
          <w:kern w:val="0"/>
          <w:szCs w:val="20"/>
        </w:rPr>
        <w:t>（二）发现违法行为未按照规定查处的；　　</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宋体"/>
          <w:kern w:val="0"/>
          <w:szCs w:val="20"/>
        </w:rPr>
      </w:pPr>
      <w:r>
        <w:rPr>
          <w:rFonts w:ascii="仿宋_GB2312" w:hAnsi="仿宋_GB2312" w:cs="宋体"/>
          <w:kern w:val="0"/>
          <w:szCs w:val="20"/>
        </w:rPr>
        <w:t>（三）</w:t>
      </w:r>
      <w:r>
        <w:rPr>
          <w:rFonts w:ascii="仿宋_GB2312" w:hAnsi="仿宋_GB2312" w:cs="宋体" w:hint="eastAsia"/>
          <w:kern w:val="0"/>
          <w:szCs w:val="20"/>
        </w:rPr>
        <w:t>接到特种设备事故报告未立即向本级人民政府报告，并按照规定上报的</w:t>
      </w:r>
      <w:r>
        <w:rPr>
          <w:rFonts w:ascii="仿宋_GB2312" w:hAnsi="仿宋_GB2312" w:cs="宋体"/>
          <w:kern w:val="0"/>
          <w:szCs w:val="20"/>
        </w:rPr>
        <w:t>；　　</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宋体"/>
          <w:kern w:val="0"/>
          <w:szCs w:val="20"/>
        </w:rPr>
      </w:pPr>
      <w:r>
        <w:rPr>
          <w:rFonts w:ascii="仿宋_GB2312" w:hAnsi="仿宋_GB2312" w:cs="宋体"/>
          <w:kern w:val="0"/>
          <w:szCs w:val="20"/>
        </w:rPr>
        <w:t>（四）接到投诉</w:t>
      </w:r>
      <w:r>
        <w:rPr>
          <w:rFonts w:ascii="仿宋_GB2312" w:hAnsi="仿宋_GB2312" w:cs="宋体" w:hint="eastAsia"/>
          <w:kern w:val="0"/>
          <w:szCs w:val="20"/>
        </w:rPr>
        <w:t>或者</w:t>
      </w:r>
      <w:r>
        <w:rPr>
          <w:rFonts w:ascii="仿宋_GB2312" w:hAnsi="仿宋_GB2312" w:cs="宋体"/>
          <w:kern w:val="0"/>
          <w:szCs w:val="20"/>
        </w:rPr>
        <w:t>举报未按照规定及时处理的；　　</w:t>
      </w:r>
    </w:p>
    <w:p>
      <w:pPr>
        <w:pStyle w:val="Normal"/>
        <w:keepNext w:val="false"/>
        <w:keepLines w:val="false"/>
        <w:pageBreakBefore w:val="false"/>
        <w:kinsoku w:val="true"/>
        <w:overflowPunct w:val="true"/>
        <w:autoSpaceDE w:val="true"/>
        <w:bidi w:val="0"/>
        <w:snapToGrid w:val="true"/>
        <w:spacing w:lineRule="atLeast" w:line="300"/>
        <w:ind w:firstLine="641" w:end="0"/>
        <w:textAlignment w:val="auto"/>
        <w:rPr>
          <w:rFonts w:ascii="黑体" w:hAnsi="黑体" w:eastAsia="黑体" w:cs="宋体"/>
          <w:kern w:val="0"/>
          <w:szCs w:val="20"/>
        </w:rPr>
      </w:pPr>
      <w:r>
        <w:rPr>
          <w:rFonts w:ascii="仿宋_GB2312" w:hAnsi="仿宋_GB2312" w:cs="宋体"/>
          <w:kern w:val="0"/>
          <w:szCs w:val="20"/>
        </w:rPr>
        <w:t>（五）其他滥用职权、玩忽职守、徇私舞弊的行为。</w:t>
      </w:r>
    </w:p>
    <w:p>
      <w:pPr>
        <w:pStyle w:val="Normal"/>
        <w:keepNext w:val="false"/>
        <w:keepLines w:val="false"/>
        <w:pageBreakBefore w:val="false"/>
        <w:kinsoku w:val="true"/>
        <w:overflowPunct w:val="true"/>
        <w:autoSpaceDE w:val="true"/>
        <w:bidi w:val="0"/>
        <w:snapToGrid w:val="true"/>
        <w:spacing w:lineRule="atLeast" w:line="300"/>
        <w:ind w:firstLine="641" w:end="0"/>
        <w:textAlignment w:val="auto"/>
        <w:rPr>
          <w:rFonts w:ascii="仿宋_GB2312" w:hAnsi="仿宋_GB2312" w:cs="宋体" w:hint="eastAsia"/>
          <w:kern w:val="0"/>
          <w:szCs w:val="20"/>
        </w:rPr>
      </w:pPr>
      <w:r>
        <w:rPr>
          <w:rFonts w:ascii="黑体" w:hAnsi="黑体" w:cs="宋体" w:hint="eastAsia" w:eastAsia="黑体"/>
          <w:kern w:val="0"/>
          <w:szCs w:val="20"/>
        </w:rPr>
        <w:t xml:space="preserve">第五十九条 </w:t>
      </w:r>
      <w:r>
        <w:rPr>
          <w:rFonts w:ascii="黑体" w:hAnsi="黑体" w:cs="宋体" w:eastAsia="黑体"/>
          <w:kern w:val="0"/>
          <w:szCs w:val="20"/>
        </w:rPr>
        <w:t xml:space="preserve"> </w:t>
      </w:r>
      <w:r>
        <w:rPr>
          <w:rFonts w:ascii="仿宋_GB2312" w:hAnsi="仿宋_GB2312" w:cs="宋体" w:hint="eastAsia"/>
          <w:kern w:val="0"/>
          <w:szCs w:val="20"/>
        </w:rPr>
        <w:t>违反本条例规定，从事特种设备生产的单位法定代表人或者主要负责人变更未按规定备案，或者单位名称、单位地址变更未按规定申请办理变更手续的，责令限期改正，处五千元罚款。</w:t>
      </w:r>
    </w:p>
    <w:p>
      <w:pPr>
        <w:pStyle w:val="Normal"/>
        <w:keepNext w:val="false"/>
        <w:keepLines w:val="false"/>
        <w:pageBreakBefore w:val="false"/>
        <w:kinsoku w:val="true"/>
        <w:overflowPunct w:val="true"/>
        <w:autoSpaceDE w:val="true"/>
        <w:bidi w:val="0"/>
        <w:snapToGrid w:val="true"/>
        <w:spacing w:lineRule="atLeast" w:line="300"/>
        <w:ind w:firstLine="641" w:end="0"/>
        <w:textAlignment w:val="auto"/>
        <w:rPr>
          <w:rFonts w:ascii="仿宋_GB2312" w:hAnsi="仿宋_GB2312" w:cs="宋体"/>
          <w:kern w:val="0"/>
          <w:szCs w:val="20"/>
        </w:rPr>
      </w:pPr>
      <w:r>
        <w:rPr>
          <w:rFonts w:ascii="仿宋_GB2312" w:hAnsi="仿宋_GB2312" w:cs="宋体" w:hint="eastAsia"/>
          <w:kern w:val="0"/>
          <w:szCs w:val="20"/>
        </w:rPr>
        <w:t>违反本条例规定，特种设备安装、改造、修理的施工单位在交付使用前，未采取措施防止特种设备投入使用的，处一万元以上十万元以下罚款。</w:t>
      </w:r>
    </w:p>
    <w:p>
      <w:pPr>
        <w:pStyle w:val="Normal"/>
        <w:keepNext w:val="false"/>
        <w:keepLines w:val="false"/>
        <w:pageBreakBefore w:val="false"/>
        <w:kinsoku w:val="true"/>
        <w:overflowPunct w:val="true"/>
        <w:autoSpaceDE w:val="true"/>
        <w:bidi w:val="0"/>
        <w:snapToGrid w:val="true"/>
        <w:spacing w:lineRule="atLeast" w:line="300"/>
        <w:ind w:firstLine="641" w:end="0"/>
        <w:textAlignment w:val="auto"/>
        <w:rPr>
          <w:rFonts w:ascii="仿宋_GB2312" w:hAnsi="仿宋_GB2312" w:cs="宋体"/>
          <w:kern w:val="0"/>
          <w:szCs w:val="20"/>
        </w:rPr>
      </w:pPr>
      <w:r>
        <w:rPr>
          <w:rFonts w:ascii="黑体" w:hAnsi="黑体" w:cs="宋体" w:hint="eastAsia" w:eastAsia="黑体"/>
          <w:kern w:val="0"/>
          <w:szCs w:val="20"/>
        </w:rPr>
        <w:t>第六十条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违反本条例规定，移动式压力容器、气瓶充装单位未保持充装许可条件的，责令限期改正；逾期未改正的，责令停止充装，处五万元以上五十万元以下罚款；情节严重的，依法吊销许可证。</w:t>
      </w:r>
    </w:p>
    <w:p>
      <w:pPr>
        <w:pStyle w:val="Normal"/>
        <w:keepNext w:val="false"/>
        <w:keepLines w:val="false"/>
        <w:pageBreakBefore w:val="false"/>
        <w:kinsoku w:val="true"/>
        <w:overflowPunct w:val="true"/>
        <w:autoSpaceDE w:val="true"/>
        <w:bidi w:val="0"/>
        <w:snapToGrid w:val="true"/>
        <w:spacing w:lineRule="atLeast" w:line="300"/>
        <w:ind w:firstLineChars="195" w:startChars="0" w:start="0" w:endChars="0" w:end="0"/>
        <w:textAlignment w:val="auto"/>
        <w:rPr>
          <w:rFonts w:ascii="仿宋_GB2312" w:hAnsi="仿宋_GB2312" w:cs="宋体"/>
          <w:kern w:val="0"/>
          <w:szCs w:val="20"/>
        </w:rPr>
      </w:pPr>
      <w:r>
        <w:rPr>
          <w:rFonts w:ascii="黑体" w:hAnsi="黑体" w:cs="宋体" w:hint="eastAsia" w:eastAsia="黑体"/>
          <w:kern w:val="0"/>
          <w:szCs w:val="20"/>
        </w:rPr>
        <w:t>第六十一条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kern w:val="0"/>
          <w:szCs w:val="20"/>
        </w:rPr>
        <w:t>违反本</w:t>
      </w:r>
      <w:r>
        <w:rPr>
          <w:rFonts w:ascii="仿宋_GB2312" w:hAnsi="仿宋_GB2312" w:cs="宋体" w:hint="eastAsia"/>
          <w:kern w:val="0"/>
          <w:szCs w:val="20"/>
        </w:rPr>
        <w:t>条例</w:t>
      </w:r>
      <w:r>
        <w:rPr>
          <w:rFonts w:ascii="仿宋_GB2312" w:hAnsi="仿宋_GB2312" w:cs="宋体"/>
          <w:kern w:val="0"/>
          <w:szCs w:val="20"/>
        </w:rPr>
        <w:t>规定，有下</w:t>
      </w:r>
      <w:r>
        <w:rPr>
          <w:rFonts w:ascii="仿宋_GB2312" w:hAnsi="仿宋_GB2312" w:cs="宋体" w:hint="eastAsia"/>
          <w:kern w:val="0"/>
          <w:szCs w:val="20"/>
        </w:rPr>
        <w:t>列</w:t>
      </w:r>
      <w:r>
        <w:rPr>
          <w:rFonts w:ascii="仿宋_GB2312" w:hAnsi="仿宋_GB2312" w:cs="宋体"/>
          <w:kern w:val="0"/>
          <w:szCs w:val="20"/>
        </w:rPr>
        <w:t>行为之一的，责令停止经营，没收违法经营的特种设备，处三万元以上三十万元以下罚款；有违法所得的，没收违法所得：</w:t>
      </w:r>
    </w:p>
    <w:p>
      <w:pPr>
        <w:pStyle w:val="Normal"/>
        <w:keepNext w:val="false"/>
        <w:keepLines w:val="false"/>
        <w:pageBreakBefore w:val="false"/>
        <w:kinsoku w:val="true"/>
        <w:overflowPunct w:val="true"/>
        <w:autoSpaceDE w:val="true"/>
        <w:bidi w:val="0"/>
        <w:snapToGrid w:val="true"/>
        <w:spacing w:lineRule="atLeast" w:line="300"/>
        <w:ind w:firstLine="466" w:end="0"/>
        <w:textAlignment w:val="auto"/>
        <w:rPr>
          <w:rFonts w:ascii="仿宋_GB2312" w:hAnsi="仿宋_GB2312" w:cs="宋体"/>
          <w:kern w:val="0"/>
          <w:szCs w:val="20"/>
        </w:rPr>
      </w:pPr>
      <w:r>
        <w:rPr>
          <w:rFonts w:ascii="仿宋_GB2312" w:hAnsi="仿宋_GB2312" w:cs="宋体"/>
          <w:kern w:val="0"/>
          <w:szCs w:val="20"/>
        </w:rPr>
        <w:t>（一）销售、出租</w:t>
      </w:r>
      <w:r>
        <w:rPr>
          <w:rFonts w:ascii="仿宋_GB2312" w:hAnsi="仿宋_GB2312" w:cs="宋体" w:hint="eastAsia"/>
          <w:kern w:val="0"/>
          <w:szCs w:val="20"/>
        </w:rPr>
        <w:t>、出借</w:t>
      </w:r>
      <w:r>
        <w:rPr>
          <w:rFonts w:ascii="仿宋_GB2312" w:hAnsi="仿宋_GB2312" w:cs="宋体"/>
          <w:kern w:val="0"/>
          <w:szCs w:val="20"/>
        </w:rPr>
        <w:t>未</w:t>
      </w:r>
      <w:r>
        <w:rPr>
          <w:rFonts w:ascii="仿宋_GB2312" w:hAnsi="仿宋_GB2312" w:cs="宋体" w:hint="eastAsia"/>
          <w:kern w:val="0"/>
          <w:szCs w:val="20"/>
        </w:rPr>
        <w:t>经</w:t>
      </w:r>
      <w:r>
        <w:rPr>
          <w:rFonts w:ascii="仿宋_GB2312" w:hAnsi="仿宋_GB2312" w:cs="宋体"/>
          <w:kern w:val="0"/>
          <w:szCs w:val="20"/>
        </w:rPr>
        <w:t>许可生产</w:t>
      </w:r>
      <w:r>
        <w:rPr>
          <w:rFonts w:ascii="仿宋_GB2312" w:hAnsi="仿宋_GB2312" w:cs="宋体" w:hint="eastAsia"/>
          <w:kern w:val="0"/>
          <w:szCs w:val="20"/>
        </w:rPr>
        <w:t>或者</w:t>
      </w:r>
      <w:r>
        <w:rPr>
          <w:rFonts w:ascii="仿宋_GB2312" w:hAnsi="仿宋_GB2312" w:cs="宋体"/>
          <w:kern w:val="0"/>
          <w:szCs w:val="20"/>
        </w:rPr>
        <w:t>未经检验</w:t>
      </w:r>
      <w:r>
        <w:rPr>
          <w:rFonts w:ascii="仿宋_GB2312" w:hAnsi="仿宋_GB2312" w:cs="宋体" w:hint="eastAsia"/>
          <w:kern w:val="0"/>
          <w:szCs w:val="20"/>
        </w:rPr>
        <w:t>、</w:t>
      </w:r>
      <w:r>
        <w:rPr>
          <w:rFonts w:ascii="仿宋_GB2312" w:hAnsi="仿宋_GB2312" w:cs="宋体"/>
          <w:kern w:val="0"/>
          <w:szCs w:val="20"/>
        </w:rPr>
        <w:t>检验不合格的特种设备的；</w:t>
      </w:r>
    </w:p>
    <w:p>
      <w:pPr>
        <w:pStyle w:val="Normal"/>
        <w:keepNext w:val="false"/>
        <w:keepLines w:val="false"/>
        <w:pageBreakBefore w:val="false"/>
        <w:kinsoku w:val="true"/>
        <w:overflowPunct w:val="true"/>
        <w:autoSpaceDE w:val="true"/>
        <w:bidi w:val="0"/>
        <w:snapToGrid w:val="true"/>
        <w:spacing w:lineRule="atLeast" w:line="300"/>
        <w:ind w:firstLine="466" w:end="0"/>
        <w:textAlignment w:val="auto"/>
        <w:rPr>
          <w:rFonts w:ascii="仿宋_GB2312" w:hAnsi="仿宋_GB2312" w:cs="宋体" w:hint="eastAsia"/>
          <w:kern w:val="0"/>
          <w:szCs w:val="20"/>
        </w:rPr>
      </w:pPr>
      <w:r>
        <w:rPr>
          <w:rFonts w:ascii="仿宋_GB2312" w:hAnsi="仿宋_GB2312" w:cs="宋体"/>
          <w:kern w:val="0"/>
          <w:szCs w:val="20"/>
        </w:rPr>
        <w:t>（二）销售、出租</w:t>
      </w:r>
      <w:r>
        <w:rPr>
          <w:rFonts w:ascii="仿宋_GB2312" w:hAnsi="仿宋_GB2312" w:cs="宋体" w:hint="eastAsia"/>
          <w:kern w:val="0"/>
          <w:szCs w:val="20"/>
        </w:rPr>
        <w:t>、出借</w:t>
      </w:r>
      <w:r>
        <w:rPr>
          <w:rFonts w:ascii="仿宋_GB2312" w:hAnsi="仿宋_GB2312" w:cs="宋体"/>
          <w:kern w:val="0"/>
          <w:szCs w:val="20"/>
        </w:rPr>
        <w:t>国家</w:t>
      </w:r>
      <w:r>
        <w:rPr>
          <w:rFonts w:ascii="仿宋_GB2312" w:hAnsi="仿宋_GB2312" w:cs="宋体" w:hint="eastAsia"/>
          <w:kern w:val="0"/>
          <w:szCs w:val="20"/>
        </w:rPr>
        <w:t>或者本市</w:t>
      </w:r>
      <w:r>
        <w:rPr>
          <w:rFonts w:ascii="仿宋_GB2312" w:hAnsi="仿宋_GB2312" w:cs="宋体"/>
          <w:kern w:val="0"/>
          <w:szCs w:val="20"/>
        </w:rPr>
        <w:t>明令淘汰、已经报废的特种设备，或者未按照安全技术规范的要求进行维护保养的特种设备的。</w:t>
      </w:r>
    </w:p>
    <w:p>
      <w:pPr>
        <w:pStyle w:val="Normal"/>
        <w:keepNext w:val="false"/>
        <w:keepLines w:val="false"/>
        <w:pageBreakBefore w:val="false"/>
        <w:kinsoku w:val="true"/>
        <w:overflowPunct w:val="true"/>
        <w:autoSpaceDE w:val="true"/>
        <w:bidi w:val="0"/>
        <w:snapToGrid w:val="true"/>
        <w:spacing w:lineRule="atLeast" w:line="300"/>
        <w:ind w:firstLineChars="196" w:startChars="0" w:start="0" w:endChars="0" w:end="0"/>
        <w:textAlignment w:val="auto"/>
        <w:rPr>
          <w:rFonts w:ascii="仿宋_GB2312" w:hAnsi="仿宋_GB2312" w:cs="宋体"/>
          <w:kern w:val="0"/>
          <w:szCs w:val="20"/>
        </w:rPr>
      </w:pPr>
      <w:r>
        <w:rPr>
          <w:rFonts w:ascii="黑体" w:hAnsi="黑体" w:cs="宋体" w:hint="eastAsia" w:eastAsia="黑体"/>
          <w:kern w:val="0"/>
          <w:szCs w:val="20"/>
        </w:rPr>
        <w:t>第六十二条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违反本条例规定，特种设备使用单位</w:t>
      </w:r>
      <w:r>
        <w:rPr>
          <w:rFonts w:ascii="仿宋_GB2312" w:hAnsi="仿宋_GB2312" w:cs="宋体"/>
          <w:kern w:val="0"/>
          <w:szCs w:val="20"/>
        </w:rPr>
        <w:t>超过允许工作参数</w:t>
      </w:r>
      <w:r>
        <w:rPr>
          <w:rFonts w:ascii="仿宋_GB2312" w:hAnsi="仿宋_GB2312" w:cs="宋体" w:hint="eastAsia"/>
          <w:kern w:val="0"/>
          <w:szCs w:val="20"/>
        </w:rPr>
        <w:t>、范围</w:t>
      </w:r>
      <w:r>
        <w:rPr>
          <w:rFonts w:ascii="仿宋_GB2312" w:hAnsi="仿宋_GB2312" w:cs="宋体"/>
          <w:kern w:val="0"/>
          <w:szCs w:val="20"/>
        </w:rPr>
        <w:t>使用特种设备的</w:t>
      </w:r>
      <w:r>
        <w:rPr>
          <w:rFonts w:ascii="仿宋_GB2312" w:hAnsi="仿宋_GB2312" w:cs="宋体" w:hint="eastAsia"/>
          <w:kern w:val="0"/>
          <w:szCs w:val="20"/>
        </w:rPr>
        <w:t>，</w:t>
      </w:r>
      <w:r>
        <w:rPr>
          <w:rFonts w:ascii="仿宋_GB2312" w:hAnsi="仿宋_GB2312" w:cs="宋体"/>
          <w:kern w:val="0"/>
          <w:szCs w:val="20"/>
        </w:rPr>
        <w:t>责令停止使用有关特种设备，处三万元以上十五万元以下罚款；情节严重的，处十五万元以上三十万元以下罚款</w:t>
      </w:r>
      <w:r>
        <w:rPr>
          <w:rFonts w:ascii="仿宋_GB2312" w:hAnsi="仿宋_GB2312" w:cs="宋体" w:hint="eastAsia"/>
          <w:kern w:val="0"/>
          <w:szCs w:val="20"/>
        </w:rPr>
        <w:t>。</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宋体" w:hint="eastAsia"/>
          <w:color w:val="FF0000"/>
          <w:kern w:val="0"/>
          <w:szCs w:val="20"/>
        </w:rPr>
      </w:pPr>
      <w:r>
        <w:rPr>
          <w:rFonts w:ascii="黑体" w:hAnsi="黑体" w:cs="宋体" w:hint="eastAsia" w:eastAsia="黑体"/>
          <w:kern w:val="0"/>
          <w:szCs w:val="20"/>
        </w:rPr>
        <w:t>第六十三条</w:t>
      </w:r>
      <w:r>
        <w:rPr>
          <w:rFonts w:ascii="仿宋_GB2312" w:hAnsi="仿宋_GB2312" w:cs="楷体" w:hint="eastAsia"/>
          <w:b/>
          <w:kern w:val="0"/>
        </w:rPr>
        <w:t xml:space="preserve">  </w:t>
      </w:r>
      <w:r>
        <w:rPr>
          <w:rFonts w:ascii="仿宋_GB2312" w:hAnsi="仿宋_GB2312" w:cs="宋体" w:hint="eastAsia"/>
          <w:kern w:val="0"/>
          <w:szCs w:val="20"/>
        </w:rPr>
        <w:t>违反本条例规定，取得特种设备许可证的单位涂改、倒卖、出租、出借特种设备许可证书的，责令停止违法行为，处五万元以上二十万元以下罚款；情节严重的，</w:t>
      </w:r>
      <w:r>
        <w:rPr>
          <w:rFonts w:ascii="仿宋_GB2312" w:hAnsi="仿宋_GB2312" w:cs="宋体"/>
          <w:kern w:val="0"/>
          <w:szCs w:val="20"/>
        </w:rPr>
        <w:t>处二十万元以上五十万元以下罚款，</w:t>
      </w:r>
      <w:r>
        <w:rPr>
          <w:rFonts w:ascii="仿宋_GB2312" w:hAnsi="仿宋_GB2312" w:cs="宋体" w:hint="eastAsia"/>
          <w:kern w:val="0"/>
          <w:szCs w:val="20"/>
        </w:rPr>
        <w:t>并依法吊销相应许可证。</w:t>
      </w:r>
    </w:p>
    <w:p>
      <w:pPr>
        <w:pStyle w:val="Normal"/>
        <w:keepNext w:val="false"/>
        <w:keepLines w:val="false"/>
        <w:pageBreakBefore w:val="false"/>
        <w:kinsoku w:val="true"/>
        <w:overflowPunct w:val="true"/>
        <w:autoSpaceDE w:val="true"/>
        <w:bidi w:val="0"/>
        <w:snapToGrid w:val="true"/>
        <w:spacing w:lineRule="atLeast" w:line="300"/>
        <w:ind w:firstLine="641" w:end="0"/>
        <w:textAlignment w:val="auto"/>
        <w:rPr>
          <w:rFonts w:ascii="仿宋_GB2312" w:hAnsi="仿宋_GB2312" w:cs="宋体" w:hint="eastAsia"/>
          <w:kern w:val="0"/>
          <w:szCs w:val="20"/>
        </w:rPr>
      </w:pPr>
      <w:r>
        <w:rPr>
          <w:rFonts w:ascii="黑体" w:hAnsi="黑体" w:cs="宋体" w:hint="eastAsia" w:eastAsia="黑体"/>
          <w:kern w:val="0"/>
          <w:szCs w:val="20"/>
        </w:rPr>
        <w:t>第六十四条</w:t>
      </w:r>
      <w:r>
        <w:rPr>
          <w:rFonts w:ascii="仿宋_GB2312" w:hAnsi="仿宋_GB2312" w:cs="楷体" w:hint="eastAsia"/>
          <w:b/>
          <w:kern w:val="0"/>
        </w:rPr>
        <w:t xml:space="preserve"> </w:t>
      </w:r>
      <w:r>
        <w:rPr>
          <w:rFonts w:ascii="仿宋_GB2312" w:hAnsi="仿宋_GB2312" w:cs="楷体"/>
          <w:b/>
          <w:kern w:val="0"/>
        </w:rPr>
        <w:t xml:space="preserve"> </w:t>
      </w:r>
      <w:r>
        <w:rPr>
          <w:rFonts w:ascii="仿宋_GB2312" w:hAnsi="仿宋_GB2312" w:cs="宋体" w:hint="eastAsia"/>
          <w:kern w:val="0"/>
          <w:szCs w:val="20"/>
        </w:rPr>
        <w:t>违反本条例规定，气瓶充装单位充装没有设置信息标识的气瓶的，责令限期改正，可以处一万元以上五万元以下罚款。</w:t>
      </w:r>
    </w:p>
    <w:p>
      <w:pPr>
        <w:pStyle w:val="Normal"/>
        <w:keepNext w:val="false"/>
        <w:keepLines w:val="false"/>
        <w:pageBreakBefore w:val="false"/>
        <w:kinsoku w:val="true"/>
        <w:overflowPunct w:val="true"/>
        <w:autoSpaceDE w:val="true"/>
        <w:bidi w:val="0"/>
        <w:snapToGrid w:val="true"/>
        <w:spacing w:lineRule="atLeast" w:line="300"/>
        <w:ind w:firstLine="641" w:end="0"/>
        <w:textAlignment w:val="auto"/>
        <w:rPr>
          <w:rFonts w:ascii="仿宋_GB2312" w:hAnsi="仿宋_GB2312" w:cs="宋体"/>
          <w:kern w:val="0"/>
          <w:szCs w:val="20"/>
        </w:rPr>
      </w:pPr>
      <w:r>
        <w:rPr>
          <w:rFonts w:ascii="仿宋_GB2312" w:hAnsi="仿宋_GB2312" w:cs="宋体" w:hint="eastAsia"/>
          <w:kern w:val="0"/>
          <w:szCs w:val="20"/>
        </w:rPr>
        <w:t>违反本条例规定，气瓶检验机构未将气瓶检验信息录入气瓶信息化系统的，责令限期改正；逾期未改正的，处一万元以上五万元以下罚款。</w:t>
      </w:r>
    </w:p>
    <w:p>
      <w:pPr>
        <w:pStyle w:val="Normal"/>
        <w:keepNext w:val="false"/>
        <w:keepLines w:val="false"/>
        <w:pageBreakBefore w:val="false"/>
        <w:kinsoku w:val="true"/>
        <w:overflowPunct w:val="true"/>
        <w:autoSpaceDE w:val="true"/>
        <w:bidi w:val="0"/>
        <w:snapToGrid w:val="true"/>
        <w:spacing w:lineRule="atLeast" w:line="300"/>
        <w:ind w:firstLine="641" w:end="0"/>
        <w:textAlignment w:val="auto"/>
        <w:rPr>
          <w:rFonts w:ascii="仿宋_GB2312" w:hAnsi="仿宋_GB2312" w:cs="宋体"/>
          <w:kern w:val="0"/>
          <w:szCs w:val="20"/>
        </w:rPr>
      </w:pPr>
      <w:r>
        <w:rPr>
          <w:rFonts w:ascii="黑体" w:hAnsi="黑体" w:cs="宋体" w:hint="eastAsia" w:eastAsia="黑体"/>
          <w:kern w:val="0"/>
          <w:szCs w:val="20"/>
        </w:rPr>
        <w:t xml:space="preserve">第六十五条  </w:t>
      </w:r>
      <w:r>
        <w:rPr>
          <w:rFonts w:ascii="仿宋_GB2312" w:hAnsi="仿宋_GB2312" w:cs="宋体" w:hint="eastAsia"/>
          <w:kern w:val="0"/>
          <w:szCs w:val="20"/>
        </w:rPr>
        <w:t>违反本条例规定，学校、幼儿园以及医院、车站、机场、客运码头、商场、体育场馆、展览馆、公园、游乐场所等公众聚集场所的电梯未配备视频监控设施的，责令限期改正；逾期未改正的，处二千元以上一万元以下罚款。</w:t>
      </w:r>
    </w:p>
    <w:p>
      <w:pPr>
        <w:pStyle w:val="Normal"/>
        <w:keepNext w:val="false"/>
        <w:keepLines w:val="false"/>
        <w:pageBreakBefore w:val="false"/>
        <w:kinsoku w:val="true"/>
        <w:overflowPunct w:val="true"/>
        <w:autoSpaceDE w:val="true"/>
        <w:bidi w:val="0"/>
        <w:snapToGrid w:val="true"/>
        <w:spacing w:lineRule="atLeast" w:line="300"/>
        <w:ind w:firstLine="641" w:end="0"/>
        <w:textAlignment w:val="auto"/>
        <w:rPr>
          <w:rFonts w:ascii="仿宋_GB2312" w:hAnsi="仿宋_GB2312" w:cs="宋体" w:hint="eastAsia"/>
          <w:kern w:val="0"/>
          <w:szCs w:val="20"/>
        </w:rPr>
      </w:pPr>
      <w:r>
        <w:rPr>
          <w:rFonts w:ascii="黑体" w:hAnsi="黑体" w:cs="宋体" w:hint="eastAsia" w:eastAsia="黑体"/>
          <w:kern w:val="0"/>
          <w:szCs w:val="20"/>
        </w:rPr>
        <w:t>第</w:t>
      </w:r>
      <w:r>
        <w:rPr>
          <w:rFonts w:ascii="黑体" w:hAnsi="黑体" w:cs="宋体" w:eastAsia="黑体"/>
          <w:kern w:val="0"/>
          <w:szCs w:val="20"/>
        </w:rPr>
        <w:t>六十</w:t>
      </w:r>
      <w:r>
        <w:rPr>
          <w:rFonts w:ascii="黑体" w:hAnsi="黑体" w:cs="宋体" w:hint="eastAsia" w:eastAsia="黑体"/>
          <w:kern w:val="0"/>
          <w:szCs w:val="20"/>
        </w:rPr>
        <w:t>六条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违反本条例规定，电梯使用单位未在电梯的显著位置公示规定信息的，责令限期改正；逾期未改正的，处一千元以上五千元以下罚款。</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s="宋体" w:hint="eastAsia"/>
          <w:kern w:val="0"/>
          <w:szCs w:val="20"/>
        </w:rPr>
      </w:pPr>
      <w:r>
        <w:rPr>
          <w:rFonts w:ascii="黑体" w:hAnsi="黑体" w:cs="宋体" w:hint="eastAsia" w:eastAsia="黑体"/>
          <w:kern w:val="0"/>
          <w:szCs w:val="20"/>
        </w:rPr>
        <w:t>第</w:t>
      </w:r>
      <w:r>
        <w:rPr>
          <w:rFonts w:ascii="黑体" w:hAnsi="黑体" w:cs="宋体" w:eastAsia="黑体"/>
          <w:kern w:val="0"/>
          <w:szCs w:val="20"/>
        </w:rPr>
        <w:t>六十</w:t>
      </w:r>
      <w:r>
        <w:rPr>
          <w:rFonts w:ascii="黑体" w:hAnsi="黑体" w:cs="宋体" w:hint="eastAsia" w:eastAsia="黑体"/>
          <w:kern w:val="0"/>
          <w:szCs w:val="20"/>
        </w:rPr>
        <w:t>七条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宋体" w:hint="eastAsia"/>
          <w:kern w:val="0"/>
          <w:szCs w:val="20"/>
        </w:rPr>
        <w:t>本章规定的行政处罚，由负责特种设备安全监督管理的部门依照规定职权和法定程序实施。</w:t>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黑体" w:hint="eastAsia"/>
          <w:kern w:val="0"/>
          <w:szCs w:val="20"/>
        </w:rPr>
      </w:pPr>
      <w:r>
        <w:rPr>
          <w:rFonts w:eastAsia="黑体" w:cs="黑体" w:hint="eastAsia" w:ascii="黑体" w:hAnsi="黑体"/>
          <w:kern w:val="0"/>
          <w:szCs w:val="20"/>
        </w:rPr>
      </w:r>
    </w:p>
    <w:p>
      <w:pPr>
        <w:pStyle w:val="Normal"/>
        <w:keepNext w:val="false"/>
        <w:keepLines w:val="false"/>
        <w:pageBreakBefore w:val="false"/>
        <w:kinsoku w:val="true"/>
        <w:overflowPunct w:val="true"/>
        <w:autoSpaceDE w:val="true"/>
        <w:bidi w:val="0"/>
        <w:snapToGrid w:val="true"/>
        <w:spacing w:lineRule="atLeast" w:line="300"/>
        <w:jc w:val="center"/>
        <w:textAlignment w:val="auto"/>
        <w:rPr>
          <w:rFonts w:ascii="黑体" w:hAnsi="黑体" w:eastAsia="黑体" w:cs="黑体"/>
          <w:kern w:val="0"/>
        </w:rPr>
      </w:pPr>
      <w:r>
        <w:rPr>
          <w:rFonts w:ascii="黑体" w:hAnsi="黑体" w:cs="黑体" w:eastAsia="黑体"/>
          <w:kern w:val="0"/>
        </w:rPr>
        <w:t>第</w:t>
      </w:r>
      <w:r>
        <w:rPr>
          <w:rFonts w:ascii="黑体" w:hAnsi="黑体" w:cs="黑体" w:hint="eastAsia" w:eastAsia="黑体"/>
          <w:kern w:val="0"/>
        </w:rPr>
        <w:t>七</w:t>
      </w:r>
      <w:r>
        <w:rPr>
          <w:rFonts w:ascii="黑体" w:hAnsi="黑体" w:cs="黑体" w:eastAsia="黑体"/>
          <w:kern w:val="0"/>
        </w:rPr>
        <w:t>章  附</w:t>
      </w:r>
      <w:r>
        <w:rPr>
          <w:rFonts w:ascii="黑体" w:hAnsi="黑体" w:cs="黑体" w:hint="eastAsia" w:eastAsia="黑体"/>
          <w:kern w:val="0"/>
        </w:rPr>
        <w:t xml:space="preserve">  </w:t>
      </w:r>
      <w:r>
        <w:rPr>
          <w:rFonts w:ascii="黑体" w:hAnsi="黑体" w:cs="黑体" w:eastAsia="黑体"/>
          <w:kern w:val="0"/>
        </w:rPr>
        <w:t>则</w:t>
      </w:r>
    </w:p>
    <w:p>
      <w:pPr>
        <w:pStyle w:val="Normal"/>
        <w:keepNext w:val="false"/>
        <w:keepLines w:val="false"/>
        <w:pageBreakBefore w:val="false"/>
        <w:kinsoku w:val="true"/>
        <w:overflowPunct w:val="true"/>
        <w:autoSpaceDE w:val="true"/>
        <w:bidi w:val="0"/>
        <w:snapToGrid w:val="true"/>
        <w:spacing w:lineRule="atLeast" w:line="300"/>
        <w:ind w:firstLine="636" w:end="0"/>
        <w:textAlignment w:val="auto"/>
        <w:rPr>
          <w:rFonts w:ascii="仿宋_GB2312" w:hAnsi="仿宋_GB2312" w:cs="仿宋"/>
          <w:kern w:val="0"/>
        </w:rPr>
      </w:pPr>
      <w:r>
        <w:rPr>
          <w:rFonts w:ascii="黑体" w:hAnsi="黑体" w:cs="宋体" w:hint="eastAsia" w:eastAsia="黑体"/>
          <w:kern w:val="0"/>
          <w:szCs w:val="20"/>
        </w:rPr>
        <w:t>第六十八条</w:t>
      </w:r>
      <w:r>
        <w:rPr>
          <w:rFonts w:ascii="仿宋_GB2312" w:hAnsi="仿宋_GB2312" w:cs="宋体" w:hint="eastAsia"/>
          <w:b/>
          <w:kern w:val="0"/>
          <w:szCs w:val="20"/>
        </w:rPr>
        <w:t xml:space="preserve"> </w:t>
      </w:r>
      <w:r>
        <w:rPr>
          <w:rFonts w:ascii="仿宋_GB2312" w:hAnsi="仿宋_GB2312" w:cs="宋体"/>
          <w:b/>
          <w:kern w:val="0"/>
          <w:szCs w:val="20"/>
        </w:rPr>
        <w:t xml:space="preserve"> </w:t>
      </w:r>
      <w:r>
        <w:rPr>
          <w:rFonts w:ascii="仿宋_GB2312" w:hAnsi="仿宋_GB2312" w:cs="仿宋"/>
          <w:kern w:val="0"/>
        </w:rPr>
        <w:t>房屋建筑工地和市政工程工地用起重机械、场（厂）内专用机动车辆的安装、使用的监督管理，由建设行政主管部门依照有关法律、法规的规定执行。</w:t>
      </w:r>
    </w:p>
    <w:p>
      <w:pPr>
        <w:pStyle w:val="Normal"/>
        <w:keepNext w:val="false"/>
        <w:keepLines w:val="false"/>
        <w:pageBreakBefore w:val="false"/>
        <w:kinsoku w:val="true"/>
        <w:overflowPunct w:val="true"/>
        <w:autoSpaceDE w:val="true"/>
        <w:bidi w:val="0"/>
        <w:snapToGrid w:val="true"/>
        <w:spacing w:lineRule="atLeast" w:line="300"/>
        <w:ind w:firstLineChars="196" w:startChars="0" w:start="0" w:endChars="0" w:end="0"/>
        <w:textAlignment w:val="auto"/>
        <w:rPr>
          <w:rFonts w:ascii="仿宋_GB2312" w:hAnsi="仿宋_GB2312" w:cs="仿宋"/>
          <w:kern w:val="0"/>
        </w:rPr>
      </w:pPr>
      <w:r>
        <w:rPr>
          <w:rFonts w:ascii="黑体" w:hAnsi="黑体" w:cs="宋体" w:eastAsia="黑体"/>
          <w:kern w:val="0"/>
          <w:szCs w:val="20"/>
        </w:rPr>
        <w:t>第</w:t>
      </w:r>
      <w:r>
        <w:rPr>
          <w:rFonts w:ascii="黑体" w:hAnsi="黑体" w:cs="宋体" w:hint="eastAsia" w:eastAsia="黑体"/>
          <w:kern w:val="0"/>
          <w:szCs w:val="20"/>
        </w:rPr>
        <w:t>六十九</w:t>
      </w:r>
      <w:r>
        <w:rPr>
          <w:rFonts w:ascii="黑体" w:hAnsi="黑体" w:cs="宋体" w:eastAsia="黑体"/>
          <w:kern w:val="0"/>
          <w:szCs w:val="20"/>
        </w:rPr>
        <w:t>条</w:t>
      </w:r>
      <w:r>
        <w:rPr>
          <w:rFonts w:ascii="仿宋_GB2312" w:hAnsi="仿宋_GB2312" w:cs="楷体" w:hint="eastAsia"/>
          <w:b/>
          <w:kern w:val="0"/>
        </w:rPr>
        <w:t xml:space="preserve"> </w:t>
      </w:r>
      <w:r>
        <w:rPr>
          <w:rFonts w:ascii="仿宋_GB2312" w:hAnsi="仿宋_GB2312" w:cs="楷体"/>
          <w:b/>
          <w:kern w:val="0"/>
        </w:rPr>
        <w:t xml:space="preserve"> </w:t>
      </w:r>
      <w:r>
        <w:rPr>
          <w:rFonts w:ascii="仿宋_GB2312" w:hAnsi="仿宋_GB2312" w:cs="仿宋"/>
          <w:kern w:val="0"/>
        </w:rPr>
        <w:t>本条例自</w:t>
      </w:r>
      <w:r>
        <w:rPr>
          <w:rFonts w:cs="仿宋" w:hint="eastAsia" w:ascii="仿宋_GB2312" w:hAnsi="仿宋_GB2312"/>
          <w:kern w:val="0"/>
        </w:rPr>
        <w:t>2018</w:t>
      </w:r>
      <w:r>
        <w:rPr>
          <w:rFonts w:ascii="仿宋_GB2312" w:hAnsi="仿宋_GB2312" w:cs="仿宋"/>
          <w:kern w:val="0"/>
        </w:rPr>
        <w:t>年</w:t>
      </w:r>
      <w:r>
        <w:rPr>
          <w:rFonts w:cs="仿宋" w:hint="eastAsia" w:ascii="仿宋_GB2312" w:hAnsi="仿宋_GB2312"/>
          <w:kern w:val="0"/>
        </w:rPr>
        <w:t>11</w:t>
      </w:r>
      <w:r>
        <w:rPr>
          <w:rFonts w:ascii="仿宋_GB2312" w:hAnsi="仿宋_GB2312" w:cs="仿宋"/>
          <w:kern w:val="0"/>
        </w:rPr>
        <w:t>月</w:t>
      </w:r>
      <w:r>
        <w:rPr>
          <w:rFonts w:cs="仿宋" w:hint="eastAsia" w:ascii="仿宋_GB2312" w:hAnsi="仿宋_GB2312"/>
          <w:kern w:val="0"/>
        </w:rPr>
        <w:t>1</w:t>
      </w:r>
      <w:r>
        <w:rPr>
          <w:rFonts w:ascii="仿宋_GB2312" w:hAnsi="仿宋_GB2312" w:cs="仿宋"/>
          <w:kern w:val="0"/>
        </w:rPr>
        <w:t>日起施行</w:t>
      </w:r>
      <w:r>
        <w:rPr>
          <w:rFonts w:ascii="仿宋_GB2312" w:hAnsi="仿宋_GB2312" w:cs="仿宋" w:hint="eastAsia"/>
          <w:kern w:val="0"/>
        </w:rPr>
        <w:t>。</w:t>
      </w:r>
    </w:p>
    <w:p>
      <w:pPr>
        <w:pStyle w:val="Normal"/>
        <w:rPr>
          <w:rFonts w:ascii="仿宋_GB2312" w:hAnsi="仿宋_GB2312" w:cs="仿宋" w:hint="eastAsia"/>
          <w:kern w:val="0"/>
        </w:rPr>
      </w:pPr>
      <w:r>
        <w:rPr>
          <w:rFonts w:cs="仿宋" w:hint="eastAsia" w:ascii="仿宋_GB2312" w:hAnsi="仿宋_GB2312"/>
          <w:kern w:val="0"/>
        </w:rPr>
      </w:r>
    </w:p>
    <w:sectPr>
      <w:footerReference w:type="default" r:id="rId2"/>
      <w:type w:val="nextPage"/>
      <w:pgSz w:w="11906" w:h="16838"/>
      <w:pgMar w:left="1531" w:right="1531" w:gutter="0" w:header="0" w:top="2098" w:footer="113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宋体">
    <w:charset w:val="86"/>
    <w:family w:val="auto"/>
    <w:pitch w:val="default"/>
  </w:font>
  <w:font w:name="Liberation Sans">
    <w:altName w:val="Arial"/>
    <w:charset w:val="01" w:characterSet="utf-8"/>
    <w:family w:val="swiss"/>
    <w:pitch w:val="variable"/>
  </w:font>
  <w:font w:name="方正小标宋简体">
    <w:charset w:val="86"/>
    <w:family w:val="script"/>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Hyperlink">
    <w:name w:val="Hyperlink"/>
    <w:rPr>
      <w:rFonts w:cs="Times New Roman"/>
      <w:color w:val="0000FF"/>
      <w:u w:val="single"/>
    </w:rPr>
  </w:style>
  <w:style w:type="character" w:styleId="CharChar2">
    <w:name w:val="Char Char2"/>
    <w:qFormat/>
    <w:rPr>
      <w:rFonts w:ascii="华文宋体" w:hAnsi="华文宋体" w:eastAsia="仿宋_GB2312" w:cs="华文宋体"/>
      <w:kern w:val="2"/>
      <w:sz w:val="21"/>
      <w:szCs w:val="21"/>
    </w:rPr>
  </w:style>
  <w:style w:type="character" w:styleId="Char">
    <w:name w:val="页眉 Char"/>
    <w:qFormat/>
    <w:rPr>
      <w:rFonts w:ascii="Times New Roman" w:hAnsi="Times New Roman" w:eastAsia="仿宋_GB2312" w:cs="Times New Roman"/>
      <w:sz w:val="18"/>
      <w:szCs w:val="18"/>
    </w:rPr>
  </w:style>
  <w:style w:type="character" w:styleId="Char1">
    <w:name w:val="页脚 Char"/>
    <w:qFormat/>
    <w:rPr>
      <w:rFonts w:ascii="Times New Roman" w:hAnsi="Times New Roman" w:eastAsia="仿宋_GB2312" w:cs="Times New Roman"/>
      <w:sz w:val="18"/>
      <w:szCs w:val="18"/>
    </w:rPr>
  </w:style>
  <w:style w:type="character" w:styleId="Char2">
    <w:name w:val="纯文本 Char"/>
    <w:qFormat/>
    <w:rPr>
      <w:rFonts w:ascii="宋体" w:hAnsi="宋体" w:eastAsia="仿宋_GB2312" w:cs="宋体"/>
      <w:sz w:val="21"/>
      <w:szCs w:val="21"/>
    </w:rPr>
  </w:style>
  <w:style w:type="character" w:styleId="Char3">
    <w:name w:val="批注框文本 Char"/>
    <w:qFormat/>
    <w:rPr>
      <w:rFonts w:ascii="Times New Roman" w:hAnsi="Times New Roman" w:eastAsia="仿宋_GB2312"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kern w:val="0"/>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rPr>
  </w:style>
  <w:style w:type="paragraph" w:styleId="Style16">
    <w:name w:val="纯文本"/>
    <w:basedOn w:val="Normal"/>
    <w:qFormat/>
    <w:pPr/>
    <w:rPr>
      <w:rFonts w:ascii="宋体" w:hAnsi="宋体" w:cs="Courier New"/>
      <w:kern w:val="0"/>
      <w:sz w:val="21"/>
      <w:szCs w:val="21"/>
    </w:rPr>
  </w:style>
  <w:style w:type="paragraph" w:styleId="ListParagraph">
    <w:name w:val="List Paragraph"/>
    <w:basedOn w:val="Normal"/>
    <w:qFormat/>
    <w:pPr>
      <w:ind w:firstLineChars="200" w:startChars="0" w:start="0" w:endChars="0" w:end="0"/>
    </w:pPr>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2018-08-13T07:56:00Z</dcterms:created>
  <dc:creator>admin</dc:creator>
  <dc:description/>
  <dc:language>en-US</dc:language>
  <cp:lastModifiedBy>tjrd</cp:lastModifiedBy>
  <cp:lastPrinted>2018-09-28T18:22:00Z</cp:lastPrinted>
  <dcterms:modified xsi:type="dcterms:W3CDTF">2018-10-25T08:52:08Z</dcterms:modified>
  <cp:revision>1287</cp:revision>
  <dc:subject/>
  <dc:title>关于提请审议《天津市特种设备安全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