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both"/>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天津市燃气管理条例</w:t>
      </w:r>
    </w:p>
    <w:p>
      <w:pPr>
        <w:pStyle w:val="Normal"/>
        <w:snapToGrid w:val="false"/>
        <w:spacing w:lineRule="exact" w:line="560" w:before="0" w:after="0"/>
        <w:contextualSpacing/>
        <w:rPr>
          <w:rFonts w:ascii="楷体_GB2312" w:hAnsi="楷体_GB2312" w:eastAsia="楷体_GB2312" w:cs="宋体" w:hint="eastAsia"/>
          <w:sz w:val="44"/>
          <w:szCs w:val="32"/>
        </w:rPr>
      </w:pPr>
      <w:r>
        <w:rPr>
          <w:rFonts w:eastAsia="楷体_GB2312" w:cs="宋体" w:hint="eastAsia" w:ascii="楷体_GB2312" w:hAnsi="楷体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10</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日天津市第十二届人民代表大会常务委员会第三十六次会议通过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日天津市第十四届人民代表大会常务委员会第二十次会议《关于修改〈天津市燃气管理条例〉的决定》第一次修正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日天津市第十五届人民代表大会常务委员会第十九次会议《关于修改部分地方性法规的决定》第二次修正 </w:t>
      </w:r>
      <w:r>
        <w:rPr>
          <w:rFonts w:ascii="楷体_GB2312" w:hAnsi="楷体_GB2312" w:cs="宋体" w:eastAsia="楷体_GB2312"/>
          <w:bCs/>
          <w:smallCaps/>
          <w:szCs w:val="32"/>
        </w:rPr>
        <w:t xml:space="preserve"> </w:t>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日天津市第十七届人民代表大会常务委员会第七次会议《关于修改〈天津市植物保护条例〉等三十二部地方性法规的决定》第三次修正）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建设管理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经营管理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设施管理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器具管理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使用管理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抢修和事故处理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为了加强本市燃气的管理，保障燃气的安全使用和正常供应，促进燃气事业的发展，根据本市实际情况，制定本条例。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本市行政区域内的单位和个人，都应当遵守本条例。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燃气事业的发展，应当根据本市城市总体规划及国民经济和社会发展计划的需求，制定远期规划和近期计划。</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黑体" w:hAnsi="黑体" w:cs="宋体" w:hint="eastAsia" w:eastAsia="黑体"/>
          <w:szCs w:val="32"/>
        </w:rPr>
        <w:t>第四条</w:t>
      </w:r>
      <w:r>
        <w:rPr>
          <w:rFonts w:ascii="仿宋_GB2312" w:hAnsi="仿宋_GB2312" w:cs="宋体" w:hint="eastAsia"/>
          <w:szCs w:val="32"/>
        </w:rPr>
        <w:t>　市燃气主管部门，主管全市燃气管理工作。</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仿宋_GB2312" w:hAnsi="仿宋_GB2312" w:cs="宋体" w:hint="eastAsia"/>
          <w:szCs w:val="32"/>
        </w:rPr>
        <w:t>市燃气管理部门负责本市燃气的具体行政管理工作。</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仿宋_GB2312" w:hAnsi="仿宋_GB2312" w:cs="宋体" w:hint="eastAsia"/>
          <w:szCs w:val="32"/>
        </w:rPr>
        <w:t>滨海新区、武清区、宝坻区、静海区、宁河区、蓟州区人民政府和天津经济技术开发区、天津港保税区管理委员会确定的燃气管理部门，负责本辖区内的燃气管理工作。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公安、人力社保、规划和自然资源、生态环境、市场监管等部门，应当根据各自的职责，做好燃气管理的相关工作。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市燃气主管部门应当会同有关部门，根据燃气气源情况，编制年度燃气供气计划和用气发展计划，经市发展和改革行政管理部门综合平衡后，负责组织实施。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燃气生产企业和经营企业，应当按照国家或者本市下达的气源计划和国家规定的供气压力与质量标准进行生产，保障供气。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燃气用户应当安全用气。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任何单位和个人都有保护燃气设施的义务。</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市燃气主管部门对保护燃气设施做出突出贡献的单位和个人，应当给予表彰和奖励。</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建设管理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在本市进行城市建设开发和旧区改建时，应当按照本市燃气发展规划同时建设燃气设施，并预留燃气器具的安装位置，所需费用纳入城市建设开发和旧区改建的总概算。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燃气工程的设计和施工，应当由具有资质的单位承担，并严格遵守国家和本市的有关规范、规定和标准。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燃气工程竣工后，建设单位应当按照有关规定组织验收，验收合格方可交付使用。</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经营管理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经营燃气的企业，应当向市燃气管理部门提出申请，取得燃气经营许可证方可营业。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市燃气管理部门接到申请后，对符合下列条件的，应当在法定期限内做出许可决定：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（一）建设项目符合城市总体规划和燃气规划要求，并竣工验收合格；</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（二）有稳定和符合国家标准的燃气气源；</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（三）燃气生产、输配、储存、充装、供应等设施符合国家的相关标准和消防安全、建设质量的要求；</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（四）液化石油气经营企业，应当有运输、接卸、储存、罐装等完整生产设施，液化石油气含有残液组份的，应当设有残液回收装置；</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（五）有与经营规模相适应的注册资本金、专业技术人员和抗风险能力；</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（六）有完善的经营管理体系和安全管理制度；</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（七）有经过燃气专业培训合格的操作人员；</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（八）有事故抢险预案和与供气规模相适应的抢险抢修人员、仪器、设备和交通工具；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（九）有评价机构出具的燃气设施安全评价报告，并达到安全运行的要求。</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液化石油气生产企业、经营企业不得向无燃气经营许可证的燃气经营者提供液化石油气。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燃气经营企业需要变更、合并、歇业、停业、撤销的，应当对用户进行妥善安置并作出保证燃气供应的书面承诺后，向市燃气管理部门提出申请。市燃气管理部门应当在法定期限内予以批准。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燃气经营企业应当按照物价行政管理部门批准的燃气价格收费。</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燃气经营企业应当制定并落实燃气安全使用管理制度，进行燃气安全使用的宣传，组织推广安全用气、节约用气的先进技术和经验。</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因燃气设施施工等原因，需要调整用气量、降低供气压力或者暂停供气时，燃气经营企业应当在三日前通知用户，但因突发事故需要调整用气的除外。</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燃气经营企业及其工作人员不得有下列行为：</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（一）不按时检查、维修燃气设施；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（二）不及时处理燃气事故；</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（三）发现燃气设施和燃气计量表损坏或者泄漏，不及时报告和处理；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（四）违反规定减量、降压、停气；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（五）出售不符合质量和重量标准的液化石油气；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（六）不按照规定清倒液化石油气气瓶残液或者不按照规定价格退还液化石油气残液费用；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（七）限定燃气用户购买其指定的燃气器具；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（八）违反规定收费；</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（九）利用工作之便，谋取私利。</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设施管理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管道燃气经营企业负责管理调压设备、燃气计量表、中压或者低压管道产权分界阀门及其以内的燃气设施；产权分界阀门以外的燃气设施和燃气器具（调压设备和燃气计量表除外）由管道燃气单位用户负责管理，也可以委托管道燃气经营企业代管。</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管道燃气居民用户负责管理燃气计量表后的燃气器具及与其连接的软管和紧固件；管道燃气经营企业负责管理燃气计量表和其他燃气管道设施。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管道燃气经营企业应当与燃气用户签订燃气供用气合同，在合同中明确双方的管理责任。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按照燃气发展规划需要在单位用户管道上接通新燃气用户的，单位用户应当服从规划，新燃气用户应当适当补偿管道建设费用。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液化石油气用户负责管理其使用的液化石油气气瓶和燃气器具。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燃气经营企业应当对其管理的燃气设施、燃气计量表进行检测、维护。</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燃气经营企业对居民用户使用的燃气设施、燃气计量表和燃气器具及与其连接的软管和紧固件，每年至少进行一次安全检查；发现安全隐患，应当书面告知用户，并应用户要求提供维修服务，合理收取费用。对单位用户的燃气设施和燃气器具的管理、使用，应当进行安全技术指导。燃气经营企业进行安全检查和安全技术指导不得收费。</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燃气经营企业应当在燃气设施所在地段设置明显的统一标志。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城市规划行政管理部门在核发建设工程许可证时，应当按照国家和本市的有关规范要求，保障施工地界内原有燃气设施的安全。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燃气经营企业改动公共输配燃气设施的，应当向市燃气管理部门提出申请，经市燃气管理部门批准后，方可改动。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任何单位和个人在进行可能影响或者危害燃气设施安全的工程施工作业的，应当事先通知燃气经营企业。燃气经营企业应当派人到现场监护。</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在工程施工作业中损坏燃气设施的，必须立即通知燃气经营企业，并负责赔偿。</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在生产、输配和储存燃气的场所明火作业，必须遵守有关安全管理和安全操作的规定。在带气的燃气管道上施工作业，必须采取消防安全措施，并由专业人员操作。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液化石油气储罐、槽车、气瓶等压力容器设备，必须按照国家的有关规范、规定和标准进行使用和管理。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任何单位和个人不得有下列行为：</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（一）损坏、盗窃燃气设施；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（二）在燃气管道及其附属设施上和安全保护距离内挖坑取土，修建建筑物、构筑物或者堆存物品；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（三）排放腐蚀性液体、气体损害燃气管道及其附属设施；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（四）在燃气管道穿越河流标志区域内抛锚或者进行其他有损燃气管道安全的作业；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（五）在调压箱（柜）、调压站、配气站、储配站、压送站的安全保护距离内和通往上述燃气设施的主要通道上，修建建筑物、构筑物，设置停车场、集贸市场或者堆存物品；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（六）移动、覆盖、涂改、拆除、损坏燃气设施的统一标志；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（七）用液化石油气槽车直接向气瓶充装液化石油气，或者用液化石油气气瓶相互倒灌。</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器具管理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从事燃气器具安装、维修的单位，应当具备下列条件：</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（一）具有营业执照；</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（二）有相应的技术人员；</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（三）安装维修人员经过燃气器具安装、维修技能培训；</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（四）有燃气器具生产企业的安装、维修委托协议书。</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燃气用户应当了解安全用气常识，并按照燃气使用规定、产品说明书正确使用燃气器具，发现问题及时报修。</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第六章　使用管理</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管道燃气用户应当按照规定交纳气费，不得拖欠或者拒交。</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燃气用户需要变更用户名称、使用地址、燃气用途或者停止使用燃气的，应当向燃气经营企业办理变更或者停用手续。</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燃气用户不得有下列行为：</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（一）开启旁通阀、使用抽气设备或者其他方法盗用燃气；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（二）擅自安装、拆除、拆修、改装、迁移管道燃气设施或者擅自开关公共阀门；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（三）擅自将居民用气改变为单位用气或者其他经营性用气；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（四）在设有燃气管道设施的房间内住人、放置炉火或者存放易燃、易爆物品；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（五）烧、砸或者倒卧液化石油气气瓶，倒灌液化石油气和排放液化石油气气瓶内的残液；</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（六）将燃气管道作为负重支架或者电器设备、避雷设施的接地导体；</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（七）使用明火检查泄漏。</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抢修和事故处理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燃气经营企业在接到负责管理的燃气设施损坏、泄漏或者其他燃气事故的报告后，应当立即派人抢修和处理，公安部门应当予以配合。</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燃气经营企业对影响抢修的树木、园林设施、市政设施和其他设施，可以采取应急措施，并同时通知有关部门。造成直接经济损失的，应当给予合理补偿。</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燃气经营企业在接到燃气用户的燃气设施和燃气器具发生漏气的报告后，应当立即派人抢修；燃气经营企业接到其他故障的报修，应当按照约定的时间派人维修。</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需要收取维修费用的，应当按照规定的标准收费。</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因维修不及时造成燃气用户直接经济损失的，燃气经营企业应当给予赔偿。</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因燃气事故造成重大经济损失或者人身伤亡的，由事故发生地的区人民政府会同市有关部门按照国家和本市的有关规定处理。</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法律责任</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燃气用户有下列行为之一的，由燃气经营企业通知限期改正；逾期不改正的，除按照规定收取应交费用外，在改正之前可以停止供气：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（一）擅自安装、拆除、拆修、改装、迁移管道燃气设施或者擅自开关公共阀门的；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（二）擅自将居民用气改变为单位用气或者其他经营性用气的；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（三）圈占、覆盖管道燃气设施妨碍安全检查的；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（四）不交纳气费的。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上述行为造成燃气设施损坏的，燃气用户应当负责赔偿。</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燃气经营企业无故减量、降压、停气，给燃气用户造成直接经济损失的，应当给予赔偿。</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未经批准擅自开办、变更、合并、歇业、停业、撤销燃气经营企业的，由市燃气管理部门责令改正，没收违法物品和违法所得，并可处以二千元以上二万元以下罚款。</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黑体" w:hAnsi="黑体" w:cs="宋体" w:hint="eastAsia" w:eastAsia="黑体"/>
          <w:szCs w:val="32"/>
        </w:rPr>
        <w:t>第三十九条</w:t>
      </w:r>
      <w:r>
        <w:rPr>
          <w:rFonts w:ascii="仿宋_GB2312" w:hAnsi="仿宋_GB2312" w:cs="宋体" w:hint="eastAsia"/>
          <w:szCs w:val="32"/>
        </w:rPr>
        <w:t>　有下列行为之一的，由市燃气管理部门责令限期改正，没收违法物品和违法所得，并可处以一千元以上一万元以下罚款：</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仿宋_GB2312" w:hAnsi="仿宋_GB2312" w:cs="宋体" w:hint="eastAsia"/>
          <w:szCs w:val="32"/>
        </w:rPr>
        <w:t>（一）不具备燃气器具安装、维修条件从事安装、维修活动的；</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仿宋_GB2312" w:hAnsi="仿宋_GB2312" w:cs="宋体" w:hint="eastAsia"/>
          <w:szCs w:val="32"/>
        </w:rPr>
        <w:t>（二）向未取得燃气经营许可证的经营者提供液化石油气的；</w:t>
      </w:r>
    </w:p>
    <w:p>
      <w:pPr>
        <w:pStyle w:val="Normal"/>
        <w:snapToGrid w:val="false"/>
        <w:spacing w:lineRule="exact" w:line="560" w:before="0" w:after="0"/>
        <w:ind w:firstLineChars="200" w:startChars="0" w:start="0" w:endChars="0" w:end="0"/>
        <w:contextualSpacing/>
        <w:rPr>
          <w:rFonts w:ascii="仿宋_GB2312" w:hAnsi="仿宋_GB2312" w:cs="宋体" w:hint="eastAsia"/>
          <w:szCs w:val="32"/>
        </w:rPr>
      </w:pPr>
      <w:r>
        <w:rPr>
          <w:rFonts w:ascii="仿宋_GB2312" w:hAnsi="仿宋_GB2312" w:cs="宋体" w:hint="eastAsia"/>
          <w:szCs w:val="32"/>
        </w:rPr>
        <w:t>（三）销售不符合质量或者重量标准液化石油气的；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（四）擅自停止供气的。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有下列行为之一的，由市燃气管理部门责令改正，并可处以五百元以上五千元以下罚款：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（一）损坏燃气设施的；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（二）用液化石油气槽车直接向气瓶充装液化石油气或者用气瓶相互倒灌液化石油气的。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有下列行为之一的，由市燃气管理部门按照下列规定予以处罚：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（一）擅自移动、覆盖、涂改、拆除、损坏燃气设施统一标志的，责令赔偿损失或者恢复原状，并可处以二百元以下罚款；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（二）排放腐蚀性液体、气体损害燃气管道及其附属设施的，责令停止排放，并可处以五百元以上一万元以下罚款；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（三）在燃气管道穿越河流标志区域内抛锚或者进行其他有损燃气管道安全作业的，责令停止违法行为，并可处以一千元以下罚款；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（四）不具有燃气工程设计、施工资格的单位设计、承建燃气工程，以及将未经验收和验收不合格的燃气工程交付使用的，责令停建或者停止运行，并可处以二千元以上一万元以下罚款。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在燃气管道及其附属设施上和安全保护距离内，以及在通往调压箱（柜）、调压站、配气站、压送站的主要通道上，挖坑取土，修建建筑物、构筑物或者堆存物品，危及燃气设施安全的，由市燃气管理部门责令停止违法行为，限期改正，并可处以五百元以上一万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对违法经营经处罚仍不改正的，由市燃气管理部门吊销燃气经营许可证。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销售没有国家规定的生产许可证和出厂检验合格证的燃气器具的，由市场监督管理部门按照有关规定予以处罚。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有下列行为之一的，由公安机关依法给予处罚；构成犯罪的，依法追究刑事责任：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（一）盗用燃气或者盗窃燃气设施的；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（二）故意损坏燃气设施的；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（三）阻碍燃气经营企业检修、抢修燃气设施的；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（四）阻碍燃气管理执法人员依法执行公务的。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仿宋_GB2312" w:hAnsi="仿宋_GB2312" w:cs="宋体" w:hint="eastAsia"/>
          <w:szCs w:val="32"/>
        </w:rPr>
        <w:t>　燃气经营企业违反规定多收费或者不按规定价格退还液化石油气残液费用的，应当按多收或者少退款额的两倍返还燃气用户。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燃气经营企业工作人员违反规定，造成燃气事故的，由其所在单位给予处分；构成犯罪的，依法追究刑事责任。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当事人对行政处罚决定不服的，可以依法申请复议或者向人民法院起诉。逾期不申请复议、不起诉、又不履行处罚决定的，由作出处罚决定的机关申请人民法院强制执行。</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燃气管理部门工作人员滥用职权、玩忽职守、徇私舞弊的，由其所在单位或者上级主管部门给予行政处分；构成犯罪的，依法追究刑事责任。</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第九章　附则</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本条例中下列用语的含义是：</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（一）“燃气”是指天然气、液化石油气、煤制气。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（二）“管道燃气”是指以管道输送方式向用户提供的燃气。</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燃气设施”是指气源生产厂以外的压送站、配气站、储配站、计量站、各种燃气管道及其附属设施（包括凝水缸、阀室、阀门井、阴极保护站、通讯设施等）、调压站、调压箱（柜）以及液化石油气储配站、充装站、混气站、气化站、供应站及其站内外管网供气系统。</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（四）“燃气器具”是指燃气灶具、热水器、采暖器等燃气用具。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（五）“燃气工程”是指燃气设施和工业燃烧设备的新建、扩建、改建工程。</w:t>
      </w:r>
    </w:p>
    <w:p>
      <w:pPr>
        <w:pStyle w:val="Normal"/>
        <w:spacing w:lineRule="exact" w:line="560" w:before="0" w:after="0"/>
        <w:ind w:firstLineChars="200" w:startChars="0" w:start="0" w:endChars="0" w:end="0"/>
        <w:contextualSpacing/>
        <w:rPr/>
      </w:pPr>
      <w:r>
        <w:rPr>
          <w:rFonts w:ascii="黑体" w:hAnsi="黑体" w:cs="宋体" w:hint="eastAsia" w:eastAsia="黑体"/>
          <w:szCs w:val="32"/>
        </w:rPr>
        <w:t>第五十一条</w:t>
      </w:r>
      <w:r>
        <w:rPr>
          <w:rFonts w:ascii="仿宋_GB2312" w:hAnsi="仿宋_GB2312" w:cs="宋体" w:hint="eastAsia"/>
          <w:szCs w:val="32"/>
        </w:rPr>
        <w:t>　本条例于</w:t>
      </w:r>
      <w:r>
        <w:rPr>
          <w:rFonts w:cs="宋体" w:hint="eastAsia" w:ascii="仿宋_GB2312" w:hAnsi="仿宋_GB2312"/>
          <w:szCs w:val="32"/>
        </w:rPr>
        <w:t>1998</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1991</w:t>
      </w:r>
      <w:r>
        <w:rPr>
          <w:rFonts w:ascii="仿宋_GB2312" w:hAnsi="仿宋_GB2312" w:cs="宋体" w:hint="eastAsia"/>
          <w:szCs w:val="32"/>
        </w:rPr>
        <w:t>年</w:t>
      </w:r>
      <w:r>
        <w:rPr>
          <w:rFonts w:cs="宋体" w:hint="eastAsia" w:ascii="仿宋_GB2312" w:hAnsi="仿宋_GB2312"/>
          <w:szCs w:val="32"/>
        </w:rPr>
        <w:t>3</w:t>
      </w:r>
      <w:r>
        <w:rPr>
          <w:rFonts w:ascii="仿宋_GB2312" w:hAnsi="仿宋_GB2312" w:cs="宋体" w:hint="eastAsia"/>
          <w:szCs w:val="32"/>
        </w:rPr>
        <w:t>月</w:t>
      </w:r>
      <w:r>
        <w:rPr>
          <w:rFonts w:cs="宋体" w:hint="eastAsia" w:ascii="仿宋_GB2312" w:hAnsi="仿宋_GB2312"/>
          <w:szCs w:val="32"/>
        </w:rPr>
        <w:t>12</w:t>
      </w:r>
      <w:r>
        <w:rPr>
          <w:rFonts w:ascii="仿宋_GB2312" w:hAnsi="仿宋_GB2312" w:cs="宋体" w:hint="eastAsia"/>
          <w:szCs w:val="32"/>
        </w:rPr>
        <w:t>日天津市人民代表大会常务委员会通过的《天津市城市燃气管理条例》同时废止。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Strong">
    <w:name w:val="Strong"/>
    <w:qFormat/>
    <w:rPr>
      <w:b/>
      <w:bCs/>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文档结构图"/>
    <w:basedOn w:val="Normal"/>
    <w:qFormat/>
    <w:pPr>
      <w:shd w:fill="000080" w:val="clear"/>
    </w:pPr>
    <w:rPr>
      <w:szCs w:val="24"/>
    </w:rPr>
  </w:style>
  <w:style w:type="paragraph" w:styleId="22">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2018-12-17T08:28:00Z</dcterms:created>
  <dc:creator>USER</dc:creator>
  <dc:description/>
  <dc:language>en-US</dc:language>
  <cp:lastModifiedBy>tjrd</cp:lastModifiedBy>
  <cp:lastPrinted>2016-09-14T14:39:00Z</cp:lastPrinted>
  <dcterms:modified xsi:type="dcterms:W3CDTF">2019-01-03T18:46:31Z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