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天津市防洪抗旱条例</w:t>
      </w:r>
    </w:p>
    <w:p>
      <w:pPr>
        <w:pStyle w:val="Normal"/>
        <w:snapToGrid w:val="false"/>
        <w:spacing w:lineRule="exact" w:line="560" w:before="0" w:after="0"/>
        <w:contextualSpacing/>
        <w:jc w:val="center"/>
        <w:rPr>
          <w:rFonts w:ascii="宋体" w:hAnsi="宋体" w:eastAsia="宋体" w:cs="宋体"/>
          <w:sz w:val="44"/>
          <w:szCs w:val="44"/>
        </w:rPr>
      </w:pPr>
      <w:r>
        <w:rPr>
          <w:rFonts w:eastAsia="宋体" w:cs="宋体" w:ascii="宋体" w:hAnsi="宋体"/>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eastAsia="楷体_GB2312" w:cs="Adobe 仿宋 Std R;仿宋_GB2312" w:hint="eastAsia" w:ascii="楷体_GB2312" w:hAnsi="楷体_GB2312"/>
          <w:szCs w:val="32"/>
        </w:rPr>
        <w:t>(2007</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9</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13</w:t>
      </w:r>
      <w:r>
        <w:rPr>
          <w:rFonts w:ascii="楷体_GB2312" w:hAnsi="楷体_GB2312" w:cs="Adobe 仿宋 Std R;仿宋_GB2312" w:hint="eastAsia" w:eastAsia="楷体_GB2312"/>
          <w:szCs w:val="32"/>
        </w:rPr>
        <w:t>日天津市第十四届人民代表大会常务委员会第三十九次会议通过</w:t>
      </w:r>
      <w:r>
        <w:rPr>
          <w:rFonts w:eastAsia="楷体_GB2312" w:cs="Adobe 仿宋 Std R;仿宋_GB2312" w:hint="eastAsia" w:ascii="楷体_GB2312" w:hAnsi="楷体_GB2312"/>
          <w:szCs w:val="32"/>
        </w:rPr>
        <w:t>)</w:t>
      </w:r>
    </w:p>
    <w:p>
      <w:pPr>
        <w:pStyle w:val="Style15"/>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灾害防治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防汛与抗旱</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保障措施</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为加强和规范防洪抗旱工作，根据《</w:t>
      </w:r>
      <w:hyperlink r:id="rId2">
        <w:r>
          <w:rPr>
            <w:rStyle w:val="Hyperlink"/>
            <w:rFonts w:hint="eastAsia"/>
          </w:rPr>
          <w:t>中华人民共和国水法</w:t>
        </w:r>
      </w:hyperlink>
      <w:r>
        <w:rPr>
          <w:rFonts w:ascii="仿宋_GB2312" w:hAnsi="仿宋_GB2312" w:cs="Adobe 仿宋 Std R;仿宋_GB2312" w:hint="eastAsia"/>
          <w:szCs w:val="32"/>
        </w:rPr>
        <w:t>》、《</w:t>
      </w:r>
      <w:hyperlink r:id="rId3">
        <w:r>
          <w:rPr>
            <w:rStyle w:val="Hyperlink"/>
            <w:rFonts w:hint="eastAsia"/>
          </w:rPr>
          <w:t>中华人民共和国防洪法</w:t>
        </w:r>
      </w:hyperlink>
      <w:r>
        <w:rPr>
          <w:rFonts w:ascii="仿宋_GB2312" w:hAnsi="仿宋_GB2312" w:cs="Adobe 仿宋 Std R;仿宋_GB2312" w:hint="eastAsia"/>
          <w:szCs w:val="32"/>
        </w:rPr>
        <w:t>》和《</w:t>
      </w:r>
      <w:hyperlink r:id="rId4">
        <w:r>
          <w:rPr>
            <w:rStyle w:val="Hyperlink"/>
            <w:rFonts w:hint="eastAsia"/>
          </w:rPr>
          <w:t>中华人民共和国防汛条例</w:t>
        </w:r>
      </w:hyperlink>
      <w:r>
        <w:rPr>
          <w:rFonts w:ascii="仿宋_GB2312" w:hAnsi="仿宋_GB2312" w:cs="Adobe 仿宋 Std R;仿宋_GB2312" w:hint="eastAsia"/>
          <w:szCs w:val="32"/>
        </w:rPr>
        <w:t>》等有关法律、法规，结合本市实际，制定本条例。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在本市行政区域内从事防治洪水、沥涝，防御风暴潮和抗旱的有关活动，适用本条例。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防洪抗旱工作坚持以人为本、科学防治、全面规划、统筹兼顾、团结协作和局部利益服从全局利益的原则。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第四条</w:t>
      </w:r>
      <w:r>
        <w:rPr>
          <w:rFonts w:ascii="仿宋_GB2312" w:hAnsi="仿宋_GB2312" w:cs="Adobe 仿宋 Std R;仿宋_GB2312" w:hint="eastAsia"/>
          <w:szCs w:val="32"/>
        </w:rPr>
        <w:t>　各级人民政府应当加强对防洪抗旱工作的统一领导，组织有关部门、单位，动员社会力量，做好防洪抗旱以及洪、涝、潮、旱灾害后的恢复与救济工作。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市和区、县人民政府应当将防洪抗旱工程设施建设纳入本行政区域国民经济和社会发展规划，提高城乡防洪抗旱综合减灾能力。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第五条</w:t>
      </w:r>
      <w:r>
        <w:rPr>
          <w:rFonts w:ascii="仿宋_GB2312" w:hAnsi="仿宋_GB2312" w:cs="Adobe 仿宋 Std R;仿宋_GB2312" w:hint="eastAsia"/>
          <w:szCs w:val="32"/>
        </w:rPr>
        <w:t>　市水行政主管部门在市人民政府领导下，负责全市防洪抗旱的组织、指导、协调、监督等日常工作。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区、县水行政主管部门在区、县人民政府领导下，负责本辖区防洪抗旱的组织、指导、协调、监督等日常工作，业务上受市水行政主管部门的指导。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其他有关部门按照各自职责，做好防洪抗旱的相关工作。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第六条</w:t>
      </w:r>
      <w:r>
        <w:rPr>
          <w:rFonts w:ascii="仿宋_GB2312" w:hAnsi="仿宋_GB2312" w:cs="Adobe 仿宋 Std R;仿宋_GB2312" w:hint="eastAsia"/>
          <w:szCs w:val="32"/>
        </w:rPr>
        <w:t>　任何单位和个人都有依法参加防洪抗旱的义务。</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市和区、县人民政府应当对在防洪抗旱工作中做出突出贡献的单位和个人给予表彰奖励。</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Adobe 仿宋 Std R;仿宋_GB2312" w:hint="eastAsia" w:eastAsia="黑体"/>
          <w:b w:val="false"/>
          <w:color w:val="000000"/>
          <w:sz w:val="32"/>
          <w:szCs w:val="32"/>
        </w:rPr>
        <w:t>第二章　灾害防治</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全市防洪规划，由市水行政主管部门依据海河流域综合规划会同有关部门编制，报市人民政府批准，并报国务院水行政主管部门备案。批准后的全市防洪规划纳入城市总体规划。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和平区、河东区、河西区、河北区、南开区、红桥区的防洪规划由市水行政主管部门统一编制。其他区、县的防洪规划，由本区、县水行政主管部门依据全市防洪规划会同有关部门编制，报本级人民政府批准，并报市水行政主管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全市除涝、防潮等专业规划，由市水行政主管部门依据全市防洪规划会同有关部门编制，报市人民政府批准。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区、县除涝专业规划，由区、县水行政主管部门依据全市除涝规划会同有关部门编制，报本级人民政府批准，并报市水行政主管部门备案。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城市排水规划应当符合全市除涝规划和水污染防治规划。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第九条</w:t>
      </w:r>
      <w:r>
        <w:rPr>
          <w:rFonts w:ascii="仿宋_GB2312" w:hAnsi="仿宋_GB2312" w:cs="Adobe 仿宋 Std R;仿宋_GB2312" w:hint="eastAsia"/>
          <w:szCs w:val="32"/>
        </w:rPr>
        <w:t>　建设防洪抗旱工程设施，应当符合全市防洪规划和水资源综合规划。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受洪水、风暴潮威胁的单位兴建自保工程应当符合防洪、防潮、除涝规划要求和设计标准。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第十条</w:t>
      </w:r>
      <w:r>
        <w:rPr>
          <w:rFonts w:ascii="仿宋_GB2312" w:hAnsi="仿宋_GB2312" w:cs="Adobe 仿宋 Std R;仿宋_GB2312" w:hint="eastAsia"/>
          <w:szCs w:val="32"/>
        </w:rPr>
        <w:t>　建设防洪抗旱工程设施，应当明确工程管理机构，安排运行管理经费，保证工程设施建成后的正常运行。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已投入使用的防洪抗旱工程设施的管理责任人，应当按照有关规定对工程设施进行维护管理，并对工程设施的运行安全负责。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市和区、县水行政主管部门应当对防洪抗旱工程设施定期组织检查，对不符合防洪（含防潮）标准或者有严重质量缺陷的设施，应当责成管理责任人采取除险加固措施，限期消除危险或者重建。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水库大坝的检查监督按照国家有关法律、法规执行。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市国土资源主管部门应当会同相关部门和有关区、县人民政府对山体滑坡、崩塌和泥石流隐患进行全面调查，划定重点防治区，并设立警示标志，采取预防和治理措施。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市水行政主管部门和市环境保护行政主管部门，应当会同有关部门和区、县人民政府，提出划定饮用水水源和备用水源保护区的方案，报市人民政府批准后向社会公告。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各级人民政府应当加大投入，完善排水设施和污水处理设施，实现雨水、污水分流，达标排放。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第十五条</w:t>
      </w:r>
      <w:r>
        <w:rPr>
          <w:rFonts w:ascii="仿宋_GB2312" w:hAnsi="仿宋_GB2312" w:cs="Adobe 仿宋 Std R;仿宋_GB2312" w:hint="eastAsia"/>
          <w:szCs w:val="32"/>
        </w:rPr>
        <w:t>　本市鼓励对雨洪水资源的开发利用。雨洪水收集利用的具体规定和鼓励政策由市人民政府另行制定。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新建、改建、扩建建设项目，应当因地制宜地建设雨水收集利用设施。</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第十六条</w:t>
      </w:r>
      <w:r>
        <w:rPr>
          <w:rFonts w:ascii="仿宋_GB2312" w:hAnsi="仿宋_GB2312" w:cs="Adobe 仿宋 Std R;仿宋_GB2312" w:hint="eastAsia"/>
          <w:szCs w:val="32"/>
        </w:rPr>
        <w:t>　市和区、县水行政主管部门应当采取措施，在保证防洪安全的前提下，充分拦蓄、收集雨洪水。</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防汛与抗旱</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第十七条</w:t>
      </w:r>
      <w:r>
        <w:rPr>
          <w:rFonts w:ascii="仿宋_GB2312" w:hAnsi="仿宋_GB2312" w:cs="Adobe 仿宋 Std R;仿宋_GB2312" w:hint="eastAsia"/>
          <w:szCs w:val="32"/>
        </w:rPr>
        <w:t>　防汛抗旱工作实行各级人民政府行政首长负责制，统一指挥，分级分部门负责。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市人民政府设立防汛抗旱指挥机构，负责组织领导全市的防汛抗旱工作。其办事机构设在市水行政主管部门。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人民政府设立防汛抗旱指挥机构，在市人民政府防汛抗旱指挥机构和本级人民政府的领导下，执行上级防汛抗旱指令，统一指挥本地区的防汛抗旱工作。其办事机构设在区、县水行政主管部门。和平区、河东区、河西区、河北区、南开区、红桥区的防汛抗旱办事机构的设定，由各区人民政府指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市和区、县防汛抗旱指挥机构及其成员单位的职责分工由本级人民政府确定。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本市的汛期起止日期为每年</w:t>
      </w:r>
      <w:r>
        <w:rPr>
          <w:rFonts w:cs="Adobe 仿宋 Std R;仿宋_GB2312" w:hint="eastAsia" w:ascii="仿宋_GB2312" w:hAnsi="仿宋_GB2312"/>
          <w:szCs w:val="32"/>
        </w:rPr>
        <w:t>6</w:t>
      </w:r>
      <w:r>
        <w:rPr>
          <w:rFonts w:ascii="仿宋_GB2312" w:hAnsi="仿宋_GB2312" w:cs="Adobe 仿宋 Std R;仿宋_GB2312" w:hint="eastAsia"/>
          <w:szCs w:val="32"/>
        </w:rPr>
        <w:t>月</w:t>
      </w:r>
      <w:r>
        <w:rPr>
          <w:rFonts w:cs="Adobe 仿宋 Std R;仿宋_GB2312" w:hint="eastAsia" w:ascii="仿宋_GB2312" w:hAnsi="仿宋_GB2312"/>
          <w:szCs w:val="32"/>
        </w:rPr>
        <w:t>15</w:t>
      </w:r>
      <w:r>
        <w:rPr>
          <w:rFonts w:ascii="仿宋_GB2312" w:hAnsi="仿宋_GB2312" w:cs="Adobe 仿宋 Std R;仿宋_GB2312" w:hint="eastAsia"/>
          <w:szCs w:val="32"/>
        </w:rPr>
        <w:t>日至</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15</w:t>
      </w:r>
      <w:r>
        <w:rPr>
          <w:rFonts w:ascii="仿宋_GB2312" w:hAnsi="仿宋_GB2312" w:cs="Adobe 仿宋 Std R;仿宋_GB2312" w:hint="eastAsia"/>
          <w:szCs w:val="32"/>
        </w:rPr>
        <w:t>日。情况特殊时，市防汛抗旱指挥机构可以决定提前进入或者延长防汛期。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当河流的水情接近保证水位，水库水位接近设计洪水位、海潮超过警戒潮位或者防洪工程发生重大险情时，市或者区、县防汛抗旱指挥机构可以宣布进入紧急防汛期，并报上一级人民政府防汛抗旱指挥机构。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市水行政主管部门应当会同有关区、县人民政府，根据国家批准的防御洪水方案，结合本市实际情况，编制本市洪水调度方案，报市人民政府批准，并报国家防汛抗旱指挥机构备案。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市和区、县水行政主管部门应当根据批准后的洪水调度方案、防洪抗旱工程设施和水资源状况，编制防洪预案，报本级人民政府批准，并报上一级水行政主管部门备案。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防洪预案应当根据实际情况变化，适时修改完善。修改后的防洪预案，按原程序报批。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水库和重要闸坝、泵站的管理部门应当根据批准后的洪水调度方案和防洪预案，以及工程设施实际情况，制定调度运用计划，报有管辖权的防汛抗旱指挥机构批准，并报上一级防汛抗旱指挥机构备案。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水库和重要闸坝、泵站等防洪工程设施的管理单位，在执行调度运用计划时，必须服从有管辖权的防汛抗旱指挥机构的统一调度指挥和监督。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市和区、县防汛抗旱指挥机构各成员单位应当依据防洪预案的要求，按照职责分工，做好相关工作，并及时向本级防汛抗旱指挥机构报告有关情况。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第二十五条</w:t>
      </w:r>
      <w:r>
        <w:rPr>
          <w:rFonts w:ascii="仿宋_GB2312" w:hAnsi="仿宋_GB2312" w:cs="Adobe 仿宋 Std R;仿宋_GB2312" w:hint="eastAsia"/>
          <w:szCs w:val="32"/>
        </w:rPr>
        <w:t>　有防洪、防潮任务的单位，应当根据洪水调度方案和防洪预案，制定本单位的防洪、防潮措施，征得所在地的区、县水行政主管部门同意后，由有管辖权的防汛抗旱指挥机构监督实施。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第二十六条</w:t>
      </w:r>
      <w:r>
        <w:rPr>
          <w:rFonts w:ascii="仿宋_GB2312" w:hAnsi="仿宋_GB2312" w:cs="Adobe 仿宋 Std R;仿宋_GB2312" w:hint="eastAsia"/>
          <w:szCs w:val="32"/>
        </w:rPr>
        <w:t>　河道、水库、闸坝、泵站、海堤等工程管理单位，应当按照规定对工程设施进行巡查，发现险情，应立即采取抢护措施，并及时向所在地的区、县防汛抗旱指挥机构和上级主管部门报告。发生重大险情时，所在地的区、县防汛抗旱指挥机构应当立即组织抢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发生汛情、潮情、旱情紧急情况，市和区、县防汛抗旱指挥机构应当向有关单位通报。有关单位应当采取相应措施，减少灾害损失。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电视、广播、报纸等新闻媒体应当根据市和区、县防汛抗旱指挥机构提供的汛情、潮情、旱情，及时向社会发布防汛抗旱信息。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在紧急防汛期或者其他发生汛情、潮情紧急情况时期，市或者区、县防汛抗旱指挥机构可依照职权采取下列措施：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（一）因抢险需要，调用物资、设备、交通运输工具和人力，取土、占地、砍伐林木；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（二）组织群众安全转移；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（三）紧急处置壅水、阻水严重的桥梁、引道、码头和清除阻碍行洪的障碍物；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（四）依法决定实施陆地和水面交通管制；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（五）其他应急措施。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市或者区、县防汛抗旱指挥机构采取以上措施，任何单位和个人应当服从统一指挥，不得阻拦。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调用的物资、设备、交通运输工具和人力，事后应当及时返还或者给予适当补偿。取土、占地、砍伐林木的，应当依法向有关部门补办手续。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在汛期或者其他发生紧急汛情、潮情、旱情时期，河道、水库、闸坝、海堤、泵站、码头、排水工程设施等的使用，必须服从市或者区、县防汛抗旱指挥机构的统一调度和指挥；利用水工程设施和与防汛抗旱有关的水体从事旅游、航运、体育、餐饮、娱乐等活动，必须服从市或者区、县防汛抗旱指挥机构的统一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禁止任何单位和个人擅自启用防洪抗旱工程设施。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第三十条</w:t>
      </w:r>
      <w:r>
        <w:rPr>
          <w:rFonts w:ascii="仿宋_GB2312" w:hAnsi="仿宋_GB2312" w:cs="Adobe 仿宋 Std R;仿宋_GB2312" w:hint="eastAsia"/>
          <w:szCs w:val="32"/>
        </w:rPr>
        <w:t>　市和区、县水行政主管部门应当会同有关部门根据水资源条件、水工程状况和经济社会发展用水需求，编制抗旱预案，报本级人民政府批准，并报上一级水行政主管部门备案。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在旱情发生时，市和区、县防汛抗旱指挥机构应当组织有关部门，确定干旱等级，按照抗旱预案，及时采取相应措施。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第三十二条</w:t>
      </w:r>
      <w:r>
        <w:rPr>
          <w:rFonts w:ascii="仿宋_GB2312" w:hAnsi="仿宋_GB2312" w:cs="Adobe 仿宋 Std R;仿宋_GB2312" w:hint="eastAsia"/>
          <w:szCs w:val="32"/>
        </w:rPr>
        <w:t>　在旱情紧急情况下，市或者区、县防汛抗旱指挥机构应当按照优先保障城乡居民基本生活用水的原则，采取以下应急措施：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（一）核减用水计划和供水指标；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（二）暂停洗车、洗浴等服务业用水和高耗水工业用水；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（三）对机关、企事业单位、居民用水实行定时、定点、限量供应；</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（四）启动城市应急后备水源；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（五）统一对地表水、地下水、再生水、淡化后海水等水源进行调配；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（六）组织车辆实行人工送水；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（七）临时设置抽水泵站，开挖输水渠道，应急打井，建蓄水池；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（八）必要时封堵有关排水、排污口门，保护水源水质；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（九）其他应急措施。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旱情紧急情况下的跨流域调水预案，由市水行政主管部门编制，经市人民政府同意，报国务院水行政主管部门批准。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本市跨区域的调水预案，由市水行政主管部门会同有关区、县人民政府制定，报市人民政府批准。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保障措施</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第三十四条</w:t>
      </w:r>
      <w:r>
        <w:rPr>
          <w:rFonts w:ascii="仿宋_GB2312" w:hAnsi="仿宋_GB2312" w:cs="Adobe 仿宋 Std R;仿宋_GB2312" w:hint="eastAsia"/>
          <w:szCs w:val="32"/>
        </w:rPr>
        <w:t>　发生灾害后，各级人民政府应当组织有关部门和单位，做好灾区的生活供给、卫生防疫、救灾物资供应、治安管理、学校复课、恢复生产和重建家园等救灾工作以及所管辖地区的水毁工程设施修复工作。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受灾地区的防汛抗旱指挥机构应当及时组织有关部门和单位，对洪、涝、潮、旱灾害造成的损失和影响情况进行核实，提出减灾措施，及时报本级人民政府和上一级防汛抗旱指挥机构。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防洪抗旱经费按照政府投入为主、受益者合理负担的原则筹集。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各级人民政府应当采取措施，提高防洪抗旱投入的总体水平，保证防洪抗旱工程设施建设资金及时到位和配套资金足额落实。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防洪抗旱经费主要用于下列事项：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（一）防洪抗旱工程设施建设、维护和修复；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（二）水文测报、旱情监测、通信预警、生物措施等防洪抗旱非工程设施的建设、维护和修复；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（三）抗洪抢险和水毁工程的修复；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（四）防汛抢险、抗旱物资储备；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（五）防汛机动抢险队伍、抗旱服务组织建设；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（六）防洪抗旱日常工作。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防洪抗旱资金必须专款专用，严格审计监督。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第三十八条</w:t>
      </w:r>
      <w:r>
        <w:rPr>
          <w:rFonts w:ascii="仿宋_GB2312" w:hAnsi="仿宋_GB2312" w:cs="Adobe 仿宋 Std R;仿宋_GB2312" w:hint="eastAsia"/>
          <w:szCs w:val="32"/>
        </w:rPr>
        <w:t>　市和区、县防汛抗旱指挥机构应当按规定储备一定数量的防汛抢险、抗旱物资。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有防洪、防潮自保任务的单位应当储备必要的抢险物料，并接受市和区、县防汛抗旱指挥机构的监督检查。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第三十九条</w:t>
      </w:r>
      <w:r>
        <w:rPr>
          <w:rFonts w:ascii="仿宋_GB2312" w:hAnsi="仿宋_GB2312" w:cs="Adobe 仿宋 Std R;仿宋_GB2312" w:hint="eastAsia"/>
          <w:szCs w:val="32"/>
        </w:rPr>
        <w:t>　市和区、县人民政府应当建立健全防汛抗洪抢险专业队伍，配备一定数量的专业技术人员、设备、车辆，提高防汛抢险能力。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本市鼓励组建农民用水者协会等抗旱服务组织。各级人民政府对抗旱服务组织应当予以扶持。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第四十条</w:t>
      </w:r>
      <w:r>
        <w:rPr>
          <w:rFonts w:ascii="仿宋_GB2312" w:hAnsi="仿宋_GB2312" w:cs="Adobe 仿宋 Std R;仿宋_GB2312" w:hint="eastAsia"/>
          <w:szCs w:val="32"/>
        </w:rPr>
        <w:t>　在汛期或者其他发生紧急汛情、潮情、旱情时期，公安、交通、公路等有关部门应当保障防汛、抗旱指挥和抢险车辆优先通行，免收过桥（路）费。防汛、抗旱指挥和抢险车辆标志由市公安交通管理部门印制，市防汛抗旱指挥机构核发。</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第四十一条</w:t>
      </w:r>
      <w:r>
        <w:rPr>
          <w:rFonts w:ascii="仿宋_GB2312" w:hAnsi="仿宋_GB2312" w:cs="Adobe 仿宋 Std R;仿宋_GB2312" w:hint="eastAsia"/>
          <w:szCs w:val="32"/>
        </w:rPr>
        <w:t>　市和区、县防汛抗旱指挥机构应当建立健全防汛抗旱信息系统，提高防汛抗旱预报、预警和指挥决策支持能力。</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法律责任</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第四十二条</w:t>
      </w:r>
      <w:r>
        <w:rPr>
          <w:rFonts w:ascii="仿宋_GB2312" w:hAnsi="仿宋_GB2312" w:cs="Adobe 仿宋 Std R;仿宋_GB2312" w:hint="eastAsia"/>
          <w:szCs w:val="32"/>
        </w:rPr>
        <w:t>　违反本条例规定，工程管理责任单位对不符合防洪（含防潮）标准或者有严重质量缺陷的防洪抗旱工程设施，未按照水行政主管部门要求采取除险加固措施，按期消除危险的，由水行政主管部门责令限期改正，并处一万元以上五万元以下罚款；逾期不改正的，处五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第四十三条</w:t>
      </w:r>
      <w:r>
        <w:rPr>
          <w:rFonts w:ascii="仿宋_GB2312" w:hAnsi="仿宋_GB2312" w:cs="Adobe 仿宋 Std R;仿宋_GB2312" w:hint="eastAsia"/>
          <w:szCs w:val="32"/>
        </w:rPr>
        <w:t>　违反本条例规定，在汛期或者其他发生紧急汛情、潮情、旱情时期，利用水工程设施和与防汛抗旱有关的水体从事旅游、航运、体育、餐饮、娱乐等活动，不服从统一管理的，由水行政主管部门责令限期改正；逾期不改正的，处一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第四十四条</w:t>
      </w:r>
      <w:r>
        <w:rPr>
          <w:rFonts w:ascii="仿宋_GB2312" w:hAnsi="仿宋_GB2312" w:cs="Adobe 仿宋 Std R;仿宋_GB2312" w:hint="eastAsia"/>
          <w:szCs w:val="32"/>
        </w:rPr>
        <w:t>　违反本条例规定，有下列行为之一的，视情节轻重和危害后果，由其所在单位或者上级主管部门给予行政处分；应当给予治安管理处罚的，依照《</w:t>
      </w:r>
      <w:hyperlink r:id="rId5">
        <w:r>
          <w:rPr>
            <w:rStyle w:val="Hyperlink"/>
            <w:rFonts w:hint="eastAsia"/>
          </w:rPr>
          <w:t>中华人民共和国治安管理处罚法</w:t>
        </w:r>
      </w:hyperlink>
      <w:r>
        <w:rPr>
          <w:rFonts w:ascii="仿宋_GB2312" w:hAnsi="仿宋_GB2312" w:cs="Adobe 仿宋 Std R;仿宋_GB2312" w:hint="eastAsia"/>
          <w:szCs w:val="32"/>
        </w:rPr>
        <w:t>》的规定处罚；构成犯罪的，依法追究刑事责任：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（一）拒不执行经批准的调度方案、预案的；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（二）拒不服从防汛抗旱指挥机构统一调度和指挥的；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（三）擅自启用防洪抗旱工程设施的；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（四）截留、挤占、私分和挪用防汛抗旱经费及物资的。</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第四十五条</w:t>
      </w:r>
      <w:r>
        <w:rPr>
          <w:rFonts w:ascii="仿宋_GB2312" w:hAnsi="仿宋_GB2312" w:cs="Adobe 仿宋 Std R;仿宋_GB2312" w:hint="eastAsia"/>
          <w:szCs w:val="32"/>
        </w:rPr>
        <w:t>　对违反本条例的行为，法律、法规已有处罚规定的，按其规定处罚。</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附则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第四十六条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2007</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6"/>
      <w:footerReference w:type="default" r:id="rId7"/>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Char1">
    <w:name w:val="纯文本 Char1"/>
    <w:basedOn w:val="Style14"/>
    <w:qFormat/>
    <w:rPr>
      <w:rFonts w:ascii="宋体" w:hAnsi="宋体" w:cs="Courier New"/>
      <w:kern w:val="2"/>
      <w:sz w:val="21"/>
      <w:szCs w:val="21"/>
    </w:rPr>
  </w:style>
  <w:style w:type="character" w:styleId="1Char">
    <w:name w:val="样式1 Char"/>
    <w:basedOn w:val="Char1"/>
    <w:qFormat/>
    <w:rPr>
      <w:rFonts w:ascii="楷体_GB2312" w:hAnsi="楷体_GB2312" w:eastAsia="楷体_GB2312" w:cs="宋体"/>
      <w:sz w:val="32"/>
      <w:szCs w:val="32"/>
    </w:rPr>
  </w:style>
  <w:style w:type="character" w:styleId="Char">
    <w:name w:val="普通(网站) Char"/>
    <w:basedOn w:val="Style14"/>
    <w:qFormat/>
    <w:rPr>
      <w:rFonts w:ascii="宋体" w:hAnsi="宋体" w:cs="宋体"/>
      <w:sz w:val="24"/>
      <w:szCs w:val="24"/>
    </w:rPr>
  </w:style>
  <w:style w:type="character" w:styleId="2Char1">
    <w:name w:val="标题2 Char"/>
    <w:basedOn w:val="Char"/>
    <w:qFormat/>
    <w:rPr>
      <w:rFonts w:ascii="楷体_GB2312" w:hAnsi="楷体_GB2312" w:eastAsia="楷体_GB2312"/>
      <w:bCs/>
      <w:smallCaps/>
      <w:color w:val="000000"/>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PageNumber">
    <w:name w:val="page number"/>
    <w:basedOn w:val="Style14"/>
    <w:rPr/>
  </w:style>
  <w:style w:type="character" w:styleId="Char11">
    <w:name w:val="正文文本缩进 Char1"/>
    <w:basedOn w:val="Style14"/>
    <w:qFormat/>
    <w:rPr>
      <w:rFonts w:ascii="Times New Roman" w:hAnsi="Times New Roman" w:eastAsia="仿宋_GB2312" w:cs="Times New Roman"/>
      <w:kern w:val="2"/>
      <w:sz w:val="32"/>
      <w:szCs w:val="22"/>
    </w:rPr>
  </w:style>
  <w:style w:type="character" w:styleId="Emphasis">
    <w:name w:val="Emphasis"/>
    <w:basedOn w:val="Style14"/>
    <w:qFormat/>
    <w:rPr>
      <w:i w:val="false"/>
      <w:iCs w:val="false"/>
      <w:color w:val="CC0000"/>
    </w:rPr>
  </w:style>
  <w:style w:type="character" w:styleId="CharChar">
    <w:name w:val="正文文本缩进 Char Char"/>
    <w:basedOn w:val="Style14"/>
    <w:qFormat/>
    <w:rPr>
      <w:rFonts w:ascii="仿宋_GB2312" w:hAnsi="仿宋_GB2312" w:eastAsia="仿宋_GB2312"/>
      <w:kern w:val="2"/>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
    <w:qFormat/>
    <w:rPr/>
  </w:style>
  <w:style w:type="character" w:styleId="3Char2">
    <w:name w:val="标题3 Char"/>
    <w:basedOn w:val="Char1"/>
    <w:qFormat/>
    <w:rPr>
      <w:rFonts w:ascii="黑体" w:hAnsi="黑体" w:eastAsia="黑体" w:cs="宋体"/>
      <w:sz w:val="32"/>
      <w:szCs w:val="32"/>
    </w:rPr>
  </w:style>
  <w:style w:type="character" w:styleId="Char5">
    <w:name w:val="页脚 Char"/>
    <w:basedOn w:val="Style14"/>
    <w:qFormat/>
    <w:rPr>
      <w:rFonts w:ascii="宋体" w:hAnsi="宋体" w:cs="宋体"/>
      <w:sz w:val="18"/>
      <w:szCs w:val="18"/>
    </w:rPr>
  </w:style>
  <w:style w:type="character" w:styleId="CharChar2">
    <w:name w:val="页脚 Char Char"/>
    <w:basedOn w:val="Style14"/>
    <w:qFormat/>
    <w:rPr>
      <w:rFonts w:eastAsia="仿宋_GB2312"/>
      <w:kern w:val="2"/>
      <w:sz w:val="18"/>
      <w:szCs w:val="18"/>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2Char3">
    <w:name w:val="正文文本 2 Char"/>
    <w:basedOn w:val="Style14"/>
    <w:qFormat/>
    <w:rPr>
      <w:rFonts w:eastAsia="仿宋_GB2312"/>
      <w:kern w:val="2"/>
      <w:sz w:val="32"/>
      <w:szCs w:val="24"/>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3CharChar1">
    <w:name w:val="正文文本缩进 3 Char Char"/>
    <w:basedOn w:val="Style14"/>
    <w:qFormat/>
    <w:rPr>
      <w:rFonts w:eastAsia="仿宋_GB2312"/>
      <w:kern w:val="2"/>
      <w:sz w:val="32"/>
      <w:szCs w:val="24"/>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3Char3">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CharChar5">
    <w:name w:val="页眉 Char Char"/>
    <w:basedOn w:val="Style14"/>
    <w:qFormat/>
    <w:rPr>
      <w:kern w:val="2"/>
      <w:sz w:val="18"/>
      <w:szCs w:val="18"/>
    </w:rPr>
  </w:style>
  <w:style w:type="character" w:styleId="3CharChar2">
    <w:name w:val="标题3 Char Char"/>
    <w:basedOn w:val="Char3"/>
    <w:qFormat/>
    <w:rPr>
      <w:rFonts w:ascii="黑体" w:hAnsi="黑体" w:eastAsia="黑体" w:cs="宋体"/>
      <w:sz w:val="32"/>
      <w:szCs w:val="32"/>
    </w:rPr>
  </w:style>
  <w:style w:type="character" w:styleId="CharChar6">
    <w:name w:val="正文文本 Char Char"/>
    <w:basedOn w:val="Style14"/>
    <w:qFormat/>
    <w:rPr>
      <w:rFonts w:eastAsia="仿宋_GB2312"/>
      <w:kern w:val="2"/>
      <w:sz w:val="32"/>
      <w:szCs w:val="24"/>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Style15">
    <w:name w:val="纯文本"/>
    <w:basedOn w:val="Normal"/>
    <w:qFormat/>
    <w:pPr/>
    <w:rPr>
      <w:rFonts w:ascii="华文宋体" w:hAnsi="华文宋体" w:cs="Courier New"/>
      <w:szCs w:val="21"/>
    </w:rPr>
  </w:style>
  <w:style w:type="paragraph" w:styleId="3">
    <w:name w:val="标题3"/>
    <w:basedOn w:val="Style15"/>
    <w:qFormat/>
    <w:pPr>
      <w:ind w:firstLineChars="200" w:startChars="0" w:start="0" w:endChars="0" w:end="0"/>
      <w:jc w:val="center"/>
    </w:pPr>
    <w:rPr>
      <w:rFonts w:ascii="黑体" w:hAnsi="黑体" w:eastAsia="黑体" w:cs="宋体"/>
      <w:szCs w:val="32"/>
    </w:rPr>
  </w:style>
  <w:style w:type="paragraph" w:styleId="Style16">
    <w:name w:val="批注框文本"/>
    <w:basedOn w:val="Normal"/>
    <w:qFormat/>
    <w:pPr/>
    <w:rPr>
      <w:sz w:val="18"/>
      <w:szCs w:val="18"/>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1759,0)" TargetMode="External"/><Relationship Id="rId3" Type="http://schemas.openxmlformats.org/officeDocument/2006/relationships/hyperlink" Target="javascript:SLC(18603,0)" TargetMode="External"/><Relationship Id="rId4" Type="http://schemas.openxmlformats.org/officeDocument/2006/relationships/hyperlink" Target="javascript:SLC(59346,0)" TargetMode="External"/><Relationship Id="rId5" Type="http://schemas.openxmlformats.org/officeDocument/2006/relationships/hyperlink" Target="javascript:SLC(59774,0)"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2016-12-29T09:43:14Z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