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天津市图书报刊管理条例</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2005</w:t>
      </w:r>
      <w:r>
        <w:rPr>
          <w:rFonts w:ascii="楷体_GB2312" w:hAnsi="楷体_GB2312" w:cs="宋体" w:hint="eastAsia" w:eastAsia="楷体_GB2312"/>
          <w:szCs w:val="32"/>
        </w:rPr>
        <w:t>年</w:t>
      </w:r>
      <w:r>
        <w:rPr>
          <w:rFonts w:eastAsia="楷体_GB2312" w:cs="宋体" w:hint="eastAsia" w:ascii="楷体_GB2312" w:hAnsi="楷体_GB2312"/>
          <w:szCs w:val="32"/>
        </w:rPr>
        <w:t>5</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日天津市第十四届人民代表大会常务委员会第二十次会议通过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 xml:space="preserve">日天津市第十五届人民代表大会常务委员会第十九次会议《关于修改部分地方性法规的决定》第一次修正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日天津市第十六届人民代表大会常务委员会第二十五次会议《关于修改部分地方性法规的决定》第二次修正</w:t>
      </w:r>
      <w:r>
        <w:rPr>
          <w:rFonts w:ascii="楷体_GB2312" w:hAnsi="楷体_GB2312" w:cs="宋体" w:hint="eastAsia" w:eastAsia="楷体_GB2312"/>
          <w:szCs w:val="32"/>
        </w:rPr>
        <w:t>）</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出版管理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印刷管理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发行管理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为保障和促进本市图书、报刊出版事业的繁荣和发展，维护出版活动的正常秩序，保护经营者的合法权益，根据国务院《出版管理条例》和《印刷业管理条例》，结合本市实际情况，制定本条例。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在本市行政区域内从事图书、报刊出版经营活动，适用本条例。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本条例所称出版经营活动，包括图书、报刊的出版、印刷和发行。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内部资料性图书、报刊的委印、承印活动，适用本条例。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从事图书、报刊出版经营活动，必须遵守宪法和法律、法规，不得损害国家和人民的利益。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禁止出版经营非法的和含有国家明令禁止内容的图书、报刊。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各级人民政府应当扶持图书、报刊出版事业，鼓励机关、社会团体、企业事业单位设立专项资金或者以其他方式，支持、保障学术科技著作和教科书的出版。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各级人民政府应当采取措施，繁荣图书、报刊市场，保障合法的出版经营活动不受任何组织和个人的非法干扰。</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各级人民政府对执行本条例成绩显著或者揭发、协助查处违法出版经营活动有突出贡献的单位和个人，给予表彰和奖励。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市出版行政部门负责全市图书、报刊出版经营活动的管理和监督工作。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区、县出版行政部门负责本行政区域内图书、报刊印刷、发行活动的管理和监督工作。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公安、工商、海关、税务等行政管理部门，按照各自的职责负责相关的管理工作。</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出版管理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设立图书、报刊出版单位，其主办单位应当向市出版行政部门提出书面申请。市出版行政部门应当自受理申请之日起二十日内审核后，报国务院出版行政部门审批。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市出版行政部门应当自接到国务院出版行政部门的批准决定之日起十日内通知主办单位。</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主办单位应当自接到批准通知之日起六十日内到市出版行政部门登记，领取出版许可证，并持出版许可证向所在地工商行政管理部门申请领取营业执照。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设立图书、报刊出版单位须具备的条件和要求，依照《出版管理条例》的规定执行。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图书、报刊出版单位应当具备法人条件，经核准登记后取得法人资格，以其全部法人财产独立承担民事责任。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法人出版报纸、期刊不设立报社、期刊社的，其设立的报纸编辑部、期刊编辑部视为出版单位，编辑部的民事责任由设立编辑部的法人承担。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图书出版单位登记后未开展出版活动满一百八十日或者停止出版活动满一年的，由市出版行政部门注销其许可证，并报国务院出版行政部门备案。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报刊出版单位登记后未出版报刊满九十日或者停刊满一百八十日的，由市出版行政部门注销登记，并报国务院出版行政部门备案。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出版单位改变名称、主办单位、业务范围，合并或者分立，出版新的报纸、期刊或者报纸、期刊改变名称、刊期的，应当按照本条例第六条规定重新办理审批手续。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禁止伪造、假冒、买卖、转让出版单位的名称、书号、刊号和准印证号。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出版单位以外的任何单位和个人，不得出版在社会上公开发行的图书、报刊。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图书、期刊出版单位应当遵守《出版管理条例》关于重大选题备案的规定，未在出版前报备案的，不得出版。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出版期刊的增刊应当具备下列条件：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（一）正式期刊连续正常出版一年以上并按规定及时缴送样刊；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（二）正式期刊两年内未受过国家和市出版行政部门的行政处罚；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（三）增刊的宗旨、编辑的方针、开本和发行范围与正刊一致。</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出版期刊的增刊，应当由其主办单位向市出版行政部门提出书面申请，市出版行政部门应当自受理申请之日起二十日内作出批准或者不予批准的决定。批准的，颁发增刊许可证；不批准的，应当说明理由。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图书、报刊应当载明版本记录。期刊在封面上不得以总序号代替年度号，不得以要目代替或者压过刊名。</w:t>
      </w:r>
    </w:p>
    <w:p>
      <w:pPr>
        <w:pStyle w:val="Style19"/>
        <w:snapToGrid w:val="false"/>
        <w:spacing w:lineRule="exact" w:line="560" w:before="0" w:after="0"/>
        <w:contextualSpacing/>
        <w:rPr>
          <w:rFonts w:ascii="仿宋_GB2312" w:hAnsi="仿宋_GB2312" w:cs="宋体"/>
          <w:szCs w:val="32"/>
        </w:rPr>
      </w:pPr>
      <w:r>
        <w:rPr>
          <w:rFonts w:cs="宋体" w:hint="eastAsia" w:ascii="仿宋_GB2312" w:hAnsi="仿宋_GB2312"/>
          <w:szCs w:val="32"/>
        </w:rPr>
        <w:t xml:space="preserve">    </w:t>
      </w:r>
      <w:r>
        <w:rPr>
          <w:rFonts w:ascii="仿宋_GB2312" w:hAnsi="仿宋_GB2312" w:cs="宋体" w:hint="eastAsia"/>
          <w:szCs w:val="32"/>
        </w:rPr>
        <w:t>出版单位使用的书号、刊号，不得相互代替。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以未成年人为对象的图书、报刊不得含有诱发未成年人模仿违反社会公德的行为和违法犯罪的行为的内容，不得含有恐怖、残酷等妨害未成年人身心健康的内容。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本市选用或者自编中小学教科书，须按国家规定经教育行政部门审定，其出版、印刷、发行单位由市出版行政部门、教育行政部门会同价格主管部门以招标或者其他公开、公正的方式确定；其他任何单位或者个人不得从事中小学教科书的出版、印刷、发行业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出版单位出版涉及民族、宗教内容但不属于专项选题范围、也不属于宗教内部使用的图书报刊，应当依照国家民族宗教政策严格审读，并可以根据需要征求市民族、宗教事务管理部门的意见，再按出版管理规定办理相关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挂历、年历画、图片、年画、中堂画等的出版，按照国务院出版行政部门有关规定执行。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委印内部资料性图书、报刊，应当经其上级主管部门审查同意并加盖公章后，向市出版行政部门提出申请，经核准领取准印证。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用于宗教内部的内部资料性图书、报刊，应当经市宗教事务管理部门批准，取得市出版行政部门核发的准印证，方可印刷。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市出版行政部门应当自受理申请之日起三十日内作出是否核发准印证的决定，并书面通知申请人；逾期不作出决定的，视为同意。</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准印证按一种内部资料一证的原则核发，一次性使用有效。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委印内部资料性图书、报刊应当遵守下列规定：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（一）不得含有法律、法规禁止的内容和国家明令禁止的内容；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（二）严格按照准印证核准的项目印刷，不得擅自更改，不得使用准印证印刷其他图书、报刊；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（三）严格限定在本系统、本行业、本单位内部交流，不得收取任何费用，不得刊登广告，不得在社会上征订发行，不得发行到境外，不得搞有偿经营性活动，不得与外单位以“合作”形式进行印刷、发行；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（四）必须在图书、报刊印刷企业印刷，注明内部资料，并在明显位置完整地印出准印证编号、委印和承印单位名称，不得省略或者伪造。</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图书、报刊的出版单位和内部资料性图书、报刊的申办单位，应当按照规定向国家图书馆、国家版本图书馆和市出版行政部门缴送样本。</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印刷管理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申办图书、报刊印刷企业，应当报市出版行政部门批准，取得印刷经营许可证。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设立图书、报刊印刷企业须具备的条件、审批程序和要求，依照国家有关规定执行。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图书、报刊印刷企业承接印刷业务时，应当与委印单位签订印刷合同，并查验、收存有关证件。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图书、报刊印刷企业接受委托印刷境外的图书、报刊，应当报市出版行政部门审核，经批准后方可印刷。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市出版行政部门应当自受理申请之日起二十日内作出批准或者不予批准的决定，并书面通知申请单位；不批准的，应当说明理由。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印刷的境外图书、报刊必须全部运输出境，不得在境内发行、散发。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图书、报刊印刷企业应当遵守以下规定：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不得印刷伪造、假冒出版单位名称出版的图书、报刊，不得擅自加印和销售承印的图书、报刊，不得将接受委托印刷的图书、报刊纸型及印刷底片等出售、出租、出借或者以其他形式转让给其他单位或者个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（二）对出版行政部门和出版单位通知停印、封存的图书、报刊，立即停印、封存，不得截留、转移或者销售；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（三）不得出售、出租、出借或者以其他形式转让印刷经营许可证；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（四）不得接受非出版单位或者个人的委托，印刷图书、报刊；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（五）自完成印刷之日起二年内留存一份样本备查。</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发行管理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设立图书、报刊批发企业或者其他单位从事图书、报刊批发业务，应当符合本市出版物发行网点设置规划，并具备下列条件：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（一）有确定的企业名称和经营范围；</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（二）有与图书、报刊批发业务相适应的发行专业人员；</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（三）有与图书、报刊批发业务相适应的设备和固定的经营场所，其中进入批发市场的单店面积不少于五十平方米，独立设置经营场所的营业面积不少于五百平方米；</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（四）注册资本不少于二百万元；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（五）具备相应的计算机管理条件。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设立图书、报刊批发企业或者其他单位从事图书、报刊批发业务，应当向市出版行政部门提出申请，取得相应的经营许可证。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市出版行政部门应当自受理之日起二十日内作出批准或者不予批准的决定。批准的，由市出版行政部门颁发相应的经营许可证，并报国务院出版行政部门备案；不批准的，书面说明理由。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设立图书、报刊零售企业或者其他单位和个人申请从事图书、报刊零售业务，应当符合我市出版物发行网点设置规划，并有确定的名称、经营范围和固定的经营场所。</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设立图书、报刊零售企业或者其他单位和个人申请从事图书、报刊零售业务，应当向所在区、县出版行政部门提出申请，取得相应的经营许可证。区、县出版行政部门应当自受理之日起二十日内作出批准或者不予批准的决定。批准的，颁发相应的经营许可证，并报市出版行政部门备案；不批准的，书面说明理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邮政企业发行报纸、期刊，依照邮政法的规定办理。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图书、报刊发行单位不得转借、转让、出租、抵押和买卖有关许可证。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图书、报刊发行单位变更名称、业务范围、地址或者兼并、合并、分立，应当向原发证机关办理有关手续。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从事图书、报刊发行业务的单位和个人，必须遵守下列规定：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（一）不得从非图书、报刊出版、发行单位进货；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（二）不得以任何形式参与买卖书号、刊号、版号；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（三）不得超出出版行政部门核准的范围经营；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（四）不得搭配销售和强行推销图书、报刊；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（五）不得擅自更改图书、报刊的版权页；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（六）不得以任何形式出卖、出借、出租、转让经营许可证。</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法律责任</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违反本条例规定的行为，依照《出版管理条例》、《印刷业管理条例》和其他法律法规的有关规定予以处罚。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违反本条例规定，侵犯单位或者个人民事权利的，依法承担民事责任；构成犯罪的，依法追究刑事责任。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出版行政部门发现正在印刷、销售或者以其他方式经营非法的和含有国家明令禁止内容的图书、报刊的，有权采取检查、封存、扣押等措施。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行政执法人员滥用职权、玩忽职守、徇私舞弊的，由其主管部门予以批评教育或者行政处分；构成犯罪的，由司法机关依法追究刑事责任。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对拒绝、阻碍行政管理部门工作人员依法执行公务的，由公安机关依照《中华人民共和国治安管理处罚法》予以处罚。</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附则</w:t>
      </w:r>
    </w:p>
    <w:p>
      <w:pPr>
        <w:pStyle w:val="Normal"/>
        <w:snapToGrid w:val="false"/>
        <w:spacing w:lineRule="exact" w:line="560" w:before="0" w:after="0"/>
        <w:ind w:firstLineChars="200" w:startChars="0" w:start="0" w:endChars="0" w:end="0"/>
        <w:contextualSpacing/>
        <w:rPr>
          <w:rFonts w:ascii="黑体" w:hAnsi="黑体" w:eastAsia="黑体" w:cs="宋体"/>
          <w:szCs w:val="32"/>
        </w:rPr>
      </w:pPr>
      <w:r>
        <w:rPr>
          <w:rFonts w:eastAsia="黑体" w:cs="宋体" w:ascii="黑体" w:hAnsi="黑体"/>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本条例自公布之日起施行。</w:t>
      </w:r>
      <w:r>
        <w:rPr>
          <w:rFonts w:cs="宋体" w:hint="eastAsia" w:ascii="仿宋_GB2312" w:hAnsi="仿宋_GB2312"/>
          <w:szCs w:val="32"/>
        </w:rPr>
        <w:t>1999</w:t>
      </w:r>
      <w:r>
        <w:rPr>
          <w:rFonts w:ascii="仿宋_GB2312" w:hAnsi="仿宋_GB2312" w:cs="宋体" w:hint="eastAsia"/>
          <w:szCs w:val="32"/>
        </w:rPr>
        <w:t>年</w:t>
      </w:r>
      <w:r>
        <w:rPr>
          <w:rFonts w:cs="宋体" w:hint="eastAsia" w:ascii="仿宋_GB2312" w:hAnsi="仿宋_GB2312"/>
          <w:szCs w:val="32"/>
        </w:rPr>
        <w:t>6</w:t>
      </w:r>
      <w:r>
        <w:rPr>
          <w:rFonts w:ascii="仿宋_GB2312" w:hAnsi="仿宋_GB2312" w:cs="宋体" w:hint="eastAsia"/>
          <w:szCs w:val="32"/>
        </w:rPr>
        <w:t>月</w:t>
      </w:r>
      <w:r>
        <w:rPr>
          <w:rFonts w:cs="宋体" w:hint="eastAsia" w:ascii="仿宋_GB2312" w:hAnsi="仿宋_GB2312"/>
          <w:szCs w:val="32"/>
        </w:rPr>
        <w:t>21</w:t>
      </w:r>
      <w:r>
        <w:rPr>
          <w:rFonts w:ascii="仿宋_GB2312" w:hAnsi="仿宋_GB2312" w:cs="宋体" w:hint="eastAsia"/>
          <w:szCs w:val="32"/>
        </w:rPr>
        <w:t>日天津市第十三届人民代表大会常务委员会第九次会议通过的《天津市图书报刊管理条例》同时废止。</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3CharChar">
    <w:name w:val="正文文本缩进 3 Char Char"/>
    <w:basedOn w:val="Style14"/>
    <w:qFormat/>
    <w:rPr>
      <w:rFonts w:eastAsia="仿宋_GB2312"/>
      <w:kern w:val="2"/>
      <w:sz w:val="32"/>
      <w:szCs w:val="24"/>
    </w:rPr>
  </w:style>
  <w:style w:type="character" w:styleId="Char">
    <w:name w:val="纯文本 Char"/>
    <w:basedOn w:val="Style14"/>
    <w:qFormat/>
    <w:rPr>
      <w:rFonts w:ascii="华文宋体" w:hAnsi="华文宋体" w:eastAsia="仿宋_GB2312" w:cs="Courier New"/>
      <w:kern w:val="2"/>
      <w:sz w:val="32"/>
      <w:szCs w:val="21"/>
    </w:rPr>
  </w:style>
  <w:style w:type="character" w:styleId="Char1">
    <w:name w:val="纯文本 Char1"/>
    <w:basedOn w:val="Style14"/>
    <w:qFormat/>
    <w:rPr>
      <w:rFonts w:ascii="宋体" w:hAnsi="宋体" w:cs="Courier New"/>
      <w:kern w:val="2"/>
      <w:sz w:val="21"/>
      <w:szCs w:val="21"/>
    </w:rPr>
  </w:style>
  <w:style w:type="character" w:styleId="Strong">
    <w:name w:val="Strong"/>
    <w:basedOn w:val="Style14"/>
    <w:qFormat/>
    <w:rPr>
      <w:b/>
      <w:bCs/>
    </w:rPr>
  </w:style>
  <w:style w:type="character" w:styleId="CharChar">
    <w:name w:val="正文文本 Char Char"/>
    <w:basedOn w:val="Style14"/>
    <w:qFormat/>
    <w:rPr>
      <w:rFonts w:eastAsia="仿宋_GB2312"/>
      <w:kern w:val="2"/>
      <w:sz w:val="32"/>
      <w:szCs w:val="24"/>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3">
    <w:name w:val="普通(网站) Char"/>
    <w:basedOn w:val="Style14"/>
    <w:qFormat/>
    <w:rPr>
      <w:rFonts w:ascii="宋体" w:hAnsi="宋体" w:cs="宋体"/>
      <w:sz w:val="24"/>
      <w:szCs w:val="24"/>
    </w:rPr>
  </w:style>
  <w:style w:type="character" w:styleId="1CharChar">
    <w:name w:val="样式1 Char Char"/>
    <w:basedOn w:val="Char"/>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
    <w:name w:val="标题3 Char"/>
    <w:basedOn w:val="Char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2">
    <w:name w:val="标题3 Char Char"/>
    <w:basedOn w:val="Char"/>
    <w:qFormat/>
    <w:rPr>
      <w:rFonts w:ascii="黑体" w:hAnsi="黑体" w:eastAsia="黑体" w:cs="宋体"/>
      <w:sz w:val="32"/>
      <w:szCs w:val="32"/>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Char7">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2016-12-29T08:52:05Z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