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Indent"/>
        <w:tabs>
          <w:tab w:val="clear" w:pos="420"/>
          <w:tab w:val="left" w:pos="7920" w:leader="none"/>
        </w:tabs>
        <w:snapToGrid w:val="false"/>
        <w:spacing w:lineRule="exact" w:line="720"/>
        <w:ind w:firstLineChars="0" w:firstLine="0" w:endChars="0" w:end="0"/>
        <w:jc w:val="center"/>
        <w:rPr>
          <w:rFonts w:ascii="宋体" w:hAnsi="宋体" w:eastAsia="宋体" w:cs="宋体" w:hint="eastAsia"/>
          <w:sz w:val="44"/>
          <w:szCs w:val="44"/>
        </w:rPr>
      </w:pPr>
      <w:r>
        <w:rPr>
          <w:rFonts w:ascii="宋体" w:hAnsi="宋体" w:cs="宋体" w:hint="eastAsia" w:eastAsia="宋体"/>
          <w:sz w:val="44"/>
          <w:szCs w:val="44"/>
        </w:rPr>
        <w:t>天津市知识产权保护条例</w:t>
      </w:r>
    </w:p>
    <w:p>
      <w:pPr>
        <w:pStyle w:val="Normal"/>
        <w:ind w:firstLineChars="0" w:firstLine="0" w:startChars="0" w:start="0" w:endChars="17"/>
        <w:jc w:val="center"/>
        <w:rPr>
          <w:rFonts w:ascii="楷体_GB2312" w:hAnsi="楷体_GB2312" w:eastAsia="楷体_GB2312" w:cs="宋体" w:hint="eastAsia"/>
          <w:color w:val="000000"/>
          <w:sz w:val="32"/>
          <w:szCs w:val="22"/>
        </w:rPr>
      </w:pPr>
      <w:r>
        <w:rPr>
          <w:rFonts w:eastAsia="楷体_GB2312" w:cs="宋体" w:hint="eastAsia" w:ascii="楷体_GB2312" w:hAnsi="楷体_GB2312"/>
          <w:color w:val="000000"/>
          <w:sz w:val="32"/>
          <w:szCs w:val="22"/>
        </w:rPr>
      </w:r>
    </w:p>
    <w:p>
      <w:pPr>
        <w:pStyle w:val="Normal"/>
        <w:ind w:firstLineChars="0" w:firstLine="0" w:startChars="0" w:start="0" w:endChars="17"/>
        <w:jc w:val="center"/>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w:t>
      </w:r>
      <w:r>
        <w:rPr>
          <w:rFonts w:eastAsia="楷体_GB2312" w:hint="eastAsia" w:ascii="楷体_GB2312" w:hAnsi="楷体_GB2312"/>
          <w:color w:val="000000"/>
          <w:sz w:val="32"/>
          <w:szCs w:val="32"/>
        </w:rPr>
        <w:t>2019</w:t>
      </w:r>
      <w:r>
        <w:rPr>
          <w:rFonts w:ascii="楷体_GB2312" w:hAnsi="楷体_GB2312" w:hint="eastAsia" w:eastAsia="楷体_GB2312"/>
          <w:color w:val="000000"/>
          <w:sz w:val="32"/>
          <w:szCs w:val="32"/>
        </w:rPr>
        <w:t>年</w:t>
      </w:r>
      <w:r>
        <w:rPr>
          <w:rFonts w:eastAsia="楷体_GB2312" w:hint="eastAsia" w:ascii="楷体_GB2312" w:hAnsi="楷体_GB2312"/>
          <w:color w:val="000000"/>
          <w:sz w:val="32"/>
          <w:szCs w:val="32"/>
        </w:rPr>
        <w:t>9</w:t>
      </w:r>
      <w:r>
        <w:rPr>
          <w:rFonts w:ascii="楷体_GB2312" w:hAnsi="楷体_GB2312" w:hint="eastAsia" w:eastAsia="楷体_GB2312"/>
          <w:color w:val="000000"/>
          <w:sz w:val="32"/>
          <w:szCs w:val="32"/>
        </w:rPr>
        <w:t>月</w:t>
      </w:r>
      <w:r>
        <w:rPr>
          <w:rFonts w:eastAsia="楷体_GB2312" w:hint="eastAsia" w:ascii="楷体_GB2312" w:hAnsi="楷体_GB2312"/>
          <w:color w:val="000000"/>
          <w:sz w:val="32"/>
          <w:szCs w:val="32"/>
        </w:rPr>
        <w:t>27</w:t>
      </w:r>
      <w:r>
        <w:rPr>
          <w:rFonts w:ascii="楷体_GB2312" w:hAnsi="楷体_GB2312" w:hint="eastAsia" w:eastAsia="楷体_GB2312"/>
          <w:color w:val="000000"/>
          <w:sz w:val="32"/>
          <w:szCs w:val="32"/>
        </w:rPr>
        <w:t>日天津市第十七届人民</w:t>
      </w:r>
    </w:p>
    <w:p>
      <w:pPr>
        <w:pStyle w:val="Normal"/>
        <w:jc w:val="center"/>
        <w:rPr>
          <w:rFonts w:ascii="楷体_GB2312" w:hAnsi="楷体_GB2312" w:eastAsia="楷体_GB2312"/>
          <w:color w:val="000000"/>
          <w:sz w:val="32"/>
          <w:szCs w:val="32"/>
        </w:rPr>
      </w:pPr>
      <w:r>
        <w:rPr>
          <w:rFonts w:ascii="楷体_GB2312" w:hAnsi="楷体_GB2312" w:hint="eastAsia" w:eastAsia="楷体_GB2312"/>
          <w:color w:val="000000"/>
          <w:sz w:val="32"/>
          <w:szCs w:val="32"/>
        </w:rPr>
        <w:t>代表大会常务委员会第十三次会议通过）</w:t>
      </w:r>
    </w:p>
    <w:p>
      <w:pPr>
        <w:pStyle w:val="BodyTextIndent"/>
        <w:tabs>
          <w:tab w:val="clear" w:pos="420"/>
          <w:tab w:val="left" w:pos="7920" w:leader="none"/>
        </w:tabs>
        <w:ind w:firstLineChars="0" w:firstLine="0" w:endChars="0" w:end="0"/>
        <w:rPr>
          <w:rFonts w:ascii="黑体" w:hAnsi="黑体" w:eastAsia="黑体" w:cs="黑体"/>
          <w:color w:val="000000"/>
          <w:sz w:val="32"/>
          <w:szCs w:val="32"/>
        </w:rPr>
      </w:pPr>
      <w:r>
        <w:rPr>
          <w:rFonts w:eastAsia="黑体" w:cs="黑体" w:ascii="黑体" w:hAnsi="黑体"/>
          <w:color w:val="000000"/>
          <w:sz w:val="32"/>
          <w:szCs w:val="32"/>
        </w:rPr>
      </w:r>
    </w:p>
    <w:p>
      <w:pPr>
        <w:pStyle w:val="Normal"/>
        <w:autoSpaceDE w:val="false"/>
        <w:snapToGrid w:val="false"/>
        <w:jc w:val="center"/>
        <w:rPr>
          <w:rFonts w:eastAsia="楷体"/>
          <w:sz w:val="32"/>
          <w:szCs w:val="32"/>
        </w:rPr>
      </w:pPr>
      <w:r>
        <w:rPr>
          <w:rFonts w:ascii="楷体_GB2312" w:hAnsi="楷体_GB2312" w:cs="宋体" w:hint="eastAsia" w:eastAsia="楷体_GB2312"/>
          <w:sz w:val="32"/>
          <w:szCs w:val="32"/>
        </w:rPr>
        <w:t>目  录</w:t>
      </w:r>
    </w:p>
    <w:p>
      <w:pPr>
        <w:pStyle w:val="Normal"/>
        <w:snapToGrid w:val="false"/>
        <w:spacing w:lineRule="exact" w:line="560" w:before="0" w:after="0"/>
        <w:ind w:firstLineChars="0" w:firstLine="0" w:startChars="200" w:endChars="0" w:end="0"/>
        <w:contextualSpacing/>
        <w:rPr>
          <w:rFonts w:ascii="楷体_GB2312" w:hAnsi="楷体_GB2312" w:eastAsia="楷体_GB2312" w:cs="宋体"/>
          <w:sz w:val="32"/>
          <w:szCs w:val="32"/>
        </w:rPr>
      </w:pPr>
      <w:r>
        <w:rPr>
          <w:rFonts w:ascii="楷体_GB2312" w:hAnsi="楷体_GB2312" w:cs="宋体" w:hint="eastAsia" w:eastAsia="楷体_GB2312"/>
          <w:sz w:val="32"/>
          <w:szCs w:val="32"/>
        </w:rPr>
        <w:t>第一章  总则</w:t>
      </w:r>
    </w:p>
    <w:p>
      <w:pPr>
        <w:pStyle w:val="Normal"/>
        <w:snapToGrid w:val="false"/>
        <w:spacing w:lineRule="exact" w:line="560" w:before="0" w:after="0"/>
        <w:ind w:firstLineChars="0" w:firstLine="0" w:startChars="200" w:endChars="0" w:end="0"/>
        <w:contextualSpacing/>
        <w:rPr>
          <w:rFonts w:ascii="楷体_GB2312" w:hAnsi="楷体_GB2312" w:eastAsia="楷体_GB2312" w:cs="宋体"/>
          <w:sz w:val="32"/>
          <w:szCs w:val="32"/>
        </w:rPr>
      </w:pPr>
      <w:r>
        <w:rPr>
          <w:rFonts w:ascii="楷体_GB2312" w:hAnsi="楷体_GB2312" w:cs="宋体" w:hint="eastAsia" w:eastAsia="楷体_GB2312"/>
          <w:sz w:val="32"/>
          <w:szCs w:val="32"/>
        </w:rPr>
        <w:t>第二章  行政</w:t>
      </w:r>
      <w:r>
        <w:rPr>
          <w:rFonts w:ascii="楷体_GB2312" w:hAnsi="楷体_GB2312" w:cs="宋体" w:eastAsia="楷体_GB2312"/>
          <w:sz w:val="32"/>
          <w:szCs w:val="32"/>
        </w:rPr>
        <w:t>保护</w:t>
      </w:r>
    </w:p>
    <w:p>
      <w:pPr>
        <w:pStyle w:val="Normal"/>
        <w:tabs>
          <w:tab w:val="clear" w:pos="420"/>
          <w:tab w:val="left" w:pos="6885" w:leader="none"/>
        </w:tabs>
        <w:snapToGrid w:val="false"/>
        <w:spacing w:lineRule="exact" w:line="560" w:before="0" w:after="0"/>
        <w:ind w:firstLineChars="0" w:firstLine="0" w:startChars="200" w:endChars="0" w:end="0"/>
        <w:contextualSpacing/>
        <w:rPr>
          <w:rFonts w:ascii="楷体_GB2312" w:hAnsi="楷体_GB2312" w:eastAsia="楷体_GB2312" w:cs="宋体"/>
          <w:sz w:val="32"/>
          <w:szCs w:val="32"/>
        </w:rPr>
      </w:pPr>
      <w:r>
        <w:rPr>
          <w:rFonts w:ascii="楷体_GB2312" w:hAnsi="楷体_GB2312" w:cs="宋体" w:hint="eastAsia" w:eastAsia="楷体_GB2312"/>
          <w:sz w:val="32"/>
          <w:szCs w:val="32"/>
        </w:rPr>
        <w:t>第三</w:t>
      </w:r>
      <w:r>
        <w:rPr>
          <w:rFonts w:ascii="楷体_GB2312" w:hAnsi="楷体_GB2312" w:cs="宋体" w:eastAsia="楷体_GB2312"/>
          <w:sz w:val="32"/>
          <w:szCs w:val="32"/>
        </w:rPr>
        <w:t>章</w:t>
      </w:r>
      <w:r>
        <w:rPr>
          <w:rFonts w:ascii="楷体_GB2312" w:hAnsi="楷体_GB2312" w:cs="宋体" w:hint="eastAsia" w:eastAsia="楷体_GB2312"/>
          <w:sz w:val="32"/>
          <w:szCs w:val="32"/>
        </w:rPr>
        <w:t xml:space="preserve">  社会</w:t>
      </w:r>
      <w:r>
        <w:rPr>
          <w:rFonts w:ascii="楷体_GB2312" w:hAnsi="楷体_GB2312" w:cs="宋体" w:eastAsia="楷体_GB2312"/>
          <w:sz w:val="32"/>
          <w:szCs w:val="32"/>
        </w:rPr>
        <w:t>保护</w:t>
      </w:r>
      <w:r>
        <w:rPr>
          <w:rFonts w:eastAsia="楷体_GB2312" w:cs="宋体" w:ascii="楷体_GB2312" w:hAnsi="楷体_GB2312"/>
          <w:sz w:val="32"/>
          <w:szCs w:val="32"/>
        </w:rPr>
        <w:tab/>
      </w:r>
    </w:p>
    <w:p>
      <w:pPr>
        <w:pStyle w:val="Normal"/>
        <w:snapToGrid w:val="false"/>
        <w:spacing w:lineRule="exact" w:line="560" w:before="0" w:after="0"/>
        <w:ind w:firstLineChars="0" w:firstLine="0" w:startChars="200" w:endChars="0" w:end="0"/>
        <w:contextualSpacing/>
        <w:rPr>
          <w:rFonts w:ascii="楷体_GB2312" w:hAnsi="楷体_GB2312" w:eastAsia="楷体_GB2312" w:cs="宋体"/>
          <w:sz w:val="32"/>
          <w:szCs w:val="32"/>
        </w:rPr>
      </w:pPr>
      <w:r>
        <w:rPr>
          <w:rFonts w:ascii="楷体_GB2312" w:hAnsi="楷体_GB2312" w:cs="宋体" w:hint="eastAsia" w:eastAsia="楷体_GB2312"/>
          <w:sz w:val="32"/>
          <w:szCs w:val="32"/>
        </w:rPr>
        <w:t>第四章  纠纷解决</w:t>
      </w:r>
      <w:r>
        <w:rPr>
          <w:rFonts w:ascii="楷体_GB2312" w:hAnsi="楷体_GB2312" w:cs="宋体" w:eastAsia="楷体_GB2312"/>
          <w:sz w:val="32"/>
          <w:szCs w:val="32"/>
        </w:rPr>
        <w:t>机制</w:t>
      </w:r>
      <w:r>
        <w:rPr>
          <w:rFonts w:ascii="楷体_GB2312" w:hAnsi="楷体_GB2312" w:cs="宋体" w:hint="eastAsia" w:eastAsia="楷体_GB2312"/>
          <w:sz w:val="32"/>
          <w:szCs w:val="32"/>
        </w:rPr>
        <w:t xml:space="preserve"> </w:t>
      </w:r>
    </w:p>
    <w:p>
      <w:pPr>
        <w:pStyle w:val="Normal"/>
        <w:snapToGrid w:val="false"/>
        <w:spacing w:lineRule="exact" w:line="560" w:before="0" w:after="0"/>
        <w:ind w:firstLineChars="0" w:firstLine="0" w:startChars="200" w:endChars="0" w:end="0"/>
        <w:contextualSpacing/>
        <w:rPr>
          <w:rFonts w:ascii="楷体_GB2312" w:hAnsi="楷体_GB2312" w:eastAsia="楷体_GB2312" w:cs="宋体"/>
          <w:sz w:val="32"/>
          <w:szCs w:val="32"/>
        </w:rPr>
      </w:pPr>
      <w:r>
        <w:rPr>
          <w:rFonts w:ascii="楷体_GB2312" w:hAnsi="楷体_GB2312" w:cs="宋体" w:hint="eastAsia" w:eastAsia="楷体_GB2312"/>
          <w:sz w:val="32"/>
          <w:szCs w:val="32"/>
        </w:rPr>
        <w:t>第五章  执法</w:t>
      </w:r>
      <w:r>
        <w:rPr>
          <w:rFonts w:ascii="楷体_GB2312" w:hAnsi="楷体_GB2312" w:cs="宋体" w:eastAsia="楷体_GB2312"/>
          <w:sz w:val="32"/>
          <w:szCs w:val="32"/>
        </w:rPr>
        <w:t>与处罚</w:t>
      </w:r>
    </w:p>
    <w:p>
      <w:pPr>
        <w:pStyle w:val="Normal"/>
        <w:snapToGrid w:val="false"/>
        <w:spacing w:lineRule="exact" w:line="560" w:before="0" w:after="0"/>
        <w:ind w:firstLineChars="0" w:firstLine="0" w:startChars="200" w:endChars="0" w:end="0"/>
        <w:contextualSpacing/>
        <w:rPr>
          <w:rFonts w:ascii="楷体_GB2312" w:hAnsi="楷体_GB2312" w:eastAsia="楷体_GB2312" w:cs="宋体"/>
          <w:sz w:val="32"/>
          <w:szCs w:val="32"/>
        </w:rPr>
      </w:pPr>
      <w:r>
        <w:rPr>
          <w:rFonts w:ascii="楷体_GB2312" w:hAnsi="楷体_GB2312" w:cs="宋体" w:hint="eastAsia" w:eastAsia="楷体_GB2312"/>
          <w:sz w:val="32"/>
          <w:szCs w:val="32"/>
        </w:rPr>
        <w:t>第</w:t>
      </w:r>
      <w:r>
        <w:rPr>
          <w:rFonts w:ascii="楷体_GB2312" w:hAnsi="楷体_GB2312" w:cs="宋体" w:eastAsia="楷体_GB2312"/>
          <w:sz w:val="32"/>
          <w:szCs w:val="32"/>
        </w:rPr>
        <w:t>六章</w:t>
      </w:r>
      <w:r>
        <w:rPr>
          <w:rFonts w:ascii="楷体_GB2312" w:hAnsi="楷体_GB2312" w:cs="宋体" w:hint="eastAsia" w:eastAsia="楷体_GB2312"/>
          <w:sz w:val="32"/>
          <w:szCs w:val="32"/>
        </w:rPr>
        <w:t xml:space="preserve">  附则</w:t>
      </w:r>
    </w:p>
    <w:p>
      <w:pPr>
        <w:pStyle w:val="BodyTextIndent"/>
        <w:tabs>
          <w:tab w:val="clear" w:pos="420"/>
          <w:tab w:val="left" w:pos="7920" w:leader="none"/>
        </w:tabs>
        <w:ind w:firstLineChars="0" w:firstLine="0" w:endChars="0" w:end="0"/>
        <w:rPr>
          <w:rFonts w:ascii="楷体_GB2312" w:hAnsi="楷体_GB2312" w:eastAsia="楷体_GB2312" w:cs="宋体" w:hint="eastAsia"/>
          <w:sz w:val="32"/>
          <w:szCs w:val="32"/>
        </w:rPr>
      </w:pPr>
      <w:r>
        <w:rPr>
          <w:rFonts w:eastAsia="楷体_GB2312" w:cs="宋体" w:hint="eastAsia" w:ascii="楷体_GB2312" w:hAnsi="楷体_GB2312"/>
          <w:sz w:val="32"/>
          <w:szCs w:val="32"/>
        </w:rPr>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0" w:firstLine="0" w:endChars="0" w:end="0"/>
        <w:jc w:val="center"/>
        <w:textAlignment w:val="auto"/>
        <w:rPr>
          <w:rFonts w:ascii="黑体" w:hAnsi="黑体" w:eastAsia="黑体" w:cs="黑体" w:hint="eastAsia"/>
          <w:szCs w:val="32"/>
        </w:rPr>
      </w:pPr>
      <w:r>
        <w:rPr>
          <w:rFonts w:eastAsia="黑体" w:cs="黑体" w:hint="eastAsia" w:ascii="黑体" w:hAnsi="黑体"/>
          <w:szCs w:val="32"/>
        </w:rPr>
        <w:t xml:space="preserve">  </w:t>
      </w:r>
      <w:r>
        <w:rPr>
          <w:rFonts w:ascii="黑体" w:hAnsi="黑体" w:cs="黑体" w:hint="eastAsia" w:eastAsia="黑体"/>
          <w:szCs w:val="32"/>
        </w:rPr>
        <w:t>第一章　总  则</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endChars="0" w:end="0"/>
        <w:textAlignment w:val="auto"/>
        <w:rPr>
          <w:szCs w:val="32"/>
        </w:rPr>
      </w:pPr>
      <w:r>
        <w:rPr>
          <w:rFonts w:ascii="黑体" w:hAnsi="黑体" w:cs="黑体" w:hint="eastAsia" w:eastAsia="黑体"/>
          <w:szCs w:val="32"/>
        </w:rPr>
        <w:t>第一条</w:t>
      </w:r>
      <w:r>
        <w:rPr>
          <w:rFonts w:eastAsia="黑体"/>
        </w:rPr>
        <w:t xml:space="preserve">  </w:t>
      </w:r>
      <w:r>
        <w:rPr>
          <w:rFonts w:hint="eastAsia"/>
          <w:szCs w:val="32"/>
        </w:rPr>
        <w:t>为了加强知识产权保护，激发创新活力，营造尊重知识价值、公平竞争的营商环境，根据有关法律、行政法规的规定，结合本市实际情况，制定本条例。</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endChars="0" w:end="0"/>
        <w:textAlignment w:val="auto"/>
        <w:rPr>
          <w:rFonts w:hint="eastAsia"/>
          <w:szCs w:val="32"/>
        </w:rPr>
      </w:pPr>
      <w:r>
        <w:rPr>
          <w:rFonts w:ascii="黑体" w:hAnsi="黑体" w:cs="黑体" w:hint="eastAsia" w:eastAsia="黑体"/>
          <w:szCs w:val="32"/>
        </w:rPr>
        <w:t>第二条</w:t>
      </w:r>
      <w:r>
        <w:rPr>
          <w:rFonts w:eastAsia="黑体"/>
        </w:rPr>
        <w:t xml:space="preserve">  </w:t>
      </w:r>
      <w:r>
        <w:rPr>
          <w:rFonts w:hint="eastAsia"/>
          <w:szCs w:val="32"/>
        </w:rPr>
        <w:t>本条例适用于本市行政区域内知识产权保护、管理及相关活动。</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endChars="0" w:end="0"/>
        <w:textAlignment w:val="auto"/>
        <w:rPr>
          <w:rFonts w:hint="eastAsia"/>
          <w:szCs w:val="32"/>
        </w:rPr>
      </w:pPr>
      <w:r>
        <w:rPr>
          <w:rFonts w:hint="eastAsia"/>
          <w:szCs w:val="32"/>
        </w:rPr>
        <w:t>本条例所称知识产权，是指权利人依法就下列客体享有的专有的权利：</w:t>
      </w:r>
    </w:p>
    <w:p>
      <w:pPr>
        <w:pStyle w:val="BodyTextIndent"/>
        <w:keepNext w:val="false"/>
        <w:keepLines w:val="false"/>
        <w:pageBreakBefore w:val="false"/>
        <w:widowControl w:val="false"/>
        <w:kinsoku w:val="true"/>
        <w:overflowPunct w:val="true"/>
        <w:autoSpaceDE w:val="true"/>
        <w:bidi w:val="0"/>
        <w:snapToGrid w:val="true"/>
        <w:spacing w:lineRule="atLeast" w:line="300"/>
        <w:textAlignment w:val="auto"/>
        <w:rPr>
          <w:rFonts w:hint="eastAsia"/>
          <w:szCs w:val="32"/>
        </w:rPr>
      </w:pPr>
      <w:r>
        <w:rPr>
          <w:rFonts w:hint="eastAsia"/>
          <w:szCs w:val="32"/>
        </w:rPr>
        <w:t>（一）作品；</w:t>
      </w:r>
    </w:p>
    <w:p>
      <w:pPr>
        <w:pStyle w:val="BodyTextIndent"/>
        <w:keepNext w:val="false"/>
        <w:keepLines w:val="false"/>
        <w:pageBreakBefore w:val="false"/>
        <w:widowControl w:val="false"/>
        <w:kinsoku w:val="true"/>
        <w:overflowPunct w:val="true"/>
        <w:autoSpaceDE w:val="true"/>
        <w:bidi w:val="0"/>
        <w:snapToGrid w:val="true"/>
        <w:spacing w:lineRule="atLeast" w:line="300"/>
        <w:textAlignment w:val="auto"/>
        <w:rPr>
          <w:rFonts w:hint="eastAsia"/>
          <w:szCs w:val="32"/>
        </w:rPr>
      </w:pPr>
      <w:r>
        <w:rPr>
          <w:rFonts w:hint="eastAsia"/>
          <w:szCs w:val="32"/>
        </w:rPr>
        <w:t>（二）发明、实用新型、外观设计；</w:t>
      </w:r>
    </w:p>
    <w:p>
      <w:pPr>
        <w:pStyle w:val="BodyTextIndent"/>
        <w:keepNext w:val="false"/>
        <w:keepLines w:val="false"/>
        <w:pageBreakBefore w:val="false"/>
        <w:widowControl w:val="false"/>
        <w:kinsoku w:val="true"/>
        <w:overflowPunct w:val="true"/>
        <w:autoSpaceDE w:val="true"/>
        <w:bidi w:val="0"/>
        <w:snapToGrid w:val="true"/>
        <w:spacing w:lineRule="atLeast" w:line="300"/>
        <w:textAlignment w:val="auto"/>
        <w:rPr>
          <w:rFonts w:hint="eastAsia"/>
          <w:szCs w:val="32"/>
        </w:rPr>
      </w:pPr>
      <w:r>
        <w:rPr>
          <w:rFonts w:hint="eastAsia"/>
          <w:szCs w:val="32"/>
        </w:rPr>
        <w:t>（三）商标；</w:t>
      </w:r>
    </w:p>
    <w:p>
      <w:pPr>
        <w:pStyle w:val="BodyTextIndent"/>
        <w:keepNext w:val="false"/>
        <w:keepLines w:val="false"/>
        <w:pageBreakBefore w:val="false"/>
        <w:widowControl w:val="false"/>
        <w:kinsoku w:val="true"/>
        <w:overflowPunct w:val="true"/>
        <w:autoSpaceDE w:val="true"/>
        <w:bidi w:val="0"/>
        <w:snapToGrid w:val="true"/>
        <w:spacing w:lineRule="atLeast" w:line="300"/>
        <w:textAlignment w:val="auto"/>
        <w:rPr>
          <w:rFonts w:hint="eastAsia"/>
          <w:szCs w:val="32"/>
        </w:rPr>
      </w:pPr>
      <w:r>
        <w:rPr>
          <w:rFonts w:hint="eastAsia"/>
          <w:szCs w:val="32"/>
        </w:rPr>
        <w:t>（四）地理标志；</w:t>
      </w:r>
    </w:p>
    <w:p>
      <w:pPr>
        <w:pStyle w:val="BodyTextIndent"/>
        <w:keepNext w:val="false"/>
        <w:keepLines w:val="false"/>
        <w:pageBreakBefore w:val="false"/>
        <w:widowControl w:val="false"/>
        <w:kinsoku w:val="true"/>
        <w:overflowPunct w:val="true"/>
        <w:autoSpaceDE w:val="true"/>
        <w:bidi w:val="0"/>
        <w:snapToGrid w:val="true"/>
        <w:spacing w:lineRule="atLeast" w:line="300"/>
        <w:textAlignment w:val="auto"/>
        <w:rPr>
          <w:rFonts w:hint="eastAsia"/>
          <w:szCs w:val="32"/>
        </w:rPr>
      </w:pPr>
      <w:r>
        <w:rPr>
          <w:rFonts w:hint="eastAsia"/>
          <w:szCs w:val="32"/>
        </w:rPr>
        <w:t>（五）商业秘密；</w:t>
      </w:r>
    </w:p>
    <w:p>
      <w:pPr>
        <w:pStyle w:val="BodyTextIndent"/>
        <w:keepNext w:val="false"/>
        <w:keepLines w:val="false"/>
        <w:pageBreakBefore w:val="false"/>
        <w:widowControl w:val="false"/>
        <w:kinsoku w:val="true"/>
        <w:overflowPunct w:val="true"/>
        <w:autoSpaceDE w:val="true"/>
        <w:bidi w:val="0"/>
        <w:snapToGrid w:val="true"/>
        <w:spacing w:lineRule="atLeast" w:line="300"/>
        <w:textAlignment w:val="auto"/>
        <w:rPr>
          <w:rFonts w:hint="eastAsia"/>
          <w:szCs w:val="32"/>
        </w:rPr>
      </w:pPr>
      <w:r>
        <w:rPr>
          <w:rFonts w:hint="eastAsia"/>
          <w:szCs w:val="32"/>
        </w:rPr>
        <w:t>（六）集成电路布图设计；</w:t>
      </w:r>
    </w:p>
    <w:p>
      <w:pPr>
        <w:pStyle w:val="BodyTextIndent"/>
        <w:keepNext w:val="false"/>
        <w:keepLines w:val="false"/>
        <w:pageBreakBefore w:val="false"/>
        <w:widowControl w:val="false"/>
        <w:kinsoku w:val="true"/>
        <w:overflowPunct w:val="true"/>
        <w:autoSpaceDE w:val="true"/>
        <w:bidi w:val="0"/>
        <w:snapToGrid w:val="true"/>
        <w:spacing w:lineRule="atLeast" w:line="300"/>
        <w:textAlignment w:val="auto"/>
        <w:rPr>
          <w:rFonts w:hint="eastAsia"/>
          <w:szCs w:val="32"/>
        </w:rPr>
      </w:pPr>
      <w:r>
        <w:rPr>
          <w:rFonts w:hint="eastAsia"/>
          <w:szCs w:val="32"/>
        </w:rPr>
        <w:t>（七）植物新品种；</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endChars="0" w:end="0"/>
        <w:textAlignment w:val="auto"/>
        <w:rPr>
          <w:szCs w:val="32"/>
        </w:rPr>
      </w:pPr>
      <w:r>
        <w:rPr>
          <w:rFonts w:hint="eastAsia"/>
          <w:szCs w:val="32"/>
        </w:rPr>
        <w:t>（八）法律规定的其他客体。</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endChars="0" w:end="0"/>
        <w:textAlignment w:val="auto"/>
        <w:rPr>
          <w:szCs w:val="32"/>
        </w:rPr>
      </w:pPr>
      <w:r>
        <w:rPr>
          <w:rFonts w:ascii="黑体" w:hAnsi="黑体" w:cs="黑体" w:hint="eastAsia" w:eastAsia="黑体"/>
          <w:szCs w:val="32"/>
        </w:rPr>
        <w:t>第三条</w:t>
      </w:r>
      <w:r>
        <w:rPr/>
        <w:t xml:space="preserve">  </w:t>
      </w:r>
      <w:r>
        <w:rPr>
          <w:rFonts w:hint="eastAsia"/>
          <w:szCs w:val="32"/>
        </w:rPr>
        <w:t>本市知识产权保护应当遵循全面保护、严格保护、平等保护、依法保护的原则，坚持司法保护、行政保护与社会参与相结合，依法制止不正当竞争行为，维护知识产权权利人和相关权利人的合法权益。</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endChars="0" w:end="0"/>
        <w:textAlignment w:val="auto"/>
        <w:rPr>
          <w:szCs w:val="32"/>
        </w:rPr>
      </w:pPr>
      <w:r>
        <w:rPr>
          <w:rFonts w:ascii="黑体" w:hAnsi="黑体" w:cs="黑体" w:hint="eastAsia" w:eastAsia="黑体"/>
          <w:szCs w:val="32"/>
        </w:rPr>
        <w:t>第四条</w:t>
      </w:r>
      <w:r>
        <w:rPr>
          <w:rFonts w:hint="eastAsia" w:eastAsia="黑体"/>
        </w:rPr>
        <w:t xml:space="preserve">  </w:t>
      </w:r>
      <w:r>
        <w:rPr>
          <w:rFonts w:hint="eastAsia"/>
          <w:szCs w:val="32"/>
        </w:rPr>
        <w:t>市和区人民政府应当将知识产权保护工作纳入国民经济和社会发展规划及年度计划，将知识产权保护经费纳入本级财政预算，建立知识产权保护协调机制，统筹推进知识产权保护工作，协调解决知识产权保护工作中的重大问题。</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endChars="0" w:end="0"/>
        <w:textAlignment w:val="auto"/>
        <w:rPr>
          <w:rFonts w:hint="eastAsia"/>
          <w:szCs w:val="32"/>
        </w:rPr>
      </w:pPr>
      <w:r>
        <w:rPr>
          <w:rFonts w:ascii="黑体" w:hAnsi="黑体" w:cs="黑体" w:hint="eastAsia" w:eastAsia="黑体"/>
          <w:szCs w:val="32"/>
        </w:rPr>
        <w:t>第五条</w:t>
      </w:r>
      <w:r>
        <w:rPr>
          <w:rFonts w:eastAsia="黑体"/>
        </w:rPr>
        <w:t xml:space="preserve">  </w:t>
      </w:r>
      <w:r>
        <w:rPr>
          <w:rFonts w:hint="eastAsia"/>
          <w:szCs w:val="32"/>
        </w:rPr>
        <w:t>市和区知识产权部门是本行政区域内知识产权工作的主管部门，负责组织推动知识产权保护、管理等工作</w:t>
      </w:r>
      <w:r>
        <w:rPr>
          <w:rFonts w:ascii="仿宋_GB2312" w:hAnsi="仿宋_GB2312" w:cs="黑体" w:hint="eastAsia"/>
          <w:szCs w:val="32"/>
        </w:rPr>
        <w:t>，并按照法律、法规的规定履行职权范围内的知识产权保护职责</w:t>
      </w:r>
      <w:r>
        <w:rPr>
          <w:rFonts w:ascii="仿宋_GB2312" w:hAnsi="仿宋_GB2312" w:hint="eastAsia"/>
          <w:szCs w:val="32"/>
        </w:rPr>
        <w:t>。</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endChars="0" w:end="0"/>
        <w:textAlignment w:val="auto"/>
        <w:rPr>
          <w:rFonts w:hint="eastAsia"/>
          <w:szCs w:val="32"/>
        </w:rPr>
      </w:pPr>
      <w:r>
        <w:rPr>
          <w:rFonts w:hint="eastAsia"/>
          <w:szCs w:val="32"/>
        </w:rPr>
        <w:t>市场监督管理、规划和自然资源、农业农村、文化和旅游、版权等部门（以下统称知识产权管理部门），按照法律、法规的规定履行各自职权范围内的知识产权保护职责。</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endChars="0" w:end="0"/>
        <w:textAlignment w:val="auto"/>
        <w:rPr>
          <w:rFonts w:hint="eastAsia"/>
          <w:szCs w:val="32"/>
        </w:rPr>
      </w:pPr>
      <w:r>
        <w:rPr>
          <w:rFonts w:ascii="黑体" w:hAnsi="黑体" w:cs="黑体" w:hint="eastAsia" w:eastAsia="黑体"/>
          <w:szCs w:val="32"/>
        </w:rPr>
        <w:t>第六条</w:t>
      </w:r>
      <w:r>
        <w:rPr>
          <w:rFonts w:eastAsia="黑体"/>
        </w:rPr>
        <w:t xml:space="preserve">  </w:t>
      </w:r>
      <w:r>
        <w:rPr>
          <w:rFonts w:hint="eastAsia"/>
          <w:szCs w:val="32"/>
        </w:rPr>
        <w:t>市人民政府应当每年发布知识产权保护白皮书，向社会公示本市知识产权保护状况。</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endChars="0" w:end="0"/>
        <w:textAlignment w:val="auto"/>
        <w:rPr>
          <w:rFonts w:hint="eastAsia"/>
          <w:szCs w:val="32"/>
        </w:rPr>
      </w:pPr>
      <w:r>
        <w:rPr>
          <w:rFonts w:hint="eastAsia"/>
          <w:szCs w:val="32"/>
        </w:rPr>
        <w:t>市和区人民政府及有关部门应当加强知识产权保护的宣传普及，增强全社会知识产权保护意识和保护能力，营造尊重知识价值、崇尚创新、诚信守法的知识产权保护环境。</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endChars="0" w:end="0"/>
        <w:textAlignment w:val="auto"/>
        <w:rPr>
          <w:szCs w:val="32"/>
        </w:rPr>
      </w:pPr>
      <w:r>
        <w:rPr>
          <w:rFonts w:hint="eastAsia"/>
          <w:szCs w:val="32"/>
        </w:rPr>
        <w:t>鼓励新闻媒体通过多种形式开展知识产权保护的公益宣传。</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endChars="0" w:end="0"/>
        <w:textAlignment w:val="auto"/>
        <w:rPr>
          <w:rFonts w:ascii="楷体_GB2312" w:hAnsi="楷体_GB2312" w:eastAsia="楷体_GB2312" w:hint="eastAsia"/>
          <w:sz w:val="24"/>
          <w:szCs w:val="24"/>
        </w:rPr>
      </w:pPr>
      <w:r>
        <w:rPr>
          <w:rFonts w:ascii="黑体" w:hAnsi="黑体" w:cs="黑体" w:hint="eastAsia" w:eastAsia="黑体"/>
          <w:szCs w:val="32"/>
        </w:rPr>
        <w:t>第七条</w:t>
      </w:r>
      <w:r>
        <w:rPr>
          <w:rFonts w:eastAsia="黑体"/>
          <w:kern w:val="0"/>
          <w:lang w:val="zh-CN"/>
        </w:rPr>
        <w:t xml:space="preserve">  </w:t>
      </w:r>
      <w:r>
        <w:rPr>
          <w:rFonts w:hint="eastAsia"/>
          <w:szCs w:val="32"/>
        </w:rPr>
        <w:t>自然人、法人和非法人组织应当自觉增强知识产权保护意识和自律意识，提高自我保护能力，抵制知识产权违法行为。</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endChars="0" w:end="0"/>
        <w:textAlignment w:val="auto"/>
        <w:rPr>
          <w:szCs w:val="32"/>
        </w:rPr>
      </w:pPr>
      <w:r>
        <w:rPr>
          <w:rFonts w:ascii="黑体" w:hAnsi="黑体" w:cs="黑体" w:hint="eastAsia" w:eastAsia="黑体"/>
          <w:szCs w:val="32"/>
        </w:rPr>
        <w:t>第八条</w:t>
      </w:r>
      <w:r>
        <w:rPr>
          <w:rFonts w:eastAsia="黑体"/>
        </w:rPr>
        <w:t xml:space="preserve">  </w:t>
      </w:r>
      <w:r>
        <w:rPr>
          <w:rFonts w:hint="eastAsia"/>
          <w:szCs w:val="32"/>
        </w:rPr>
        <w:t>支持中国（天津）自由贸易试验区和天津经济技术开发区、天津港保税区、天津滨海高新技术产业开发区等国家级开发区依照国家授权，在知识产权保护的体制机制、政策措施、公共服务、信用评价等方面进行探索创新。</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endChars="0" w:end="0"/>
        <w:textAlignment w:val="auto"/>
        <w:rPr>
          <w:rFonts w:hint="eastAsia"/>
          <w:szCs w:val="32"/>
        </w:rPr>
      </w:pPr>
      <w:r>
        <w:rPr>
          <w:rFonts w:ascii="黑体" w:hAnsi="黑体" w:cs="黑体" w:hint="eastAsia" w:eastAsia="黑体"/>
          <w:szCs w:val="32"/>
        </w:rPr>
        <w:t>第九条</w:t>
      </w:r>
      <w:r>
        <w:rPr>
          <w:rFonts w:eastAsia="黑体"/>
        </w:rPr>
        <w:t xml:space="preserve">  </w:t>
      </w:r>
      <w:r>
        <w:rPr>
          <w:rFonts w:hint="eastAsia"/>
          <w:szCs w:val="32"/>
        </w:rPr>
        <w:t>加强京津冀知识产权协同保护，完善案件受理移送、联合调查等工作机制，协调配合跨区域联动查处假冒、侵权案件。</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endChars="0" w:end="0"/>
        <w:textAlignment w:val="auto"/>
        <w:rPr>
          <w:szCs w:val="32"/>
        </w:rPr>
      </w:pPr>
      <w:r>
        <w:rPr>
          <w:rFonts w:hint="eastAsia"/>
          <w:szCs w:val="32"/>
        </w:rPr>
        <w:t>支持京津冀企业、科研机构、高等学校等开展知识产权保护互助与协作，推进知识产权服务资源共享，促进知识产权保护与产业发展深度融合。</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0" w:firstLine="0" w:endChars="0" w:end="0"/>
        <w:jc w:val="center"/>
        <w:textAlignment w:val="auto"/>
        <w:rPr>
          <w:rFonts w:ascii="黑体" w:hAnsi="黑体" w:eastAsia="黑体" w:cs="黑体" w:hint="eastAsia"/>
          <w:szCs w:val="32"/>
        </w:rPr>
      </w:pPr>
      <w:r>
        <w:rPr>
          <w:rFonts w:eastAsia="黑体" w:cs="黑体" w:hint="eastAsia" w:ascii="黑体" w:hAnsi="黑体"/>
          <w:szCs w:val="32"/>
        </w:rPr>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0" w:firstLine="0" w:endChars="0" w:end="0"/>
        <w:jc w:val="center"/>
        <w:textAlignment w:val="auto"/>
        <w:rPr>
          <w:szCs w:val="32"/>
        </w:rPr>
      </w:pPr>
      <w:r>
        <w:rPr>
          <w:rFonts w:ascii="黑体" w:hAnsi="黑体" w:cs="黑体" w:hint="eastAsia" w:eastAsia="黑体"/>
          <w:szCs w:val="32"/>
        </w:rPr>
        <w:t>第二章　行政保护</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endChars="0" w:end="0"/>
        <w:textAlignment w:val="auto"/>
        <w:rPr>
          <w:rFonts w:hint="eastAsia"/>
          <w:szCs w:val="32"/>
        </w:rPr>
      </w:pPr>
      <w:r>
        <w:rPr>
          <w:rFonts w:ascii="黑体" w:hAnsi="黑体" w:cs="黑体" w:hint="eastAsia" w:eastAsia="黑体"/>
          <w:szCs w:val="32"/>
        </w:rPr>
        <w:t>第十条</w:t>
      </w:r>
      <w:r>
        <w:rPr>
          <w:rFonts w:eastAsia="黑体"/>
          <w:color w:val="000000"/>
        </w:rPr>
        <w:t xml:space="preserve">  </w:t>
      </w:r>
      <w:r>
        <w:rPr>
          <w:rFonts w:hint="eastAsia"/>
          <w:szCs w:val="32"/>
        </w:rPr>
        <w:t>知识产权主管部门依法受理专利、商标、地理标志产品保护的申请，依申请调解、裁决相关纠纷。</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endChars="0" w:end="0"/>
        <w:textAlignment w:val="auto"/>
        <w:rPr>
          <w:rFonts w:hint="eastAsia"/>
          <w:szCs w:val="32"/>
        </w:rPr>
      </w:pPr>
      <w:r>
        <w:rPr>
          <w:rFonts w:hint="eastAsia"/>
          <w:szCs w:val="32"/>
        </w:rPr>
        <w:t>市场监督管理部门依法查处假冒专利、商标、地理标志产品的行为，依法查处侵犯专利、商标、地理标志产品等知识产权的行为，依法查处侵犯商业秘密的不正当竞争行为。</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endChars="0" w:end="0"/>
        <w:textAlignment w:val="auto"/>
        <w:rPr>
          <w:rFonts w:hint="eastAsia"/>
          <w:szCs w:val="32"/>
        </w:rPr>
      </w:pPr>
      <w:r>
        <w:rPr>
          <w:rFonts w:hint="eastAsia"/>
          <w:szCs w:val="32"/>
        </w:rPr>
        <w:t>规划和自然资源、农业农村部门依法查处假冒授权植物</w:t>
      </w:r>
      <w:r>
        <w:rPr>
          <w:szCs w:val="32"/>
        </w:rPr>
        <w:t>新</w:t>
      </w:r>
      <w:r>
        <w:rPr>
          <w:rFonts w:hint="eastAsia"/>
          <w:szCs w:val="32"/>
        </w:rPr>
        <w:t>品种的行为，依法查处侵犯植物新品种权的行为，依申请调解相关纠纷。</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endChars="0" w:end="0"/>
        <w:textAlignment w:val="auto"/>
        <w:rPr>
          <w:rFonts w:hint="eastAsia"/>
          <w:szCs w:val="32"/>
        </w:rPr>
      </w:pPr>
      <w:r>
        <w:rPr>
          <w:rFonts w:hint="eastAsia"/>
          <w:szCs w:val="32"/>
        </w:rPr>
        <w:t>版权部门依申请调解著作权纠纷。</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endChars="0" w:end="0"/>
        <w:textAlignment w:val="auto"/>
        <w:rPr>
          <w:rFonts w:hint="eastAsia"/>
          <w:szCs w:val="32"/>
        </w:rPr>
      </w:pPr>
      <w:r>
        <w:rPr>
          <w:rFonts w:hint="eastAsia"/>
          <w:szCs w:val="32"/>
        </w:rPr>
        <w:t>文化和旅游部门依法查处侵犯著作权同时损害公共利益的行为。</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endChars="0" w:end="0"/>
        <w:textAlignment w:val="auto"/>
        <w:rPr>
          <w:rFonts w:hint="eastAsia"/>
          <w:szCs w:val="32"/>
        </w:rPr>
      </w:pPr>
      <w:r>
        <w:rPr>
          <w:rFonts w:ascii="黑体" w:hAnsi="黑体" w:cs="黑体" w:hint="eastAsia" w:eastAsia="黑体"/>
          <w:szCs w:val="32"/>
        </w:rPr>
        <w:t>第十一条</w:t>
      </w:r>
      <w:r>
        <w:rPr>
          <w:rFonts w:eastAsia="黑体"/>
        </w:rPr>
        <w:t xml:space="preserve">  </w:t>
      </w:r>
      <w:r>
        <w:rPr>
          <w:rFonts w:hint="eastAsia"/>
          <w:szCs w:val="32"/>
        </w:rPr>
        <w:t>市知识产权主管部门应当制定知识产权分析评议工作指南</w:t>
      </w:r>
      <w:r>
        <w:rPr>
          <w:rFonts w:ascii="仿宋_GB2312" w:hAnsi="仿宋_GB2312" w:cs="黑体" w:hint="eastAsia"/>
          <w:szCs w:val="32"/>
        </w:rPr>
        <w:t>，</w:t>
      </w:r>
      <w:r>
        <w:rPr>
          <w:rFonts w:hint="eastAsia"/>
          <w:szCs w:val="32"/>
        </w:rPr>
        <w:t>加强对知识产权分析评议工作的指导。</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endChars="0" w:end="0"/>
        <w:textAlignment w:val="auto"/>
        <w:rPr>
          <w:szCs w:val="32"/>
        </w:rPr>
      </w:pPr>
      <w:r>
        <w:rPr>
          <w:rFonts w:hint="eastAsia"/>
          <w:szCs w:val="32"/>
        </w:rPr>
        <w:t>发展改革、科技、工业和信息化等部门在重大经济、科技活动中，对可能存在知识产权风险的重大产业规划、重大政府投资项目、重大科技创新项目，按照国家和本市的有关规定，会同知识产权主管部门进行知识产权分析评议，防范知识产权风险。</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endChars="0" w:end="0"/>
        <w:textAlignment w:val="auto"/>
        <w:rPr>
          <w:szCs w:val="32"/>
        </w:rPr>
      </w:pPr>
      <w:r>
        <w:rPr>
          <w:rFonts w:ascii="黑体" w:hAnsi="黑体" w:cs="黑体" w:hint="eastAsia" w:eastAsia="黑体"/>
          <w:szCs w:val="32"/>
        </w:rPr>
        <w:t>第十二条</w:t>
      </w:r>
      <w:r>
        <w:rPr>
          <w:rFonts w:eastAsia="黑体"/>
        </w:rPr>
        <w:t xml:space="preserve">  </w:t>
      </w:r>
      <w:r>
        <w:rPr>
          <w:rFonts w:hint="eastAsia"/>
          <w:szCs w:val="32"/>
        </w:rPr>
        <w:t>市知识产权主管部门应当按照国家有关规定，为人工智能、生物医药、航空航天、高端装备制造、新能源、新材料等方面的专利申请提供优先审查通道，推动战略性新兴产业发展。</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endChars="0" w:end="0"/>
        <w:textAlignment w:val="auto"/>
        <w:rPr>
          <w:szCs w:val="32"/>
        </w:rPr>
      </w:pPr>
      <w:r>
        <w:rPr>
          <w:rFonts w:ascii="黑体" w:hAnsi="黑体" w:cs="黑体" w:hint="eastAsia" w:eastAsia="黑体"/>
          <w:szCs w:val="32"/>
        </w:rPr>
        <w:t>第十三条</w:t>
      </w:r>
      <w:r>
        <w:rPr>
          <w:rFonts w:eastAsia="黑体"/>
        </w:rPr>
        <w:t xml:space="preserve">  </w:t>
      </w:r>
      <w:r>
        <w:rPr>
          <w:rFonts w:hint="eastAsia"/>
          <w:szCs w:val="32"/>
        </w:rPr>
        <w:t>知识</w:t>
      </w:r>
      <w:r>
        <w:rPr>
          <w:szCs w:val="32"/>
        </w:rPr>
        <w:t>产权主管部门和</w:t>
      </w:r>
      <w:r>
        <w:rPr>
          <w:rFonts w:hint="eastAsia"/>
          <w:szCs w:val="32"/>
        </w:rPr>
        <w:t>知识产权管理部门应当采取措施，支持文化传承</w:t>
      </w:r>
      <w:r>
        <w:rPr>
          <w:rFonts w:ascii="仿宋_GB2312" w:hAnsi="仿宋_GB2312" w:cs="黑体" w:hint="eastAsia"/>
          <w:szCs w:val="32"/>
        </w:rPr>
        <w:t>、</w:t>
      </w:r>
      <w:r>
        <w:rPr>
          <w:rFonts w:hint="eastAsia"/>
          <w:szCs w:val="32"/>
        </w:rPr>
        <w:t>文化产业、新型文化业态等方面知识产权的创造和保护，引导自然人、法人和非法人组织通过著作权登记、商标注册、商业秘密保护、专利申请等方式维护自身合法权益，推动文化产业创新发展。</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endChars="0" w:end="0"/>
        <w:textAlignment w:val="auto"/>
        <w:rPr>
          <w:rFonts w:hint="eastAsia"/>
          <w:szCs w:val="32"/>
        </w:rPr>
      </w:pPr>
      <w:r>
        <w:rPr>
          <w:rFonts w:ascii="黑体" w:hAnsi="黑体" w:cs="黑体" w:hint="eastAsia" w:eastAsia="黑体"/>
          <w:szCs w:val="32"/>
        </w:rPr>
        <w:t xml:space="preserve">第十四条  </w:t>
      </w:r>
      <w:r>
        <w:rPr>
          <w:rFonts w:hint="eastAsia"/>
          <w:szCs w:val="32"/>
        </w:rPr>
        <w:t>知识</w:t>
      </w:r>
      <w:r>
        <w:rPr>
          <w:szCs w:val="32"/>
        </w:rPr>
        <w:t>产权主管部门和</w:t>
      </w:r>
      <w:r>
        <w:rPr>
          <w:rFonts w:hint="eastAsia"/>
          <w:szCs w:val="32"/>
        </w:rPr>
        <w:t xml:space="preserve">知识产权管理部门应当鼓励、引导自然人、法人和非法人组织通过著作权登记等方式，保护计算机软件著作权，促进软件产业和信息化发展。 </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endChars="0" w:end="0"/>
        <w:textAlignment w:val="auto"/>
        <w:rPr>
          <w:szCs w:val="32"/>
        </w:rPr>
      </w:pPr>
      <w:r>
        <w:rPr>
          <w:rFonts w:ascii="黑体" w:hAnsi="黑体" w:cs="黑体" w:hint="eastAsia" w:eastAsia="黑体"/>
          <w:szCs w:val="32"/>
        </w:rPr>
        <w:t>第十五条</w:t>
      </w:r>
      <w:r>
        <w:rPr/>
        <w:t xml:space="preserve">  </w:t>
      </w:r>
      <w:r>
        <w:rPr>
          <w:rFonts w:hint="eastAsia"/>
          <w:szCs w:val="32"/>
        </w:rPr>
        <w:t>市场监督管理部门应当加强商业秘密保护的普法宣传，引导经营者以及其他自然人、法人和非法人组织增强商业秘密管理意识，合理选择保护方式，防止商业秘密泄露。</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endChars="0" w:end="0"/>
        <w:textAlignment w:val="auto"/>
        <w:rPr>
          <w:rFonts w:hint="eastAsia"/>
          <w:szCs w:val="32"/>
        </w:rPr>
      </w:pPr>
      <w:r>
        <w:rPr>
          <w:rFonts w:ascii="黑体" w:hAnsi="黑体" w:cs="黑体" w:hint="eastAsia" w:eastAsia="黑体"/>
          <w:szCs w:val="32"/>
        </w:rPr>
        <w:t>第十六条</w:t>
      </w:r>
      <w:r>
        <w:rPr>
          <w:rFonts w:eastAsia="黑体"/>
        </w:rPr>
        <w:t xml:space="preserve">  </w:t>
      </w:r>
      <w:r>
        <w:rPr>
          <w:rFonts w:hint="eastAsia"/>
          <w:szCs w:val="32"/>
        </w:rPr>
        <w:t>知识</w:t>
      </w:r>
      <w:r>
        <w:rPr>
          <w:szCs w:val="32"/>
        </w:rPr>
        <w:t>产权主管部门和</w:t>
      </w:r>
      <w:r>
        <w:rPr>
          <w:rFonts w:hint="eastAsia"/>
          <w:szCs w:val="32"/>
        </w:rPr>
        <w:t>知识产权管理部门应当鼓励、引导自然人、法人和非法人组织将其老字号进行商标注册、域名注册或者专利申请。</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endChars="0" w:end="0"/>
        <w:textAlignment w:val="auto"/>
        <w:rPr>
          <w:rFonts w:ascii="黑体" w:hAnsi="黑体" w:eastAsia="黑体" w:cs="黑体"/>
          <w:szCs w:val="32"/>
        </w:rPr>
      </w:pPr>
      <w:r>
        <w:rPr>
          <w:rFonts w:ascii="黑体" w:hAnsi="黑体" w:cs="黑体" w:hint="eastAsia" w:eastAsia="黑体"/>
          <w:szCs w:val="32"/>
        </w:rPr>
        <w:t>第十七条</w:t>
      </w:r>
      <w:r>
        <w:rPr>
          <w:rFonts w:eastAsia="黑体"/>
        </w:rPr>
        <w:t xml:space="preserve">  </w:t>
      </w:r>
      <w:r>
        <w:rPr>
          <w:rFonts w:hint="eastAsia"/>
          <w:szCs w:val="32"/>
        </w:rPr>
        <w:t>知识</w:t>
      </w:r>
      <w:r>
        <w:rPr>
          <w:szCs w:val="32"/>
        </w:rPr>
        <w:t>产权主管部门和</w:t>
      </w:r>
      <w:r>
        <w:rPr>
          <w:rFonts w:hint="eastAsia"/>
          <w:szCs w:val="32"/>
        </w:rPr>
        <w:t>知识产权管理部门应当鼓励、引导自然人、法人和非法人组织通过申请注册集体商标、证明商标以及申请地理标志产品等方式，加强对地理标志的保护，培育知名度高的地理标志产品集群。</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endChars="0" w:end="0"/>
        <w:textAlignment w:val="auto"/>
        <w:rPr>
          <w:rFonts w:hint="eastAsia"/>
          <w:szCs w:val="32"/>
        </w:rPr>
      </w:pPr>
      <w:r>
        <w:rPr>
          <w:rFonts w:ascii="黑体" w:hAnsi="黑体" w:cs="黑体" w:hint="eastAsia" w:eastAsia="黑体"/>
          <w:szCs w:val="32"/>
        </w:rPr>
        <w:t>第十八条</w:t>
      </w:r>
      <w:r>
        <w:rPr>
          <w:rFonts w:eastAsia="黑体"/>
        </w:rPr>
        <w:t xml:space="preserve">  </w:t>
      </w:r>
      <w:r>
        <w:rPr>
          <w:rFonts w:hint="eastAsia"/>
          <w:szCs w:val="32"/>
        </w:rPr>
        <w:t>规划和自然资源、农业农村部门应当鼓励、引导企业、科研机构、高等学校等申请植物新品种权，促进现代高效农业发展。</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endChars="0" w:end="0"/>
        <w:textAlignment w:val="auto"/>
        <w:rPr>
          <w:szCs w:val="32"/>
        </w:rPr>
      </w:pPr>
      <w:r>
        <w:rPr>
          <w:rFonts w:hint="eastAsia"/>
          <w:szCs w:val="32"/>
        </w:rPr>
        <w:t>规划和自然资源、农业农村、科技部门应当按照国家统筹需要建设植物新品种测试体系，鼓励和支持企业建立种业基地，加强产学研创新协作，促进植物新品种转化与推广。</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endChars="0" w:end="0"/>
        <w:textAlignment w:val="auto"/>
        <w:rPr>
          <w:rFonts w:hint="eastAsia"/>
          <w:szCs w:val="32"/>
        </w:rPr>
      </w:pPr>
      <w:r>
        <w:rPr>
          <w:rFonts w:ascii="黑体" w:hAnsi="黑体" w:cs="黑体" w:hint="eastAsia" w:eastAsia="黑体"/>
          <w:szCs w:val="32"/>
        </w:rPr>
        <w:t>第十九条</w:t>
      </w:r>
      <w:r>
        <w:rPr>
          <w:rFonts w:hint="eastAsia" w:eastAsia="黑体"/>
        </w:rPr>
        <w:t xml:space="preserve">  </w:t>
      </w:r>
      <w:r>
        <w:rPr>
          <w:rFonts w:hint="eastAsia"/>
          <w:szCs w:val="32"/>
        </w:rPr>
        <w:t>知识</w:t>
      </w:r>
      <w:r>
        <w:rPr>
          <w:szCs w:val="32"/>
        </w:rPr>
        <w:t>产权主管部门和</w:t>
      </w:r>
      <w:r>
        <w:rPr>
          <w:rFonts w:hint="eastAsia"/>
          <w:szCs w:val="32"/>
        </w:rPr>
        <w:t>知识产权管理部门应当组织开展知识产权保护的宣传普及，适时发布知识产权保护重要情况通报，支持举办有关知识产权的展览、竞赛、培训、咨询等活动，营造良好知识产权文化氛围。</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endChars="0" w:end="0"/>
        <w:textAlignment w:val="auto"/>
        <w:rPr>
          <w:rFonts w:ascii="仿宋_GB2312" w:hAnsi="仿宋_GB2312" w:cs="黑体" w:hint="eastAsia"/>
          <w:szCs w:val="32"/>
        </w:rPr>
      </w:pPr>
      <w:r>
        <w:rPr>
          <w:rFonts w:ascii="黑体" w:hAnsi="黑体" w:cs="黑体" w:hint="eastAsia" w:eastAsia="黑体"/>
          <w:szCs w:val="32"/>
        </w:rPr>
        <w:t>第二十条</w:t>
      </w:r>
      <w:r>
        <w:rPr>
          <w:rFonts w:ascii="仿宋_GB2312" w:hAnsi="仿宋_GB2312" w:cs="黑体" w:hint="eastAsia"/>
          <w:szCs w:val="32"/>
        </w:rPr>
        <w:t xml:space="preserve">  知识产权主管部门应当建立知识产权维权援助机制，受理维权援助申请，提供维权咨询、纠纷解决方案等服务。 </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endChars="0" w:end="0"/>
        <w:textAlignment w:val="auto"/>
        <w:rPr>
          <w:rFonts w:ascii="黑体" w:hAnsi="黑体" w:eastAsia="黑体" w:cs="黑体" w:hint="eastAsia"/>
          <w:szCs w:val="32"/>
        </w:rPr>
      </w:pPr>
      <w:r>
        <w:rPr>
          <w:rFonts w:ascii="黑体" w:hAnsi="黑体" w:cs="黑体" w:hint="eastAsia" w:eastAsia="黑体"/>
          <w:szCs w:val="32"/>
        </w:rPr>
        <w:t xml:space="preserve">第二十一条  </w:t>
      </w:r>
      <w:r>
        <w:rPr>
          <w:rFonts w:hint="eastAsia"/>
          <w:szCs w:val="32"/>
        </w:rPr>
        <w:t>知识</w:t>
      </w:r>
      <w:r>
        <w:rPr>
          <w:szCs w:val="32"/>
        </w:rPr>
        <w:t>产权主管部门和</w:t>
      </w:r>
      <w:r>
        <w:rPr>
          <w:rFonts w:hint="eastAsia"/>
          <w:szCs w:val="32"/>
        </w:rPr>
        <w:t>知识产权管理部门可以选聘专家作为技术调查员，参与知识产权案件调查，为知识产权行政保护工作提供专业技术支持。</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endChars="0" w:end="0"/>
        <w:textAlignment w:val="auto"/>
        <w:rPr>
          <w:rFonts w:hint="eastAsia"/>
          <w:szCs w:val="32"/>
        </w:rPr>
      </w:pPr>
      <w:r>
        <w:rPr>
          <w:rFonts w:hint="eastAsia"/>
          <w:szCs w:val="32"/>
        </w:rPr>
        <w:t>技术调查员根据指派从事下列技术调查工作：</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endChars="0" w:end="0"/>
        <w:textAlignment w:val="auto"/>
        <w:rPr>
          <w:rFonts w:hint="eastAsia"/>
          <w:szCs w:val="32"/>
        </w:rPr>
      </w:pPr>
      <w:r>
        <w:rPr>
          <w:rFonts w:hint="eastAsia"/>
          <w:szCs w:val="32"/>
        </w:rPr>
        <w:t>（一）参与调查取证；</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endChars="0" w:end="0"/>
        <w:textAlignment w:val="auto"/>
        <w:rPr>
          <w:rFonts w:hint="eastAsia"/>
          <w:szCs w:val="32"/>
        </w:rPr>
      </w:pPr>
      <w:r>
        <w:rPr>
          <w:rFonts w:hint="eastAsia"/>
          <w:szCs w:val="32"/>
        </w:rPr>
        <w:t>（二）对技术事实的调查范围、顺序、方法提出意见；</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endChars="0" w:end="0"/>
        <w:textAlignment w:val="auto"/>
        <w:rPr>
          <w:rFonts w:hint="eastAsia"/>
          <w:szCs w:val="32"/>
        </w:rPr>
      </w:pPr>
      <w:r>
        <w:rPr>
          <w:rFonts w:hint="eastAsia"/>
          <w:szCs w:val="32"/>
        </w:rPr>
        <w:t>（三）提出技术审查意见；</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endChars="0" w:end="0"/>
        <w:textAlignment w:val="auto"/>
        <w:rPr>
          <w:rFonts w:hint="eastAsia"/>
          <w:szCs w:val="32"/>
        </w:rPr>
      </w:pPr>
      <w:r>
        <w:rPr>
          <w:rFonts w:hint="eastAsia"/>
          <w:szCs w:val="32"/>
        </w:rPr>
        <w:t>（四）知识</w:t>
      </w:r>
      <w:r>
        <w:rPr>
          <w:szCs w:val="32"/>
        </w:rPr>
        <w:t>产权主管部门和</w:t>
      </w:r>
      <w:r>
        <w:rPr>
          <w:rFonts w:hint="eastAsia"/>
          <w:szCs w:val="32"/>
        </w:rPr>
        <w:t>知识产权管理部门指派的其他技术调查工作。</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endChars="0" w:end="0"/>
        <w:textAlignment w:val="auto"/>
        <w:rPr>
          <w:rFonts w:hint="eastAsia"/>
          <w:szCs w:val="32"/>
        </w:rPr>
      </w:pPr>
      <w:r>
        <w:rPr>
          <w:rFonts w:hint="eastAsia"/>
          <w:szCs w:val="32"/>
        </w:rPr>
        <w:t>市知识</w:t>
      </w:r>
      <w:r>
        <w:rPr>
          <w:szCs w:val="32"/>
        </w:rPr>
        <w:t>产权主管部门和</w:t>
      </w:r>
      <w:r>
        <w:rPr>
          <w:rFonts w:hint="eastAsia"/>
          <w:szCs w:val="32"/>
        </w:rPr>
        <w:t>市知识产权管理部门建立知识产权保护专家库，技术调查员应当从专家库中选聘。</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endChars="0" w:end="0"/>
        <w:textAlignment w:val="auto"/>
        <w:rPr>
          <w:rFonts w:ascii="仿宋_GB2312" w:hAnsi="仿宋_GB2312" w:cs="黑体"/>
          <w:szCs w:val="32"/>
        </w:rPr>
      </w:pPr>
      <w:r>
        <w:rPr>
          <w:rFonts w:ascii="黑体" w:hAnsi="黑体" w:cs="黑体" w:hint="eastAsia" w:eastAsia="黑体"/>
          <w:szCs w:val="32"/>
        </w:rPr>
        <w:t>第</w:t>
      </w:r>
      <w:r>
        <w:rPr>
          <w:rFonts w:ascii="黑体" w:hAnsi="黑体" w:cs="Calibri" w:hint="eastAsia" w:eastAsia="黑体"/>
          <w:szCs w:val="32"/>
        </w:rPr>
        <w:t>二十二</w:t>
      </w:r>
      <w:r>
        <w:rPr>
          <w:rFonts w:ascii="黑体" w:hAnsi="黑体" w:cs="黑体" w:hint="eastAsia" w:eastAsia="黑体"/>
          <w:szCs w:val="32"/>
        </w:rPr>
        <w:t>条</w:t>
      </w:r>
      <w:r>
        <w:rPr>
          <w:rFonts w:ascii="仿宋_GB2312" w:hAnsi="仿宋_GB2312" w:cs="Calibri" w:hint="eastAsia"/>
          <w:szCs w:val="32"/>
        </w:rPr>
        <w:t xml:space="preserve">  </w:t>
      </w:r>
      <w:r>
        <w:rPr>
          <w:rFonts w:ascii="仿宋_GB2312" w:hAnsi="仿宋_GB2312" w:cs="黑体" w:hint="eastAsia"/>
          <w:szCs w:val="32"/>
        </w:rPr>
        <w:t>知识产权主管部门和知识产权管理部门应当建立统一的投诉、举报平台，公开投诉、举报方式等信息，及时处理并答复收到的投诉、举报。</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0" w:firstLine="0" w:endChars="0" w:end="0"/>
        <w:textAlignment w:val="auto"/>
        <w:rPr>
          <w:rFonts w:ascii="仿宋_GB2312" w:hAnsi="仿宋_GB2312" w:cs="黑体" w:hint="eastAsia"/>
          <w:szCs w:val="32"/>
        </w:rPr>
      </w:pPr>
      <w:r>
        <w:rPr>
          <w:rFonts w:cs="黑体" w:hint="eastAsia" w:ascii="仿宋_GB2312" w:hAnsi="仿宋_GB2312"/>
          <w:szCs w:val="32"/>
        </w:rPr>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0" w:firstLine="0" w:endChars="0" w:end="0"/>
        <w:jc w:val="center"/>
        <w:textAlignment w:val="auto"/>
        <w:rPr>
          <w:szCs w:val="32"/>
        </w:rPr>
      </w:pPr>
      <w:r>
        <w:rPr>
          <w:rFonts w:ascii="黑体" w:hAnsi="黑体" w:cs="黑体" w:hint="eastAsia" w:eastAsia="黑体"/>
          <w:szCs w:val="32"/>
        </w:rPr>
        <w:t>第三章　社会保护</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endChars="0" w:end="0"/>
        <w:textAlignment w:val="auto"/>
        <w:rPr>
          <w:rFonts w:hint="eastAsia"/>
          <w:color w:val="000000"/>
          <w:szCs w:val="32"/>
        </w:rPr>
      </w:pPr>
      <w:r>
        <w:rPr>
          <w:rFonts w:ascii="黑体" w:hAnsi="黑体" w:cs="黑体" w:hint="eastAsia" w:eastAsia="黑体"/>
          <w:szCs w:val="32"/>
        </w:rPr>
        <w:t>第二十三条</w:t>
      </w:r>
      <w:r>
        <w:rPr>
          <w:rFonts w:eastAsia="黑体"/>
        </w:rPr>
        <w:t xml:space="preserve">  </w:t>
      </w:r>
      <w:r>
        <w:rPr>
          <w:rFonts w:hint="eastAsia"/>
          <w:color w:val="000000"/>
          <w:szCs w:val="32"/>
        </w:rPr>
        <w:t>自然人、法人和非法人组织应当采取措施加强对自身知识产权的保护。</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endChars="0" w:end="0"/>
        <w:textAlignment w:val="auto"/>
        <w:rPr>
          <w:rFonts w:hint="eastAsia"/>
          <w:color w:val="000000"/>
          <w:szCs w:val="32"/>
        </w:rPr>
      </w:pPr>
      <w:r>
        <w:rPr>
          <w:rFonts w:hint="eastAsia"/>
          <w:color w:val="000000"/>
          <w:szCs w:val="32"/>
        </w:rPr>
        <w:t>自然人、法人和非法人组织应当尊重他人的知识产权。</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endChars="0" w:end="0"/>
        <w:textAlignment w:val="auto"/>
        <w:rPr>
          <w:rFonts w:hint="eastAsia"/>
          <w:szCs w:val="32"/>
        </w:rPr>
      </w:pPr>
      <w:r>
        <w:rPr>
          <w:rFonts w:hint="eastAsia"/>
          <w:szCs w:val="32"/>
        </w:rPr>
        <w:t>自然人、法人和非法人组织可以向有关部门投诉、举报知识产权违法行为，提供相关线索。</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endChars="0" w:end="0"/>
        <w:textAlignment w:val="auto"/>
        <w:rPr>
          <w:rFonts w:hint="eastAsia"/>
          <w:szCs w:val="32"/>
        </w:rPr>
      </w:pPr>
      <w:r>
        <w:rPr>
          <w:rFonts w:ascii="黑体" w:hAnsi="黑体" w:cs="黑体" w:hint="eastAsia" w:eastAsia="黑体"/>
          <w:szCs w:val="32"/>
        </w:rPr>
        <w:t>第二十四条</w:t>
      </w:r>
      <w:r>
        <w:rPr>
          <w:rFonts w:eastAsia="黑体"/>
        </w:rPr>
        <w:t xml:space="preserve">  </w:t>
      </w:r>
      <w:r>
        <w:rPr>
          <w:rFonts w:hint="eastAsia"/>
          <w:szCs w:val="32"/>
        </w:rPr>
        <w:t>企业、科研机构、高等学校建立健全知识产权管理和保护制度，实施知识产权管理国家标准，提升知识产权创造</w:t>
      </w:r>
      <w:r>
        <w:rPr>
          <w:rFonts w:ascii="仿宋_GB2312" w:hAnsi="仿宋_GB2312" w:cs="黑体" w:hint="eastAsia"/>
          <w:szCs w:val="32"/>
        </w:rPr>
        <w:t>、</w:t>
      </w:r>
      <w:r>
        <w:rPr>
          <w:rFonts w:hint="eastAsia"/>
          <w:szCs w:val="32"/>
        </w:rPr>
        <w:t>运用、保护能力，依法维护自身合法权益。</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endChars="0" w:end="0"/>
        <w:textAlignment w:val="auto"/>
        <w:rPr>
          <w:szCs w:val="32"/>
        </w:rPr>
      </w:pPr>
      <w:r>
        <w:rPr>
          <w:rFonts w:hint="eastAsia"/>
          <w:szCs w:val="32"/>
        </w:rPr>
        <w:t>企业、科研机构、高等学校以及其他从事科研活动的单位依法完善分配机制，保障完成职务发明创造、职务育种、职务作品等相关人员的合法权益。</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endChars="0" w:end="0"/>
        <w:textAlignment w:val="auto"/>
        <w:rPr>
          <w:szCs w:val="32"/>
        </w:rPr>
      </w:pPr>
      <w:r>
        <w:rPr>
          <w:rFonts w:ascii="黑体" w:hAnsi="黑体" w:cs="黑体" w:hint="eastAsia" w:eastAsia="黑体"/>
          <w:szCs w:val="32"/>
        </w:rPr>
        <w:t>第二十五条</w:t>
      </w:r>
      <w:r>
        <w:rPr>
          <w:rFonts w:eastAsia="黑体"/>
        </w:rPr>
        <w:t xml:space="preserve">  </w:t>
      </w:r>
      <w:r>
        <w:rPr>
          <w:rFonts w:hint="eastAsia"/>
          <w:szCs w:val="32"/>
        </w:rPr>
        <w:t>商业秘密权利人建立健全商业秘密管理制度，可以通过给予福利待遇、签订竞业禁止协议、保密协议等多种方式，对掌握核心商业秘密的相关人员进行激励和约束，提高维护自身权益的能力。</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endChars="0" w:end="0"/>
        <w:textAlignment w:val="auto"/>
        <w:rPr>
          <w:rFonts w:hint="eastAsia"/>
          <w:szCs w:val="32"/>
        </w:rPr>
      </w:pPr>
      <w:r>
        <w:rPr>
          <w:rFonts w:ascii="黑体" w:hAnsi="黑体" w:cs="黑体" w:hint="eastAsia" w:eastAsia="黑体"/>
          <w:szCs w:val="32"/>
        </w:rPr>
        <w:t>第二十六条</w:t>
      </w:r>
      <w:r>
        <w:rPr>
          <w:rFonts w:eastAsia="黑体"/>
        </w:rPr>
        <w:t xml:space="preserve">  </w:t>
      </w:r>
      <w:r>
        <w:rPr>
          <w:rFonts w:hint="eastAsia"/>
          <w:szCs w:val="32"/>
        </w:rPr>
        <w:t>行业组织应当加强对行业内知识产权保护工作的引导，加强对国际国内知识产权状况、发展趋势和竞争态势的监测和研究，加强对成员处理国际、国内知识产权纠纷的信息咨询、维权支持、专业援助等服务。</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endChars="0" w:end="0"/>
        <w:textAlignment w:val="auto"/>
        <w:rPr>
          <w:szCs w:val="32"/>
        </w:rPr>
      </w:pPr>
      <w:r>
        <w:rPr>
          <w:rFonts w:hint="eastAsia"/>
          <w:szCs w:val="32"/>
        </w:rPr>
        <w:t>行业组织应当加强对行业内知识产权保护工作的监督，制定行业知识产权保护自律公约，规范成员创造、运用、保护知识产权的行为。</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endChars="0" w:end="0"/>
        <w:textAlignment w:val="auto"/>
        <w:rPr>
          <w:rFonts w:hint="eastAsia"/>
          <w:szCs w:val="32"/>
        </w:rPr>
      </w:pPr>
      <w:r>
        <w:rPr>
          <w:rFonts w:ascii="黑体" w:hAnsi="黑体" w:cs="黑体" w:hint="eastAsia" w:eastAsia="黑体"/>
          <w:szCs w:val="32"/>
        </w:rPr>
        <w:t>第二十七条</w:t>
      </w:r>
      <w:r>
        <w:rPr>
          <w:rFonts w:eastAsia="黑体"/>
        </w:rPr>
        <w:t xml:space="preserve">  </w:t>
      </w:r>
      <w:r>
        <w:rPr>
          <w:rFonts w:hint="eastAsia"/>
          <w:szCs w:val="32"/>
        </w:rPr>
        <w:t>电子商务经营者应当建立便捷、有效的投诉、举报渠道，公开投诉、举报方式。</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endChars="0" w:end="0"/>
        <w:textAlignment w:val="auto"/>
        <w:rPr>
          <w:szCs w:val="32"/>
        </w:rPr>
      </w:pPr>
      <w:r>
        <w:rPr>
          <w:rFonts w:hint="eastAsia"/>
          <w:szCs w:val="32"/>
        </w:rPr>
        <w:t>电子商务平台经营者应当建立知识产权内部监管机制，收到投诉、举报后，应当依法采取必要措施防止侵权损害扩大；知道或者应当知道平台内经营者侵犯知识产权的，应当采取删除、屏蔽、断开链接、终止交易和服务等必要措施。</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endChars="0" w:end="0"/>
        <w:textAlignment w:val="auto"/>
        <w:rPr>
          <w:rFonts w:hint="eastAsia"/>
          <w:szCs w:val="32"/>
        </w:rPr>
      </w:pPr>
      <w:r>
        <w:rPr>
          <w:rFonts w:ascii="黑体" w:hAnsi="黑体" w:cs="黑体" w:hint="eastAsia" w:eastAsia="黑体"/>
          <w:szCs w:val="32"/>
        </w:rPr>
        <w:t>第二十八条</w:t>
      </w:r>
      <w:r>
        <w:rPr>
          <w:rFonts w:eastAsia="黑体"/>
        </w:rPr>
        <w:t xml:space="preserve">  </w:t>
      </w:r>
      <w:r>
        <w:rPr>
          <w:rFonts w:hint="eastAsia"/>
          <w:szCs w:val="32"/>
        </w:rPr>
        <w:t>在本市举办展会，主办方应当在展会举办期间依法保护参展方的知识产权。</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endChars="0" w:end="0"/>
        <w:textAlignment w:val="auto"/>
        <w:rPr>
          <w:szCs w:val="32"/>
        </w:rPr>
      </w:pPr>
      <w:r>
        <w:rPr>
          <w:rFonts w:hint="eastAsia"/>
          <w:szCs w:val="32"/>
        </w:rPr>
        <w:t>参展产品、作品、技术或者宣传材料上标注知识产权信息的，参展方应当提供合法有效的知识产权证明文件，未能如实提供的，主办方可以取消其参展资格。</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endChars="0" w:end="0"/>
        <w:textAlignment w:val="auto"/>
        <w:rPr>
          <w:szCs w:val="32"/>
        </w:rPr>
      </w:pPr>
      <w:r>
        <w:rPr>
          <w:rFonts w:ascii="黑体" w:hAnsi="黑体" w:cs="黑体" w:hint="eastAsia" w:eastAsia="黑体"/>
          <w:szCs w:val="32"/>
        </w:rPr>
        <w:t>第二十九条</w:t>
      </w:r>
      <w:r>
        <w:rPr>
          <w:rFonts w:eastAsia="黑体"/>
        </w:rPr>
        <w:t xml:space="preserve">  </w:t>
      </w:r>
      <w:r>
        <w:rPr>
          <w:rFonts w:hint="eastAsia"/>
          <w:szCs w:val="32"/>
        </w:rPr>
        <w:t>国际性、全国性的体育、文化等重要活动的主办方，应当在知识</w:t>
      </w:r>
      <w:r>
        <w:rPr>
          <w:szCs w:val="32"/>
        </w:rPr>
        <w:t>产权主管部门和</w:t>
      </w:r>
      <w:r>
        <w:rPr>
          <w:rFonts w:hint="eastAsia"/>
          <w:szCs w:val="32"/>
        </w:rPr>
        <w:t>知识产权管理部门的指导下，依法规范活动中的知识产权使用行为。未经权利人许可，自然人、法人和非法人组织不得以商业目的使用权利人的知识产权。</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endChars="0" w:end="0"/>
        <w:textAlignment w:val="auto"/>
        <w:rPr>
          <w:rFonts w:hint="eastAsia"/>
          <w:szCs w:val="32"/>
        </w:rPr>
      </w:pPr>
      <w:r>
        <w:rPr>
          <w:rFonts w:ascii="黑体" w:hAnsi="黑体" w:cs="黑体" w:hint="eastAsia" w:eastAsia="黑体"/>
          <w:szCs w:val="32"/>
        </w:rPr>
        <w:t>第三十条</w:t>
      </w:r>
      <w:r>
        <w:rPr>
          <w:rFonts w:eastAsia="仿宋"/>
          <w:kern w:val="0"/>
        </w:rPr>
        <w:t xml:space="preserve">  </w:t>
      </w:r>
      <w:r>
        <w:rPr>
          <w:rFonts w:hint="eastAsia"/>
          <w:szCs w:val="32"/>
        </w:rPr>
        <w:t>鼓励高等学校设置知识产权相关专业或者开设知识产权课程，与企业、科研机构、知识产权服务机构合作培养、培训知识产权事业发展所需人才。</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endChars="0" w:end="0"/>
        <w:textAlignment w:val="auto"/>
        <w:rPr>
          <w:rFonts w:hint="eastAsia"/>
          <w:szCs w:val="32"/>
        </w:rPr>
      </w:pPr>
      <w:r>
        <w:rPr>
          <w:rFonts w:hint="eastAsia"/>
          <w:szCs w:val="32"/>
        </w:rPr>
        <w:t>企业、科研机构、高等学校以及其他从事科研活动的单位应当注重利用知识产权信息发现人才，加强高层次人才引进、使用中的知识产权评价工作。</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endChars="0" w:end="0"/>
        <w:textAlignment w:val="auto"/>
        <w:rPr>
          <w:rFonts w:hint="eastAsia"/>
          <w:szCs w:val="32"/>
        </w:rPr>
      </w:pPr>
      <w:r>
        <w:rPr>
          <w:rFonts w:ascii="黑体" w:hAnsi="黑体" w:cs="黑体" w:hint="eastAsia" w:eastAsia="黑体"/>
          <w:szCs w:val="32"/>
        </w:rPr>
        <w:t>第三十一条</w:t>
      </w:r>
      <w:r>
        <w:rPr>
          <w:rFonts w:eastAsia="黑体"/>
        </w:rPr>
        <w:t xml:space="preserve">  </w:t>
      </w:r>
      <w:r>
        <w:rPr>
          <w:rFonts w:hint="eastAsia"/>
          <w:szCs w:val="32"/>
        </w:rPr>
        <w:t>鼓励知识产权服务业发展，规范知识产权服务，维护公平竞争的市场秩序，提升知识产权服务水平。</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endChars="0" w:end="0"/>
        <w:textAlignment w:val="auto"/>
        <w:rPr>
          <w:rFonts w:hint="eastAsia"/>
          <w:szCs w:val="32"/>
        </w:rPr>
      </w:pPr>
      <w:r>
        <w:rPr>
          <w:rFonts w:hint="eastAsia"/>
          <w:szCs w:val="32"/>
        </w:rPr>
        <w:t>知识产权服务机构依法开展知识产权代理、法律、信息、商用化、咨询、培训等执业活动，不得有下列行为：</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endChars="0" w:end="0"/>
        <w:textAlignment w:val="auto"/>
        <w:rPr>
          <w:rFonts w:hint="eastAsia"/>
          <w:szCs w:val="32"/>
        </w:rPr>
      </w:pPr>
      <w:r>
        <w:rPr>
          <w:rFonts w:hint="eastAsia"/>
          <w:szCs w:val="32"/>
        </w:rPr>
        <w:t>（一）泄露委托人商业秘密；</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endChars="0" w:end="0"/>
        <w:textAlignment w:val="auto"/>
        <w:rPr>
          <w:rFonts w:hint="eastAsia"/>
          <w:szCs w:val="32"/>
        </w:rPr>
      </w:pPr>
      <w:r>
        <w:rPr>
          <w:rFonts w:hint="eastAsia"/>
          <w:szCs w:val="32"/>
        </w:rPr>
        <w:t>（二）以诋毁其他服务机构等不正当手段招揽业务；</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endChars="0" w:end="0"/>
        <w:textAlignment w:val="auto"/>
        <w:rPr>
          <w:rFonts w:hint="eastAsia"/>
          <w:szCs w:val="32"/>
        </w:rPr>
      </w:pPr>
      <w:r>
        <w:rPr>
          <w:rFonts w:hint="eastAsia"/>
          <w:szCs w:val="32"/>
        </w:rPr>
        <w:t>（三）就同一事项接受利害关系人双方委托；</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endChars="0" w:end="0"/>
        <w:textAlignment w:val="auto"/>
        <w:rPr>
          <w:rFonts w:hint="eastAsia"/>
          <w:szCs w:val="32"/>
        </w:rPr>
      </w:pPr>
      <w:r>
        <w:rPr>
          <w:rFonts w:hint="eastAsia"/>
          <w:szCs w:val="32"/>
        </w:rPr>
        <w:t>（四）其他损害委托人合法权益的行为。</w:t>
      </w:r>
      <w:r>
        <w:rPr>
          <w:rFonts w:hint="eastAsia"/>
          <w:szCs w:val="32"/>
        </w:rPr>
        <w:tab/>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endChars="0" w:end="0"/>
        <w:textAlignment w:val="auto"/>
        <w:rPr>
          <w:rFonts w:hint="eastAsia"/>
          <w:szCs w:val="32"/>
        </w:rPr>
      </w:pPr>
      <w:r>
        <w:rPr>
          <w:rFonts w:ascii="黑体" w:hAnsi="黑体" w:cs="黑体" w:hint="eastAsia" w:eastAsia="黑体"/>
          <w:szCs w:val="32"/>
        </w:rPr>
        <w:t>第三十二条</w:t>
      </w:r>
      <w:r>
        <w:rPr>
          <w:rFonts w:hint="eastAsia" w:eastAsia="黑体"/>
          <w:color w:val="333333"/>
          <w:kern w:val="0"/>
        </w:rPr>
        <w:t xml:space="preserve">  </w:t>
      </w:r>
      <w:r>
        <w:rPr>
          <w:rFonts w:hint="eastAsia"/>
          <w:szCs w:val="32"/>
        </w:rPr>
        <w:t>当事人可以采取公证的方式保管知识产权相关证明材料，为证明知识产权在先使用、公开在先等提供证据支持。</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endChars="0" w:end="0"/>
        <w:textAlignment w:val="auto"/>
        <w:rPr>
          <w:szCs w:val="32"/>
        </w:rPr>
      </w:pPr>
      <w:r>
        <w:rPr>
          <w:rFonts w:hint="eastAsia"/>
          <w:szCs w:val="32"/>
        </w:rPr>
        <w:t>鼓励公证机构创新公证证明方式，优化服务知识产权保护的公证流程，依托电子签名、数据加密等技术为申请人提供远程公证服务。</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endChars="0" w:end="0"/>
        <w:textAlignment w:val="auto"/>
        <w:rPr>
          <w:rFonts w:hint="eastAsia"/>
          <w:szCs w:val="32"/>
        </w:rPr>
      </w:pPr>
      <w:r>
        <w:rPr>
          <w:rFonts w:ascii="黑体" w:hAnsi="黑体" w:cs="黑体" w:hint="eastAsia" w:eastAsia="黑体"/>
          <w:szCs w:val="32"/>
        </w:rPr>
        <w:t>第三十三条</w:t>
      </w:r>
      <w:r>
        <w:rPr>
          <w:rFonts w:eastAsia="黑体"/>
        </w:rPr>
        <w:t xml:space="preserve">  </w:t>
      </w:r>
      <w:r>
        <w:rPr>
          <w:rFonts w:hint="eastAsia"/>
          <w:szCs w:val="32"/>
        </w:rPr>
        <w:t>鼓励、支持知识产权志愿者开展知识产权保护宣传、咨询活动，参与知识产权的网络舆情调查、分析等志愿服务。</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endChars="0" w:end="0"/>
        <w:textAlignment w:val="auto"/>
        <w:rPr>
          <w:rFonts w:hint="eastAsia"/>
          <w:szCs w:val="32"/>
        </w:rPr>
      </w:pPr>
      <w:r>
        <w:rPr>
          <w:rFonts w:hint="eastAsia"/>
          <w:szCs w:val="32"/>
        </w:rPr>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0" w:firstLine="0" w:endChars="0" w:end="0"/>
        <w:jc w:val="center"/>
        <w:textAlignment w:val="auto"/>
        <w:rPr>
          <w:rFonts w:hint="eastAsia"/>
          <w:szCs w:val="32"/>
        </w:rPr>
      </w:pPr>
      <w:r>
        <w:rPr>
          <w:rFonts w:ascii="黑体" w:hAnsi="黑体" w:cs="黑体" w:hint="eastAsia" w:eastAsia="黑体"/>
          <w:szCs w:val="32"/>
        </w:rPr>
        <w:t>第四章　纠纷解决机制</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endChars="0" w:end="0"/>
        <w:textAlignment w:val="auto"/>
        <w:rPr>
          <w:szCs w:val="32"/>
        </w:rPr>
      </w:pPr>
      <w:r>
        <w:rPr>
          <w:rFonts w:ascii="黑体" w:hAnsi="黑体" w:cs="黑体" w:hint="eastAsia" w:eastAsia="黑体"/>
          <w:szCs w:val="32"/>
        </w:rPr>
        <w:t>第三十四条</w:t>
      </w:r>
      <w:r>
        <w:rPr>
          <w:rFonts w:eastAsia="黑体"/>
        </w:rPr>
        <w:t xml:space="preserve">  </w:t>
      </w:r>
      <w:r>
        <w:rPr>
          <w:rFonts w:hint="eastAsia"/>
          <w:szCs w:val="32"/>
        </w:rPr>
        <w:t>本市建立和完善知识产权纠纷多元解决机制，促进知识产权行政裁决、调解、仲裁、诉讼等纠纷解决途径的有效衔接，保护当事人合法权益，维护公平竞争的市场秩序。</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endChars="0" w:end="0"/>
        <w:textAlignment w:val="auto"/>
        <w:rPr>
          <w:rFonts w:hint="eastAsia"/>
          <w:szCs w:val="32"/>
        </w:rPr>
      </w:pPr>
      <w:r>
        <w:rPr>
          <w:rFonts w:ascii="黑体" w:hAnsi="黑体" w:cs="黑体" w:hint="eastAsia" w:eastAsia="黑体"/>
          <w:szCs w:val="32"/>
        </w:rPr>
        <w:t>第三十五条</w:t>
      </w:r>
      <w:r>
        <w:rPr>
          <w:rFonts w:eastAsia="黑体"/>
        </w:rPr>
        <w:t xml:space="preserve"> </w:t>
      </w:r>
      <w:r>
        <w:rPr>
          <w:rFonts w:hint="eastAsia" w:eastAsia="黑体"/>
        </w:rPr>
        <w:t xml:space="preserve"> </w:t>
      </w:r>
      <w:r>
        <w:rPr>
          <w:rFonts w:hint="eastAsia"/>
          <w:szCs w:val="32"/>
        </w:rPr>
        <w:t>知识产权主管部门依当事人请求，依法对知识产权纠纷作出行政裁决，当事人对行政裁决不服的，可以依法提起诉讼。</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endChars="0" w:end="0"/>
        <w:textAlignment w:val="auto"/>
        <w:rPr>
          <w:szCs w:val="32"/>
        </w:rPr>
      </w:pPr>
      <w:r>
        <w:rPr>
          <w:rFonts w:hint="eastAsia"/>
          <w:szCs w:val="32"/>
        </w:rPr>
        <w:t>知识产权主管部门对知识产权纠纷作出行政裁决前，应当先行调解，调解不成的，应当及时作出行政裁决。</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endChars="0" w:end="0"/>
        <w:textAlignment w:val="auto"/>
        <w:rPr>
          <w:szCs w:val="32"/>
        </w:rPr>
      </w:pPr>
      <w:r>
        <w:rPr>
          <w:rFonts w:ascii="黑体" w:hAnsi="黑体" w:cs="黑体" w:hint="eastAsia" w:eastAsia="黑体"/>
          <w:szCs w:val="32"/>
        </w:rPr>
        <w:t>第三十六条</w:t>
      </w:r>
      <w:r>
        <w:rPr>
          <w:rFonts w:eastAsia="黑体"/>
        </w:rPr>
        <w:t xml:space="preserve">  </w:t>
      </w:r>
      <w:r>
        <w:rPr>
          <w:rFonts w:hint="eastAsia"/>
          <w:szCs w:val="32"/>
        </w:rPr>
        <w:t>知识</w:t>
      </w:r>
      <w:r>
        <w:rPr>
          <w:szCs w:val="32"/>
        </w:rPr>
        <w:t>产权主管部门和</w:t>
      </w:r>
      <w:r>
        <w:rPr>
          <w:rFonts w:hint="eastAsia"/>
          <w:szCs w:val="32"/>
        </w:rPr>
        <w:t>知识产权管理部门依当事人请求，依法对知识产权纠纷进行调解，调解不成的，当事人可以依法提起民事诉讼。</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endChars="0" w:end="0"/>
        <w:textAlignment w:val="auto"/>
        <w:rPr>
          <w:rFonts w:hint="eastAsia"/>
          <w:szCs w:val="32"/>
        </w:rPr>
      </w:pPr>
      <w:r>
        <w:rPr>
          <w:rFonts w:ascii="黑体" w:hAnsi="黑体" w:cs="黑体" w:hint="eastAsia" w:eastAsia="黑体"/>
          <w:szCs w:val="32"/>
        </w:rPr>
        <w:t>第三十七条</w:t>
      </w:r>
      <w:r>
        <w:rPr>
          <w:rFonts w:eastAsia="黑体"/>
        </w:rPr>
        <w:t xml:space="preserve">  </w:t>
      </w:r>
      <w:r>
        <w:rPr>
          <w:rFonts w:hint="eastAsia"/>
          <w:szCs w:val="32"/>
        </w:rPr>
        <w:t>鼓励人民调解组织、行业协会以及其他社会组织建立知识产权纠纷调解机制。</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endChars="0" w:end="0"/>
        <w:textAlignment w:val="auto"/>
        <w:rPr>
          <w:szCs w:val="32"/>
        </w:rPr>
      </w:pPr>
      <w:r>
        <w:rPr>
          <w:rFonts w:hint="eastAsia"/>
          <w:szCs w:val="32"/>
        </w:rPr>
        <w:t>知识</w:t>
      </w:r>
      <w:r>
        <w:rPr>
          <w:szCs w:val="32"/>
        </w:rPr>
        <w:t>产权主管部门和</w:t>
      </w:r>
      <w:r>
        <w:rPr>
          <w:rFonts w:hint="eastAsia"/>
          <w:szCs w:val="32"/>
        </w:rPr>
        <w:t>知识产权管理部门、司法行政部门应当根据工作职责，指导人民调解组织、行业协会以及其他社会组织开展知识产权纠纷调解，公平、高效处理知识产权纠纷。</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endChars="0" w:end="0"/>
        <w:textAlignment w:val="auto"/>
        <w:rPr>
          <w:rFonts w:hint="eastAsia"/>
          <w:szCs w:val="32"/>
        </w:rPr>
      </w:pPr>
      <w:r>
        <w:rPr>
          <w:rFonts w:hint="eastAsia"/>
          <w:szCs w:val="32"/>
        </w:rPr>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0" w:firstLine="0" w:endChars="0" w:end="0"/>
        <w:jc w:val="center"/>
        <w:textAlignment w:val="auto"/>
        <w:rPr>
          <w:rFonts w:ascii="黑体" w:hAnsi="黑体" w:eastAsia="黑体" w:cs="黑体" w:hint="eastAsia"/>
          <w:szCs w:val="32"/>
        </w:rPr>
      </w:pPr>
      <w:r>
        <w:rPr>
          <w:rFonts w:ascii="黑体" w:hAnsi="黑体" w:cs="黑体" w:hint="eastAsia" w:eastAsia="黑体"/>
          <w:szCs w:val="32"/>
        </w:rPr>
        <w:t>第五章　执法与处罚</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endChars="0" w:end="0"/>
        <w:textAlignment w:val="auto"/>
        <w:rPr>
          <w:rFonts w:hint="eastAsia"/>
          <w:szCs w:val="32"/>
        </w:rPr>
      </w:pPr>
      <w:r>
        <w:rPr>
          <w:rFonts w:ascii="黑体" w:hAnsi="黑体" w:cs="黑体" w:hint="eastAsia" w:eastAsia="黑体"/>
          <w:szCs w:val="32"/>
        </w:rPr>
        <w:t>第三十八条</w:t>
      </w:r>
      <w:r>
        <w:rPr>
          <w:rFonts w:eastAsia="黑体"/>
        </w:rPr>
        <w:t xml:space="preserve">  </w:t>
      </w:r>
      <w:r>
        <w:rPr>
          <w:rFonts w:hint="eastAsia"/>
          <w:szCs w:val="32"/>
        </w:rPr>
        <w:t>知识产权主管部门和知识产权管理部门调查知识产权案件，依法行使下列职权：</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endChars="0" w:end="0"/>
        <w:textAlignment w:val="auto"/>
        <w:rPr>
          <w:rFonts w:hint="eastAsia"/>
          <w:szCs w:val="32"/>
        </w:rPr>
      </w:pPr>
      <w:r>
        <w:rPr>
          <w:rFonts w:hint="eastAsia"/>
          <w:szCs w:val="32"/>
        </w:rPr>
        <w:t>（一）采用测量、拍照、摄像等方式对涉嫌违法行为的场所实施现场检查和勘查；</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endChars="0" w:end="0"/>
        <w:textAlignment w:val="auto"/>
        <w:rPr>
          <w:rFonts w:hint="eastAsia"/>
          <w:szCs w:val="32"/>
        </w:rPr>
      </w:pPr>
      <w:r>
        <w:rPr>
          <w:rFonts w:hint="eastAsia"/>
          <w:szCs w:val="32"/>
        </w:rPr>
        <w:t>（二）查阅、复制当事人与涉嫌违法行为有关的经营记录、票据、财务账册、合同等资料；</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endChars="0" w:end="0"/>
        <w:textAlignment w:val="auto"/>
        <w:rPr>
          <w:rFonts w:hint="eastAsia"/>
          <w:szCs w:val="32"/>
        </w:rPr>
      </w:pPr>
      <w:r>
        <w:rPr>
          <w:rFonts w:hint="eastAsia"/>
          <w:szCs w:val="32"/>
        </w:rPr>
        <w:t>（三）询问当事人，要求其说明有关情况或者提供与被调查行为有关的其他资料；</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endChars="0" w:end="0"/>
        <w:textAlignment w:val="auto"/>
        <w:rPr>
          <w:rFonts w:hint="eastAsia"/>
          <w:szCs w:val="32"/>
        </w:rPr>
      </w:pPr>
      <w:r>
        <w:rPr>
          <w:rFonts w:hint="eastAsia"/>
          <w:szCs w:val="32"/>
        </w:rPr>
        <w:t>（四）对证据可能灭失或者以后难以取得的，依法先行登记保存；</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endChars="0" w:end="0"/>
        <w:textAlignment w:val="auto"/>
        <w:rPr>
          <w:rFonts w:hint="eastAsia"/>
          <w:szCs w:val="32"/>
        </w:rPr>
      </w:pPr>
      <w:r>
        <w:rPr>
          <w:rFonts w:hint="eastAsia"/>
          <w:szCs w:val="32"/>
        </w:rPr>
        <w:t>（五）依法查封、扣押有证据证明是假冒、侵权的产品、物品；</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endChars="0" w:end="0"/>
        <w:textAlignment w:val="auto"/>
        <w:rPr>
          <w:rFonts w:hint="eastAsia"/>
          <w:szCs w:val="32"/>
        </w:rPr>
      </w:pPr>
      <w:r>
        <w:rPr>
          <w:rFonts w:hint="eastAsia"/>
          <w:szCs w:val="32"/>
        </w:rPr>
        <w:t>（六）涉嫌侵犯制造方法专利权等知识产权的，要求当事人进行现场演示，但是应当采取保护措施，防止泄密，并固定相关证据；</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endChars="0" w:end="0"/>
        <w:textAlignment w:val="auto"/>
        <w:rPr>
          <w:szCs w:val="32"/>
        </w:rPr>
      </w:pPr>
      <w:r>
        <w:rPr>
          <w:rFonts w:hint="eastAsia"/>
          <w:szCs w:val="32"/>
        </w:rPr>
        <w:t>（七）法律、法规规定的其他职权。</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endChars="0" w:end="0"/>
        <w:textAlignment w:val="auto"/>
        <w:rPr>
          <w:rFonts w:hint="eastAsia"/>
          <w:szCs w:val="32"/>
        </w:rPr>
      </w:pPr>
      <w:r>
        <w:rPr>
          <w:rFonts w:ascii="黑体" w:hAnsi="黑体" w:cs="黑体" w:hint="eastAsia" w:eastAsia="黑体"/>
          <w:szCs w:val="32"/>
        </w:rPr>
        <w:t>第三十九条</w:t>
      </w:r>
      <w:r>
        <w:rPr>
          <w:rFonts w:hint="eastAsia" w:eastAsia="黑体"/>
        </w:rPr>
        <w:t xml:space="preserve">  </w:t>
      </w:r>
      <w:r>
        <w:rPr>
          <w:rFonts w:hint="eastAsia"/>
          <w:szCs w:val="32"/>
        </w:rPr>
        <w:t>知识产权主管部门和知识产权管理部门处理知识产权违法案件，涉及违法经营额的，按照下列方法计算：</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endChars="0" w:end="0"/>
        <w:textAlignment w:val="auto"/>
        <w:rPr>
          <w:rFonts w:hint="eastAsia"/>
          <w:szCs w:val="32"/>
        </w:rPr>
      </w:pPr>
      <w:r>
        <w:rPr>
          <w:rFonts w:hint="eastAsia"/>
          <w:szCs w:val="32"/>
        </w:rPr>
        <w:t>（一）已销售的违法商品，按照实际销售价格计算</w:t>
      </w:r>
      <w:r>
        <w:rPr>
          <w:rFonts w:ascii="仿宋_GB2312" w:hAnsi="仿宋_GB2312" w:cs="黑体" w:hint="eastAsia"/>
          <w:szCs w:val="32"/>
        </w:rPr>
        <w:t>；</w:t>
      </w:r>
      <w:r>
        <w:rPr>
          <w:rFonts w:hint="eastAsia"/>
          <w:szCs w:val="32"/>
        </w:rPr>
        <w:t>无法查清其实际销售价格的，按照市场在销售的与侵权商品相同或者相似的同类商品的市场中间价格确定</w:t>
      </w:r>
      <w:r>
        <w:rPr>
          <w:rFonts w:ascii="仿宋_GB2312" w:hAnsi="仿宋_GB2312" w:cs="仿宋_GB2312" w:hint="eastAsia"/>
          <w:szCs w:val="32"/>
        </w:rPr>
        <w:t>。</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endChars="0" w:end="0"/>
        <w:textAlignment w:val="auto"/>
        <w:rPr>
          <w:rFonts w:ascii="仿宋_GB2312" w:hAnsi="仿宋_GB2312" w:cs="仿宋_GB2312" w:hint="eastAsia"/>
          <w:szCs w:val="32"/>
        </w:rPr>
      </w:pPr>
      <w:r>
        <w:rPr>
          <w:rFonts w:hint="eastAsia"/>
          <w:szCs w:val="32"/>
        </w:rPr>
        <w:t>（二）未销售的违法商品，按照标示价格计算</w:t>
      </w:r>
      <w:r>
        <w:rPr>
          <w:rFonts w:ascii="仿宋_GB2312" w:hAnsi="仿宋_GB2312" w:cs="黑体" w:hint="eastAsia"/>
          <w:szCs w:val="32"/>
        </w:rPr>
        <w:t>；</w:t>
      </w:r>
      <w:r>
        <w:rPr>
          <w:rFonts w:hint="eastAsia"/>
          <w:szCs w:val="32"/>
        </w:rPr>
        <w:t>没有标示价格的，按照市场在销售的与违法商品相同或者相似的同类商品的市场中间价格确定</w:t>
      </w:r>
      <w:r>
        <w:rPr>
          <w:rFonts w:ascii="仿宋_GB2312" w:hAnsi="仿宋_GB2312" w:cs="仿宋_GB2312" w:hint="eastAsia"/>
          <w:szCs w:val="32"/>
        </w:rPr>
        <w:t>。</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endChars="0" w:end="0"/>
        <w:textAlignment w:val="auto"/>
        <w:rPr>
          <w:rFonts w:hint="eastAsia"/>
          <w:szCs w:val="32"/>
        </w:rPr>
      </w:pPr>
      <w:r>
        <w:rPr>
          <w:rFonts w:hint="eastAsia"/>
          <w:szCs w:val="32"/>
        </w:rPr>
        <w:t>（三）法律、法规规定的其他能够合理计算违法商品价格的方法。</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endChars="0" w:end="0"/>
        <w:textAlignment w:val="auto"/>
        <w:rPr>
          <w:szCs w:val="32"/>
        </w:rPr>
      </w:pPr>
      <w:r>
        <w:rPr>
          <w:rFonts w:hint="eastAsia"/>
          <w:szCs w:val="32"/>
        </w:rPr>
        <w:t>查处知识产权案件，发现侵权人多次实施知识产权违法行为且未经行政处理的，其违法经营额应当累计计算。</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endChars="0" w:end="0"/>
        <w:textAlignment w:val="auto"/>
        <w:rPr>
          <w:rFonts w:hint="eastAsia"/>
          <w:szCs w:val="32"/>
        </w:rPr>
      </w:pPr>
      <w:r>
        <w:rPr>
          <w:rFonts w:ascii="黑体" w:hAnsi="黑体" w:cs="黑体" w:hint="eastAsia" w:eastAsia="黑体"/>
          <w:szCs w:val="32"/>
        </w:rPr>
        <w:t>第四十条</w:t>
      </w:r>
      <w:r>
        <w:rPr>
          <w:rFonts w:eastAsia="黑体"/>
        </w:rPr>
        <w:t xml:space="preserve"> </w:t>
      </w:r>
      <w:r>
        <w:rPr>
          <w:rFonts w:hint="eastAsia" w:eastAsia="黑体"/>
        </w:rPr>
        <w:t xml:space="preserve"> </w:t>
      </w:r>
      <w:r>
        <w:rPr>
          <w:rFonts w:hint="eastAsia"/>
          <w:szCs w:val="32"/>
        </w:rPr>
        <w:t>知识产权主管部门和知识产权管理部门依法处理知识产权侵权纠纷，对在本行政区域内侵犯同一知识产权的案件可以依法合并处理；对跨区侵犯同一知识产权的案件可以依法请求市知识产权主管部门和市知识产权管理部门处理。</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endChars="0" w:end="0"/>
        <w:textAlignment w:val="auto"/>
        <w:rPr>
          <w:rFonts w:hint="eastAsia"/>
          <w:szCs w:val="32"/>
        </w:rPr>
      </w:pPr>
      <w:r>
        <w:rPr>
          <w:rFonts w:ascii="黑体" w:hAnsi="黑体" w:cs="黑体" w:hint="eastAsia" w:eastAsia="黑体"/>
          <w:szCs w:val="32"/>
        </w:rPr>
        <w:t>第四十一条</w:t>
      </w:r>
      <w:r>
        <w:rPr>
          <w:rFonts w:eastAsia="黑体"/>
        </w:rPr>
        <w:t xml:space="preserve">  </w:t>
      </w:r>
      <w:r>
        <w:rPr>
          <w:rFonts w:hint="eastAsia"/>
          <w:szCs w:val="32"/>
        </w:rPr>
        <w:t>市场监督管理部门应当依法查处制售假冒伪劣产品和知识产权虚假宣传等行为。发现重大违法线索的，应当对生产、销售等各个环节进行全面调查处理。</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endChars="0" w:end="0"/>
        <w:textAlignment w:val="auto"/>
        <w:rPr>
          <w:color w:val="000000"/>
          <w:szCs w:val="32"/>
        </w:rPr>
      </w:pPr>
      <w:r>
        <w:rPr>
          <w:rFonts w:ascii="黑体" w:hAnsi="黑体" w:cs="黑体" w:hint="eastAsia" w:eastAsia="黑体"/>
          <w:szCs w:val="32"/>
        </w:rPr>
        <w:t>第四十二条</w:t>
      </w:r>
      <w:r>
        <w:rPr>
          <w:rFonts w:eastAsia="黑体"/>
        </w:rPr>
        <w:t xml:space="preserve">  </w:t>
      </w:r>
      <w:r>
        <w:rPr>
          <w:rFonts w:hint="eastAsia"/>
          <w:color w:val="000000"/>
          <w:szCs w:val="32"/>
        </w:rPr>
        <w:t>网信、版权、公安、文化和旅游等部门应当加强对网络环境的监督，依法查处网络文学、音乐、影视、动漫、游戏、计算机软件等领域的著作权侵权行为。</w:t>
      </w:r>
    </w:p>
    <w:p>
      <w:pPr>
        <w:pStyle w:val="Normal"/>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startChars="0" w:start="0" w:endChars="0" w:end="0"/>
        <w:textAlignment w:val="auto"/>
        <w:rPr>
          <w:rFonts w:eastAsia="仿宋_GB2312"/>
          <w:sz w:val="32"/>
          <w:szCs w:val="32"/>
        </w:rPr>
      </w:pPr>
      <w:r>
        <w:rPr>
          <w:rFonts w:ascii="黑体" w:hAnsi="黑体" w:cs="黑体" w:hint="eastAsia" w:eastAsia="黑体"/>
          <w:sz w:val="32"/>
          <w:szCs w:val="32"/>
        </w:rPr>
        <w:t xml:space="preserve">第四十三条  </w:t>
      </w:r>
      <w:r>
        <w:rPr>
          <w:rFonts w:ascii="仿宋_GB2312" w:hAnsi="仿宋_GB2312" w:hint="eastAsia" w:eastAsia="仿宋_GB2312"/>
          <w:sz w:val="32"/>
          <w:szCs w:val="20"/>
        </w:rPr>
        <w:t>知识产权主管部门和知识产权管理部门在行政执法过程中或者受理投诉、举报时，发现知识产权违法</w:t>
      </w:r>
      <w:r>
        <w:rPr>
          <w:rFonts w:hint="eastAsia" w:eastAsia="仿宋_GB2312"/>
          <w:sz w:val="32"/>
          <w:szCs w:val="32"/>
        </w:rPr>
        <w:t>线索的，应当及时处理；涉嫌犯罪的，应当依法移送公安机关，同时抄送同级检察机关。</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endChars="0" w:end="0"/>
        <w:textAlignment w:val="auto"/>
        <w:rPr>
          <w:rFonts w:hint="eastAsia"/>
          <w:szCs w:val="32"/>
        </w:rPr>
      </w:pPr>
      <w:r>
        <w:rPr>
          <w:rFonts w:ascii="黑体" w:hAnsi="黑体" w:cs="黑体" w:hint="eastAsia" w:eastAsia="黑体"/>
          <w:szCs w:val="32"/>
        </w:rPr>
        <w:t>第四十四条</w:t>
      </w:r>
      <w:r>
        <w:rPr>
          <w:rFonts w:eastAsia="黑体"/>
        </w:rPr>
        <w:t xml:space="preserve">  </w:t>
      </w:r>
      <w:r>
        <w:rPr>
          <w:rFonts w:hint="eastAsia"/>
          <w:szCs w:val="32"/>
        </w:rPr>
        <w:t>市场监督管理部门依专利权人或者利害关系人请求，对经认定的专利侵权行为，责令侵权人立即停止侵权行为。</w:t>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eastAsia="仿宋_GB2312" w:hint="eastAsia"/>
          <w:szCs w:val="32"/>
        </w:rPr>
      </w:pPr>
      <w:r>
        <w:rPr>
          <w:rFonts w:hint="eastAsia" w:eastAsia="仿宋_GB2312"/>
          <w:szCs w:val="32"/>
        </w:rPr>
        <w:t>假冒专利的，由市场监督管理部门责令改正并予以公告，没收违法所得，并处违法所得二倍以上四倍以下的罚款；没有违法所得的，处</w:t>
      </w:r>
      <w:r>
        <w:rPr>
          <w:rFonts w:eastAsia="仿宋_GB2312"/>
          <w:szCs w:val="32"/>
        </w:rPr>
        <w:t>五万元以上</w:t>
      </w:r>
      <w:r>
        <w:rPr>
          <w:rFonts w:hint="eastAsia" w:eastAsia="仿宋_GB2312"/>
          <w:szCs w:val="32"/>
        </w:rPr>
        <w:t>二十万元以下的罚款。</w:t>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eastAsia="仿宋_GB2312" w:hint="eastAsia"/>
          <w:szCs w:val="32"/>
        </w:rPr>
      </w:pPr>
      <w:r>
        <w:rPr>
          <w:rFonts w:ascii="黑体" w:hAnsi="黑体" w:cs="黑体" w:hint="eastAsia" w:eastAsia="黑体"/>
          <w:szCs w:val="32"/>
        </w:rPr>
        <w:t>第四十五条</w:t>
      </w:r>
      <w:r>
        <w:rPr>
          <w:rFonts w:eastAsia="黑体"/>
        </w:rPr>
        <w:t xml:space="preserve">  </w:t>
      </w:r>
      <w:r>
        <w:rPr>
          <w:rFonts w:hint="eastAsia" w:eastAsia="仿宋_GB2312"/>
          <w:szCs w:val="32"/>
        </w:rPr>
        <w:t>市场监督管理部门依商标权利人或者利害关系人请求，对经认定的商标侵权行为，责令侵权人立即停止侵权行为，没收、销毁侵权商品和主要用于制造侵权商品、伪造注册商标标识的工具，违法经营额五万元以上的，处违法经营额三倍以上五倍以下的罚款；没有违法经营额或者违法经营额不足五万元的，处</w:t>
      </w:r>
      <w:r>
        <w:rPr>
          <w:rFonts w:eastAsia="仿宋_GB2312"/>
          <w:szCs w:val="32"/>
        </w:rPr>
        <w:t>十万元以上</w:t>
      </w:r>
      <w:r>
        <w:rPr>
          <w:rFonts w:hint="eastAsia" w:eastAsia="仿宋_GB2312"/>
          <w:szCs w:val="32"/>
        </w:rPr>
        <w:t>二十五万元以下的罚款。</w:t>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eastAsia="仿宋_GB2312" w:hint="eastAsia"/>
          <w:szCs w:val="32"/>
        </w:rPr>
      </w:pPr>
      <w:r>
        <w:rPr>
          <w:rFonts w:hint="eastAsia" w:eastAsia="仿宋_GB2312"/>
          <w:szCs w:val="32"/>
        </w:rPr>
        <w:t>将未注册商标冒充注册商标使用的，由市场监督管理部门予以制止，限期改正，并予以通报，违法经营额五万元以上的，处违法经营额百分之二十以下的罚款；没有违法经营额或者违法经营额不足五万元的，处一万元以下的罚款。</w:t>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eastAsia="仿宋_GB2312" w:hint="eastAsia"/>
          <w:szCs w:val="32"/>
        </w:rPr>
      </w:pPr>
      <w:r>
        <w:rPr>
          <w:rFonts w:ascii="黑体" w:hAnsi="黑体" w:cs="黑体" w:hint="eastAsia" w:eastAsia="黑体"/>
          <w:szCs w:val="32"/>
        </w:rPr>
        <w:t>第四十六条</w:t>
      </w:r>
      <w:r>
        <w:rPr>
          <w:rFonts w:eastAsia="黑体"/>
          <w:szCs w:val="32"/>
        </w:rPr>
        <w:t xml:space="preserve">  </w:t>
      </w:r>
      <w:r>
        <w:rPr>
          <w:rFonts w:hint="eastAsia" w:eastAsia="仿宋_GB2312"/>
          <w:szCs w:val="32"/>
        </w:rPr>
        <w:t>侵犯著作权同时损害社会公共利益的，由文化和旅游部门责令停止侵权行为，没收违法所得，没收、销毁侵权复制品，违法经营额五万元以上的，处违法经营额三倍以上五倍以下的罚款；没有违法经营额或者违法经营额不足五万元的，处</w:t>
      </w:r>
      <w:r>
        <w:rPr>
          <w:rFonts w:eastAsia="仿宋_GB2312"/>
          <w:szCs w:val="32"/>
        </w:rPr>
        <w:t>五万元以上</w:t>
      </w:r>
      <w:r>
        <w:rPr>
          <w:rFonts w:hint="eastAsia" w:eastAsia="仿宋_GB2312"/>
          <w:szCs w:val="32"/>
        </w:rPr>
        <w:t>二十五万元以下的罚款；情节严重的，没收主要用于制作侵权复制品的材料、工具、设备等。</w:t>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eastAsia="仿宋_GB2312" w:hint="eastAsia"/>
          <w:szCs w:val="32"/>
        </w:rPr>
      </w:pPr>
      <w:r>
        <w:rPr>
          <w:rFonts w:ascii="黑体" w:hAnsi="黑体" w:cs="黑体" w:hint="eastAsia" w:eastAsia="黑体"/>
          <w:szCs w:val="32"/>
        </w:rPr>
        <w:t xml:space="preserve">第四十七条  </w:t>
      </w:r>
      <w:r>
        <w:rPr>
          <w:rFonts w:hint="eastAsia" w:eastAsia="仿宋_GB2312"/>
          <w:szCs w:val="32"/>
        </w:rPr>
        <w:t>侵犯计算机软件著作权同时损害社会公共利益的，由文化和旅游部门依照有关法律、行政法规进行查处。</w:t>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eastAsia="仿宋_GB2312" w:hint="eastAsia"/>
          <w:szCs w:val="32"/>
        </w:rPr>
      </w:pPr>
      <w:r>
        <w:rPr>
          <w:rFonts w:ascii="黑体" w:hAnsi="黑体" w:cs="黑体" w:hint="eastAsia" w:eastAsia="黑体"/>
          <w:szCs w:val="32"/>
        </w:rPr>
        <w:t>第四十八条</w:t>
      </w:r>
      <w:r>
        <w:rPr>
          <w:rFonts w:eastAsia="黑体"/>
        </w:rPr>
        <w:t xml:space="preserve">  </w:t>
      </w:r>
      <w:r>
        <w:rPr>
          <w:rFonts w:hint="eastAsia" w:eastAsia="仿宋_GB2312"/>
          <w:szCs w:val="32"/>
        </w:rPr>
        <w:t>规划和自然资源、农业农村部门依植物新品种权利人或者利害关系人请求，对经认定的植物新品种侵权行为，涉及社会公共利益的，责令侵权人停止侵权行为，没收违法所得和种子，货值金额五万元以上的，并处货值金额五倍以上十倍以下的罚款；货值金额不足五万元的，并处</w:t>
      </w:r>
      <w:r>
        <w:rPr>
          <w:rFonts w:eastAsia="仿宋_GB2312"/>
          <w:szCs w:val="32"/>
        </w:rPr>
        <w:t>五万元以上</w:t>
      </w:r>
      <w:r>
        <w:rPr>
          <w:rFonts w:hint="eastAsia" w:eastAsia="仿宋_GB2312"/>
          <w:szCs w:val="32"/>
        </w:rPr>
        <w:t>二十五万元以下的罚款。</w:t>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eastAsia="仿宋_GB2312" w:hint="eastAsia"/>
          <w:szCs w:val="32"/>
        </w:rPr>
      </w:pPr>
      <w:r>
        <w:rPr>
          <w:rFonts w:hint="eastAsia" w:eastAsia="仿宋_GB2312"/>
          <w:szCs w:val="32"/>
        </w:rPr>
        <w:t>假冒授权品种的，由规划和自然资源、农业农村部门责令停止违法行为，没收违法所得和种子，货值金额五万元以上的，并处货值金额五倍以上十倍以下的罚款；货值金额不足五万元的，并处五万</w:t>
      </w:r>
      <w:r>
        <w:rPr>
          <w:rFonts w:eastAsia="仿宋_GB2312"/>
          <w:szCs w:val="32"/>
        </w:rPr>
        <w:t>元以上</w:t>
      </w:r>
      <w:r>
        <w:rPr>
          <w:rFonts w:hint="eastAsia" w:eastAsia="仿宋_GB2312"/>
          <w:szCs w:val="32"/>
        </w:rPr>
        <w:t>二十五万元以下的罚款。</w:t>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eastAsia="仿宋_GB2312" w:hint="eastAsia"/>
          <w:szCs w:val="32"/>
        </w:rPr>
      </w:pPr>
      <w:r>
        <w:rPr>
          <w:rFonts w:ascii="黑体" w:hAnsi="黑体" w:cs="黑体" w:hint="eastAsia" w:eastAsia="黑体"/>
          <w:szCs w:val="32"/>
        </w:rPr>
        <w:t>第四十九条</w:t>
      </w:r>
      <w:r>
        <w:rPr>
          <w:rFonts w:hint="eastAsia" w:eastAsia="黑体"/>
          <w:kern w:val="0"/>
        </w:rPr>
        <w:t xml:space="preserve">  </w:t>
      </w:r>
      <w:r>
        <w:rPr>
          <w:rFonts w:hint="eastAsia" w:eastAsia="仿宋_GB2312"/>
          <w:szCs w:val="32"/>
        </w:rPr>
        <w:t>侵犯商业秘密的，由市场监督管理部门责令停止违法行为，没收违法所得，处三十万元以上一百万元以下的罚款；情节严重的，处一百万元以上五百万元以下的罚款。法律、行政法规规定由其他部门查处的，依照其规定。</w:t>
      </w:r>
    </w:p>
    <w:p>
      <w:pPr>
        <w:pStyle w:val="BodyText"/>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eastAsia="仿宋_GB2312" w:hint="eastAsia"/>
          <w:szCs w:val="32"/>
        </w:rPr>
      </w:pPr>
      <w:r>
        <w:rPr>
          <w:rFonts w:ascii="黑体" w:hAnsi="黑体" w:cs="黑体" w:hint="eastAsia" w:eastAsia="黑体"/>
          <w:szCs w:val="32"/>
        </w:rPr>
        <w:t>第五十条</w:t>
      </w:r>
      <w:r>
        <w:rPr>
          <w:rFonts w:hint="eastAsia" w:eastAsia="黑体"/>
        </w:rPr>
        <w:t xml:space="preserve">  </w:t>
      </w:r>
      <w:r>
        <w:rPr>
          <w:rFonts w:hint="eastAsia" w:eastAsia="仿宋_GB2312"/>
          <w:szCs w:val="32"/>
        </w:rPr>
        <w:t>将他人注册商标、未注册的驰名商标作为企业名称中的字号使用，误导公众，构成不正当竞争的，由市场监督管理部门责令停止违法行为，没收违法商品，违法经营额五万元以上的，并处违法经营额二倍以上五倍以下的罚款；没有违法经营额或者违法经营额不足五万元的，并处五万元以上二十五万元以下的罚款；情节严重的，吊销营业执照。</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endChars="0" w:end="0"/>
        <w:textAlignment w:val="auto"/>
        <w:rPr>
          <w:szCs w:val="32"/>
        </w:rPr>
      </w:pPr>
      <w:r>
        <w:rPr>
          <w:rFonts w:ascii="黑体" w:hAnsi="黑体" w:cs="黑体" w:hint="eastAsia" w:eastAsia="黑体"/>
          <w:szCs w:val="32"/>
        </w:rPr>
        <w:t>第五十一条</w:t>
      </w:r>
      <w:r>
        <w:rPr/>
        <w:t xml:space="preserve">  </w:t>
      </w:r>
      <w:r>
        <w:rPr>
          <w:rFonts w:hint="eastAsia"/>
          <w:szCs w:val="32"/>
        </w:rPr>
        <w:t>自然人、法人和非法人组织因知识产权违法行为受到行政处罚后，五年内重复实施同类违法行为的，知识产权管理部门应当对其依法从重处罚。</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endChars="0" w:end="0"/>
        <w:textAlignment w:val="auto"/>
        <w:rPr>
          <w:szCs w:val="32"/>
        </w:rPr>
      </w:pPr>
      <w:r>
        <w:rPr>
          <w:rFonts w:ascii="黑体" w:hAnsi="黑体" w:cs="黑体" w:hint="eastAsia" w:eastAsia="黑体"/>
          <w:szCs w:val="32"/>
        </w:rPr>
        <w:t>第五十二条</w:t>
      </w:r>
      <w:r>
        <w:rPr>
          <w:rFonts w:eastAsia="黑体"/>
        </w:rPr>
        <w:t xml:space="preserve"> </w:t>
      </w:r>
      <w:r>
        <w:rPr>
          <w:rFonts w:hint="eastAsia" w:eastAsia="黑体"/>
        </w:rPr>
        <w:t xml:space="preserve"> </w:t>
      </w:r>
      <w:r>
        <w:rPr>
          <w:rFonts w:hint="eastAsia"/>
          <w:szCs w:val="32"/>
        </w:rPr>
        <w:t>拒绝、阻挠知识产权主管部门和知识产权管理部门依法行使职权的，由知识产权主管部门和知识产权管理部门予以警告；构成违反治安管理行为的，由公安机关依法予以治安处罚；构成犯罪的，依法追究刑事责任。</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endChars="0" w:end="0"/>
        <w:textAlignment w:val="auto"/>
        <w:rPr>
          <w:rFonts w:hint="eastAsia"/>
          <w:szCs w:val="32"/>
        </w:rPr>
      </w:pPr>
      <w:r>
        <w:rPr>
          <w:rFonts w:ascii="黑体" w:hAnsi="黑体" w:cs="黑体" w:hint="eastAsia" w:eastAsia="黑体"/>
          <w:szCs w:val="32"/>
        </w:rPr>
        <w:t xml:space="preserve">第五十三条  </w:t>
      </w:r>
      <w:r>
        <w:rPr>
          <w:rFonts w:hint="eastAsia"/>
          <w:szCs w:val="32"/>
        </w:rPr>
        <w:t>自然人、法人和非法人组织受到知识产权行政处罚，或者拒不执行人民法院已经生效的知识产权判决、裁定和决定，知识</w:t>
      </w:r>
      <w:r>
        <w:rPr>
          <w:szCs w:val="32"/>
        </w:rPr>
        <w:t>产权主管部门和</w:t>
      </w:r>
      <w:r>
        <w:rPr>
          <w:rFonts w:hint="eastAsia"/>
          <w:szCs w:val="32"/>
        </w:rPr>
        <w:t>知识产权管理部门、人民法院应当按照国家和本市的有关规定将有关信息纳入统一的信用信息系统。</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endChars="0" w:end="0"/>
        <w:textAlignment w:val="auto"/>
        <w:rPr>
          <w:rFonts w:hint="eastAsia"/>
          <w:szCs w:val="32"/>
        </w:rPr>
      </w:pPr>
      <w:r>
        <w:rPr>
          <w:rFonts w:ascii="黑体" w:hAnsi="黑体" w:cs="黑体" w:hint="eastAsia" w:eastAsia="黑体"/>
          <w:szCs w:val="32"/>
        </w:rPr>
        <w:t xml:space="preserve">第五十四条  </w:t>
      </w:r>
      <w:r>
        <w:rPr>
          <w:rFonts w:hint="eastAsia"/>
          <w:szCs w:val="32"/>
        </w:rPr>
        <w:t>自然人、法人和非法人组织有知识产权严重失信行为的，有关部门和单位自其发生严重失信行为之日起三年内，按照国家和本市有关规定采取下列联合惩戒措施：</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endChars="0" w:end="0"/>
        <w:textAlignment w:val="auto"/>
        <w:rPr>
          <w:rFonts w:hint="eastAsia"/>
          <w:szCs w:val="32"/>
        </w:rPr>
      </w:pPr>
      <w:r>
        <w:rPr>
          <w:rFonts w:hint="eastAsia"/>
          <w:szCs w:val="32"/>
        </w:rPr>
        <w:t>（一）禁止或者限制其承接政府投资项目、参加政府采购和招标投标；</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endChars="0" w:end="0"/>
        <w:textAlignment w:val="auto"/>
        <w:rPr>
          <w:rFonts w:hint="eastAsia"/>
          <w:szCs w:val="32"/>
        </w:rPr>
      </w:pPr>
      <w:r>
        <w:rPr>
          <w:rFonts w:hint="eastAsia"/>
          <w:szCs w:val="32"/>
        </w:rPr>
        <w:t>（二）禁止或者限制其享受有关费用减免、政府资金扶持等优惠政策；</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endChars="0" w:end="0"/>
        <w:textAlignment w:val="auto"/>
        <w:rPr>
          <w:rFonts w:hint="eastAsia"/>
          <w:szCs w:val="32"/>
        </w:rPr>
      </w:pPr>
      <w:r>
        <w:rPr>
          <w:rFonts w:hint="eastAsia"/>
          <w:szCs w:val="32"/>
        </w:rPr>
        <w:t>（三）取消其进入知识产权快速授权、快速维权通道资格；</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endChars="0" w:end="0"/>
        <w:textAlignment w:val="auto"/>
        <w:rPr>
          <w:rFonts w:hint="eastAsia"/>
          <w:szCs w:val="32"/>
        </w:rPr>
      </w:pPr>
      <w:r>
        <w:rPr>
          <w:rFonts w:hint="eastAsia"/>
          <w:szCs w:val="32"/>
        </w:rPr>
        <w:t>（四）取消其参加政府知识产权表彰、奖励的评比资格；</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endChars="0" w:end="0"/>
        <w:textAlignment w:val="auto"/>
        <w:rPr>
          <w:rFonts w:hint="eastAsia"/>
          <w:szCs w:val="32"/>
        </w:rPr>
      </w:pPr>
      <w:r>
        <w:rPr>
          <w:rFonts w:hint="eastAsia"/>
          <w:szCs w:val="32"/>
        </w:rPr>
        <w:t>（五）国家和本市规定的其他惩戒措施。</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endChars="0" w:end="0"/>
        <w:textAlignment w:val="auto"/>
        <w:rPr>
          <w:rFonts w:hint="eastAsia"/>
          <w:szCs w:val="32"/>
        </w:rPr>
      </w:pPr>
      <w:r>
        <w:rPr>
          <w:rFonts w:ascii="黑体" w:hAnsi="黑体" w:cs="黑体" w:hint="eastAsia" w:eastAsia="黑体"/>
          <w:szCs w:val="32"/>
        </w:rPr>
        <w:t xml:space="preserve">第五十五条  </w:t>
      </w:r>
      <w:r>
        <w:rPr>
          <w:rFonts w:hint="eastAsia"/>
          <w:szCs w:val="32"/>
        </w:rPr>
        <w:t>实施知识产权违法行为，依法承担相应民事责任；构成犯罪的，依法追究刑事责任。</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endChars="0" w:end="0"/>
        <w:textAlignment w:val="auto"/>
        <w:rPr>
          <w:szCs w:val="32"/>
        </w:rPr>
      </w:pPr>
      <w:r>
        <w:rPr>
          <w:rFonts w:hint="eastAsia"/>
          <w:szCs w:val="32"/>
        </w:rPr>
        <w:t>实施知识产权违法行为，本条例未作处罚规定的，依照有关法律、法规执行。</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endChars="0" w:end="0"/>
        <w:textAlignment w:val="auto"/>
        <w:rPr>
          <w:rFonts w:hint="eastAsia"/>
          <w:szCs w:val="32"/>
        </w:rPr>
      </w:pPr>
      <w:r>
        <w:rPr>
          <w:rFonts w:ascii="黑体" w:hAnsi="黑体" w:cs="黑体" w:hint="eastAsia" w:eastAsia="黑体"/>
          <w:szCs w:val="32"/>
        </w:rPr>
        <w:t>第五十六条</w:t>
      </w:r>
      <w:r>
        <w:rPr>
          <w:rFonts w:eastAsia="黑体"/>
        </w:rPr>
        <w:t xml:space="preserve">  </w:t>
      </w:r>
      <w:r>
        <w:rPr>
          <w:rFonts w:hint="eastAsia"/>
          <w:szCs w:val="32"/>
        </w:rPr>
        <w:t>技术调查员有下列行为之一的，由聘用的知识</w:t>
      </w:r>
      <w:r>
        <w:rPr>
          <w:szCs w:val="32"/>
        </w:rPr>
        <w:t>产权主管部门和</w:t>
      </w:r>
      <w:r>
        <w:rPr>
          <w:rFonts w:hint="eastAsia"/>
          <w:szCs w:val="32"/>
        </w:rPr>
        <w:t>知识产权管理部门予以解聘，</w:t>
      </w:r>
      <w:r>
        <w:rPr>
          <w:rFonts w:ascii="仿宋_GB2312" w:hAnsi="仿宋_GB2312" w:hint="eastAsia"/>
          <w:szCs w:val="32"/>
        </w:rPr>
        <w:t>并</w:t>
      </w:r>
      <w:r>
        <w:rPr>
          <w:rFonts w:ascii="仿宋_GB2312" w:hAnsi="仿宋_GB2312" w:cs="黑体" w:hint="eastAsia"/>
          <w:szCs w:val="32"/>
        </w:rPr>
        <w:t>从</w:t>
      </w:r>
      <w:r>
        <w:rPr>
          <w:rFonts w:hint="eastAsia"/>
          <w:szCs w:val="32"/>
        </w:rPr>
        <w:t>专家库中除名；给当事人造成损失的，依法承担民事责任；构成犯罪的，依法追究刑事责任：</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endChars="0" w:end="0"/>
        <w:textAlignment w:val="auto"/>
        <w:rPr>
          <w:rFonts w:hint="eastAsia"/>
          <w:szCs w:val="32"/>
        </w:rPr>
      </w:pPr>
      <w:r>
        <w:rPr>
          <w:rFonts w:hint="eastAsia"/>
          <w:szCs w:val="32"/>
        </w:rPr>
        <w:t>（一）泄露在知识产权案件调查过程中知悉的应予以保密的涉案信息的；</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endChars="0" w:end="0"/>
        <w:textAlignment w:val="auto"/>
        <w:rPr>
          <w:rFonts w:hint="eastAsia"/>
          <w:szCs w:val="32"/>
        </w:rPr>
      </w:pPr>
      <w:r>
        <w:rPr>
          <w:rFonts w:hint="eastAsia"/>
          <w:szCs w:val="32"/>
        </w:rPr>
        <w:t>（二）与当事人串通，影响调查取证或者提供不实技术审查意见的；</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endChars="0" w:end="0"/>
        <w:textAlignment w:val="auto"/>
        <w:rPr>
          <w:rFonts w:hint="eastAsia"/>
          <w:szCs w:val="32"/>
        </w:rPr>
      </w:pPr>
      <w:r>
        <w:rPr>
          <w:rFonts w:hint="eastAsia"/>
          <w:szCs w:val="32"/>
        </w:rPr>
        <w:t>（三）其他妨碍案件公正处理的行为。</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endChars="0" w:end="0"/>
        <w:textAlignment w:val="auto"/>
        <w:rPr>
          <w:szCs w:val="32"/>
        </w:rPr>
      </w:pPr>
      <w:r>
        <w:rPr>
          <w:rFonts w:ascii="黑体" w:hAnsi="黑体" w:cs="黑体" w:hint="eastAsia" w:eastAsia="黑体"/>
          <w:szCs w:val="32"/>
        </w:rPr>
        <w:t xml:space="preserve">第五十七条 </w:t>
      </w:r>
      <w:r>
        <w:rPr>
          <w:rFonts w:hint="eastAsia"/>
        </w:rPr>
        <w:t xml:space="preserve"> </w:t>
      </w:r>
      <w:r>
        <w:rPr>
          <w:rFonts w:hint="eastAsia"/>
          <w:szCs w:val="32"/>
        </w:rPr>
        <w:t>知识</w:t>
      </w:r>
      <w:r>
        <w:rPr>
          <w:szCs w:val="32"/>
        </w:rPr>
        <w:t>产权主管部门和</w:t>
      </w:r>
      <w:r>
        <w:rPr>
          <w:rFonts w:hint="eastAsia"/>
          <w:szCs w:val="32"/>
        </w:rPr>
        <w:t>知识产权管理部门及其工作人员怠于履行职责或者滥用职权、玩忽职守、徇私舞弊的，对直接负责的主管人员和其他直接责任人员依法给予处分；构成犯罪的，依法追究刑事责任。</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0" w:firstLine="0" w:endChars="0" w:end="0"/>
        <w:textAlignment w:val="auto"/>
        <w:rPr>
          <w:rFonts w:hint="eastAsia"/>
          <w:szCs w:val="32"/>
        </w:rPr>
      </w:pPr>
      <w:r>
        <w:rPr>
          <w:rFonts w:hint="eastAsia"/>
          <w:szCs w:val="32"/>
        </w:rPr>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0" w:firstLine="0" w:endChars="0" w:end="0"/>
        <w:jc w:val="center"/>
        <w:textAlignment w:val="auto"/>
        <w:rPr>
          <w:rFonts w:ascii="黑体" w:hAnsi="黑体" w:eastAsia="黑体" w:cs="黑体" w:hint="eastAsia"/>
          <w:szCs w:val="32"/>
        </w:rPr>
      </w:pPr>
      <w:r>
        <w:rPr>
          <w:rFonts w:ascii="黑体" w:hAnsi="黑体" w:cs="黑体" w:hint="eastAsia" w:eastAsia="黑体"/>
          <w:szCs w:val="32"/>
        </w:rPr>
        <w:t xml:space="preserve">第六章　附 </w:t>
      </w:r>
      <w:r>
        <w:rPr>
          <w:rFonts w:ascii="黑体" w:hAnsi="黑体" w:cs="黑体" w:eastAsia="黑体"/>
          <w:szCs w:val="32"/>
        </w:rPr>
        <w:t xml:space="preserve"> </w:t>
      </w:r>
      <w:r>
        <w:rPr>
          <w:rFonts w:ascii="黑体" w:hAnsi="黑体" w:cs="黑体" w:hint="eastAsia" w:eastAsia="黑体"/>
          <w:szCs w:val="32"/>
        </w:rPr>
        <w:t>则</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endChars="0" w:end="0"/>
        <w:textAlignment w:val="auto"/>
        <w:rPr>
          <w:rFonts w:hint="eastAsia"/>
          <w:szCs w:val="32"/>
        </w:rPr>
      </w:pPr>
      <w:r>
        <w:rPr>
          <w:rFonts w:ascii="黑体" w:hAnsi="黑体" w:cs="黑体" w:hint="eastAsia" w:eastAsia="黑体"/>
          <w:szCs w:val="32"/>
        </w:rPr>
        <w:t>第五十八条</w:t>
      </w:r>
      <w:r>
        <w:rPr>
          <w:rFonts w:hint="eastAsia" w:eastAsia="黑体"/>
        </w:rPr>
        <w:t xml:space="preserve">  </w:t>
      </w:r>
      <w:r>
        <w:rPr>
          <w:rFonts w:hint="eastAsia"/>
          <w:szCs w:val="32"/>
        </w:rPr>
        <w:t>本条例</w:t>
      </w:r>
      <w:r>
        <w:rPr>
          <w:rFonts w:ascii="仿宋_GB2312" w:hAnsi="仿宋_GB2312" w:hint="eastAsia"/>
          <w:szCs w:val="32"/>
        </w:rPr>
        <w:t>自</w:t>
      </w:r>
      <w:r>
        <w:rPr>
          <w:rFonts w:hint="eastAsia" w:ascii="仿宋_GB2312" w:hAnsi="仿宋_GB2312"/>
          <w:szCs w:val="32"/>
        </w:rPr>
        <w:t>2019</w:t>
      </w:r>
      <w:r>
        <w:rPr>
          <w:rFonts w:ascii="仿宋_GB2312" w:hAnsi="仿宋_GB2312" w:hint="eastAsia"/>
          <w:szCs w:val="32"/>
        </w:rPr>
        <w:t>年</w:t>
      </w:r>
      <w:r>
        <w:rPr>
          <w:rFonts w:hint="eastAsia" w:ascii="仿宋_GB2312" w:hAnsi="仿宋_GB2312"/>
          <w:szCs w:val="32"/>
        </w:rPr>
        <w:t>11</w:t>
      </w:r>
      <w:r>
        <w:rPr>
          <w:rFonts w:ascii="仿宋_GB2312" w:hAnsi="仿宋_GB2312" w:hint="eastAsia"/>
          <w:szCs w:val="32"/>
        </w:rPr>
        <w:t>月</w:t>
      </w:r>
      <w:r>
        <w:rPr>
          <w:rFonts w:hint="eastAsia" w:ascii="仿宋_GB2312" w:hAnsi="仿宋_GB2312"/>
          <w:szCs w:val="32"/>
        </w:rPr>
        <w:t>1</w:t>
      </w:r>
      <w:r>
        <w:rPr>
          <w:rFonts w:ascii="仿宋_GB2312" w:hAnsi="仿宋_GB2312" w:hint="eastAsia"/>
          <w:szCs w:val="32"/>
        </w:rPr>
        <w:t>日起施</w:t>
      </w:r>
      <w:r>
        <w:rPr>
          <w:rFonts w:hint="eastAsia"/>
          <w:szCs w:val="32"/>
        </w:rPr>
        <w:t>行。本条例施行前本市有关地方性法规、政府规章与本条例规定不一致的，按照本条例执行。</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200" w:endChars="0" w:end="0"/>
        <w:textAlignment w:val="auto"/>
        <w:rPr>
          <w:rFonts w:hint="eastAsia"/>
          <w:szCs w:val="32"/>
          <w:bdr w:val="single" w:sz="4" w:space="0" w:color="000000"/>
        </w:rPr>
      </w:pPr>
      <w:r>
        <w:rPr>
          <w:rFonts w:hint="eastAsia"/>
          <w:szCs w:val="32"/>
          <w:bdr w:val="single" w:sz="4" w:space="0" w:color="000000"/>
        </w:rPr>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ind w:firstLineChars="0" w:firstLine="0" w:endChars="0" w:end="0"/>
        <w:jc w:val="center"/>
        <w:textAlignment w:val="auto"/>
        <w:rPr>
          <w:rFonts w:hint="eastAsia"/>
          <w:szCs w:val="32"/>
          <w:bdr w:val="single" w:sz="4" w:space="0" w:color="000000"/>
        </w:rPr>
      </w:pPr>
      <w:r>
        <w:rPr>
          <w:rFonts w:hint="eastAsia"/>
          <w:szCs w:val="32"/>
          <w:bdr w:val="single" w:sz="4" w:space="0" w:color="000000"/>
        </w:rPr>
      </w:r>
    </w:p>
    <w:sectPr>
      <w:headerReference w:type="default" r:id="rId2"/>
      <w:footerReference w:type="default" r:id="rId3"/>
      <w:type w:val="nextPage"/>
      <w:pgSz w:w="11906" w:h="16838"/>
      <w:pgMar w:left="1531" w:right="1531" w:gutter="0" w:header="851" w:top="2098" w:footer="1134" w:bottom="1985"/>
      <w:pgNumType w:fmt="decimal"/>
      <w:formProt w:val="false"/>
      <w:textDirection w:val="lrTb"/>
      <w:docGrid w:type="lines" w:linePitch="579" w:charSpace="2150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Arial">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仿宋_GB2312">
    <w:charset w:val="86"/>
    <w:family w:val="modern"/>
    <w:pitch w:val="default"/>
  </w:font>
  <w:font w:name="Tahoma">
    <w:charset w:val="00" w:characterSet="windows-1252"/>
    <w:family w:val="swiss"/>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rFonts w:ascii="Calibri" w:hAnsi="Calibri" w:cs="Calibri"/>
      <w:b/>
      <w:bCs/>
      <w:kern w:val="2"/>
      <w:sz w:val="44"/>
      <w:szCs w:val="44"/>
    </w:rPr>
  </w:style>
  <w:style w:type="paragraph" w:styleId="Heading2">
    <w:name w:val="heading 2"/>
    <w:basedOn w:val="Normal"/>
    <w:next w:val="Normal"/>
    <w:qFormat/>
    <w:pPr>
      <w:keepNext w:val="true"/>
      <w:keepLines/>
      <w:numPr>
        <w:ilvl w:val="1"/>
        <w:numId w:val="1"/>
      </w:numPr>
      <w:spacing w:lineRule="auto" w:line="415" w:before="260" w:after="260"/>
      <w:outlineLvl w:val="1"/>
    </w:pPr>
    <w:rPr>
      <w:rFonts w:ascii="Arial" w:hAnsi="Arial" w:eastAsia="黑体" w:cs="Arial"/>
      <w:b/>
      <w:bCs/>
      <w:sz w:val="32"/>
      <w:szCs w:val="32"/>
    </w:rPr>
  </w:style>
  <w:style w:type="character" w:styleId="Style12">
    <w:name w:val="默认段落字体"/>
    <w:qFormat/>
    <w:rPr/>
  </w:style>
  <w:style w:type="character" w:styleId="Strong">
    <w:name w:val="Strong"/>
    <w:qFormat/>
    <w:rPr>
      <w:b/>
      <w:bCs/>
    </w:rPr>
  </w:style>
  <w:style w:type="character" w:styleId="Hyperlink">
    <w:name w:val="Hyperlink"/>
    <w:rPr>
      <w:color w:val="0000FF"/>
      <w:u w:val="single"/>
    </w:rPr>
  </w:style>
  <w:style w:type="character" w:styleId="PageNumber">
    <w:name w:val="page number"/>
    <w:basedOn w:val="Style12"/>
    <w:rPr/>
  </w:style>
  <w:style w:type="character" w:styleId="1">
    <w:name w:val="页码1"/>
    <w:qFormat/>
    <w:rPr>
      <w:rFonts w:cs="Times New Roman"/>
    </w:rPr>
  </w:style>
  <w:style w:type="character" w:styleId="Char">
    <w:name w:val="正文文本缩进 Char"/>
    <w:qFormat/>
    <w:rPr>
      <w:rFonts w:eastAsia="仿宋_GB2312"/>
      <w:kern w:val="2"/>
      <w:sz w:val="32"/>
    </w:rPr>
  </w:style>
  <w:style w:type="character" w:styleId="2">
    <w:name w:val="标题 2 字符"/>
    <w:qFormat/>
    <w:rPr>
      <w:rFonts w:ascii="Arial" w:hAnsi="Arial" w:eastAsia="黑体" w:cs="Arial"/>
      <w:b/>
      <w:bCs/>
      <w:kern w:val="2"/>
      <w:sz w:val="32"/>
      <w:szCs w:val="32"/>
      <w:lang w:bidi="ar-SA"/>
    </w:rPr>
  </w:style>
  <w:style w:type="character" w:styleId="Style13">
    <w:name w:val="纯文本 字符"/>
    <w:qFormat/>
    <w:rPr>
      <w:rFonts w:ascii="宋体" w:hAnsi="宋体" w:eastAsia="宋体" w:cs="Courier New"/>
      <w:kern w:val="2"/>
      <w:sz w:val="21"/>
      <w:szCs w:val="21"/>
      <w:lang w:bidi="ar-SA"/>
    </w:rPr>
  </w:style>
  <w:style w:type="character" w:styleId="11">
    <w:name w:val="标题 1 字符"/>
    <w:qFormat/>
    <w:rPr>
      <w:rFonts w:ascii="Calibri" w:hAnsi="Calibri" w:eastAsia="宋体" w:cs="Times New Roman"/>
      <w:b/>
      <w:bCs/>
      <w:kern w:val="2"/>
      <w:sz w:val="44"/>
      <w:szCs w:val="44"/>
    </w:rPr>
  </w:style>
  <w:style w:type="character" w:styleId="Style14">
    <w:name w:val="页脚 字符"/>
    <w:qFormat/>
    <w:rPr>
      <w:rFonts w:eastAsia="宋体"/>
      <w:kern w:val="2"/>
      <w:sz w:val="18"/>
      <w:szCs w:val="18"/>
      <w:lang w:bidi="ar-SA"/>
    </w:rPr>
  </w:style>
  <w:style w:type="character" w:styleId="Style15">
    <w:name w:val="页眉 字符"/>
    <w:qFormat/>
    <w:rPr>
      <w:rFonts w:eastAsia="宋体"/>
      <w:kern w:val="2"/>
      <w:sz w:val="18"/>
      <w:szCs w:val="18"/>
      <w:lang w:bidi="ar-SA"/>
    </w:rPr>
  </w:style>
  <w:style w:type="character" w:styleId="Style16">
    <w:name w:val="正文文本 字符"/>
    <w:qFormat/>
    <w:rPr>
      <w:rFonts w:eastAsia="文星仿宋;仿宋"/>
      <w:kern w:val="2"/>
      <w:sz w:val="32"/>
      <w:szCs w:val="24"/>
    </w:rPr>
  </w:style>
  <w:style w:type="character" w:styleId="Style17">
    <w:name w:val="正文文本缩进 字符"/>
    <w:qFormat/>
    <w:rPr>
      <w:rFonts w:eastAsia="仿宋_GB2312"/>
      <w:kern w:val="2"/>
      <w:sz w:val="32"/>
    </w:rPr>
  </w:style>
  <w:style w:type="character" w:styleId="Char1">
    <w:name w:val="正文文本 Char"/>
    <w:qFormat/>
    <w:rPr>
      <w:rFonts w:eastAsia="文星仿宋;仿宋"/>
      <w:kern w:val="2"/>
      <w:sz w:val="32"/>
      <w:szCs w:val="24"/>
    </w:rPr>
  </w:style>
  <w:style w:type="character" w:styleId="apple-style-span">
    <w:name w:val="apple-style-span"/>
    <w:basedOn w:val="Style12"/>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仿宋"/>
      <w:sz w:val="3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8">
    <w:name w:val="批注框文本"/>
    <w:basedOn w:val="Normal"/>
    <w:qFormat/>
    <w:pPr/>
    <w:rPr>
      <w:sz w:val="18"/>
      <w:szCs w:val="18"/>
    </w:rPr>
  </w:style>
  <w:style w:type="paragraph" w:styleId="21">
    <w:name w:val="正文文本缩进 2"/>
    <w:basedOn w:val="Normal"/>
    <w:qFormat/>
    <w:pPr>
      <w:spacing w:lineRule="auto" w:line="480" w:before="0" w:after="120"/>
      <w:ind w:firstLineChars="0" w:firstLine="0" w:startChars="200" w:endChars="0" w:end="0"/>
    </w:pPr>
    <w:rPr/>
  </w:style>
  <w:style w:type="paragraph" w:styleId="Style19">
    <w:name w:val="纯文本"/>
    <w:basedOn w:val="Normal"/>
    <w:qFormat/>
    <w:pPr/>
    <w:rPr>
      <w:rFonts w:ascii="宋体" w:hAnsi="宋体" w:cs="Courier New"/>
      <w:szCs w:val="21"/>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cs="宋体"/>
      <w:color w:val="000000"/>
      <w:kern w:val="0"/>
      <w:sz w:val="24"/>
    </w:rPr>
  </w:style>
  <w:style w:type="paragraph" w:styleId="BodyTextIndent">
    <w:name w:val="Body Text Indent"/>
    <w:basedOn w:val="Normal"/>
    <w:pPr>
      <w:ind w:firstLineChars="225" w:startChars="0" w:start="0" w:endChars="0" w:end="0"/>
    </w:pPr>
    <w:rPr>
      <w:rFonts w:eastAsia="仿宋_GB2312"/>
      <w:sz w:val="32"/>
      <w:szCs w:val="20"/>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Style20">
    <w:name w:val="普通(网站)"/>
    <w:basedOn w:val="Normal"/>
    <w:qFormat/>
    <w:pPr>
      <w:widowControl/>
      <w:spacing w:before="280" w:after="280"/>
      <w:jc w:val="start"/>
    </w:pPr>
    <w:rPr>
      <w:rFonts w:ascii="宋体" w:hAnsi="宋体" w:cs="宋体"/>
      <w:kern w:val="0"/>
      <w:sz w:val="24"/>
    </w:rPr>
  </w:style>
  <w:style w:type="paragraph" w:styleId="Style110">
    <w:name w:val="_Style 1"/>
    <w:basedOn w:val="Normal"/>
    <w:qFormat/>
    <w:pPr/>
    <w:rPr/>
  </w:style>
  <w:style w:type="paragraph" w:styleId="Style101">
    <w:name w:val="_Style 10"/>
    <w:basedOn w:val="Normal"/>
    <w:qFormat/>
    <w:pPr>
      <w:spacing w:lineRule="auto" w:line="360"/>
      <w:ind w:firstLineChars="200" w:startChars="0" w:start="0" w:endChars="0" w:end="0"/>
    </w:pPr>
    <w:rPr>
      <w:rFonts w:ascii="Calibri" w:hAnsi="Calibri" w:cs="Calibri"/>
      <w:szCs w:val="22"/>
    </w:rPr>
  </w:style>
  <w:style w:type="paragraph" w:styleId="Style21">
    <w:name w:val="文件字号"/>
    <w:basedOn w:val="Normal"/>
    <w:qFormat/>
    <w:pPr/>
    <w:rPr>
      <w:rFonts w:ascii="仿宋_GB2312" w:hAnsi="仿宋_GB2312" w:eastAsia="仿宋_GB2312"/>
      <w:sz w:val="32"/>
    </w:rPr>
  </w:style>
  <w:style w:type="paragraph" w:styleId="NormalWeb">
    <w:name w:val="Normal (Web)"/>
    <w:basedOn w:val="Normal"/>
    <w:qFormat/>
    <w:pPr>
      <w:widowControl/>
      <w:spacing w:lineRule="atLeast" w:line="360" w:before="280" w:after="280"/>
      <w:jc w:val="start"/>
      <w:textAlignment w:val="baseline"/>
    </w:pPr>
    <w:rPr>
      <w:rFonts w:ascii="宋体" w:hAnsi="宋体" w:cs="宋体"/>
      <w:kern w:val="0"/>
      <w:sz w:val="24"/>
    </w:rPr>
  </w:style>
  <w:style w:type="paragraph" w:styleId="Style22">
    <w:name w:val="列表段落"/>
    <w:basedOn w:val="Normal"/>
    <w:qFormat/>
    <w:pPr>
      <w:ind w:firstLineChars="200" w:startChars="0" w:start="0" w:endChars="0" w:end="0"/>
    </w:pPr>
    <w:rPr>
      <w:rFonts w:ascii="Calibri" w:hAnsi="Calibri" w:cs="Calibri"/>
      <w:szCs w:val="22"/>
    </w:rPr>
  </w:style>
  <w:style w:type="paragraph" w:styleId="CharCharCharCharCharCharCharCharChar1CharCharCharCharCharCharChar">
    <w:name w:val="Char Char Char Char Char Char Char Char Char1 Char Char Char Char Char Char Char"/>
    <w:basedOn w:val="Normal"/>
    <w:qFormat/>
    <w:pPr>
      <w:spacing w:lineRule="auto" w:line="360"/>
      <w:ind w:firstLineChars="200" w:startChars="0" w:start="0" w:endChars="0" w:end="0"/>
    </w:pPr>
    <w:rPr>
      <w:rFonts w:ascii="宋体" w:hAnsi="宋体" w:eastAsia="仿宋_GB2312" w:cs="宋体"/>
      <w:sz w:val="24"/>
      <w:szCs w:val="32"/>
    </w:rPr>
  </w:style>
  <w:style w:type="paragraph" w:styleId="Style41">
    <w:name w:val="_Style 4"/>
    <w:basedOn w:val="Normal"/>
    <w:qFormat/>
    <w:pPr/>
    <w:rPr>
      <w:rFonts w:eastAsia="仿宋_GB2312"/>
      <w:sz w:val="32"/>
    </w:rPr>
  </w:style>
  <w:style w:type="paragraph" w:styleId="Char2">
    <w:name w:val="Char"/>
    <w:basedOn w:val="Normal"/>
    <w:qFormat/>
    <w:pPr/>
    <w:rPr>
      <w:rFonts w:ascii="Tahoma" w:hAnsi="Tahoma" w:eastAsia="楷体_GB2312" w:cs="Tahoma"/>
      <w:sz w:val="24"/>
      <w:szCs w:val="20"/>
    </w:rPr>
  </w:style>
  <w:style w:type="paragraph" w:styleId="12">
    <w:name w:val="普通(网站)1"/>
    <w:basedOn w:val="Normal"/>
    <w:qFormat/>
    <w:pPr>
      <w:widowControl/>
      <w:spacing w:before="280" w:after="280"/>
      <w:jc w:val="start"/>
    </w:pPr>
    <w:rPr>
      <w:rFonts w:ascii="宋体" w:hAnsi="宋体" w:cs="宋体"/>
      <w:color w:val="000000"/>
      <w:kern w:val="0"/>
      <w:sz w:val="24"/>
    </w:rPr>
  </w:style>
  <w:style w:type="paragraph" w:styleId="Char3">
    <w:name w:val=" Char"/>
    <w:basedOn w:val="Normal"/>
    <w:qFormat/>
    <w:pPr/>
    <w:rPr>
      <w:rFonts w:ascii="Tahoma" w:hAnsi="Tahoma" w:eastAsia="楷体_GB2312" w:cs="Tahoma"/>
      <w:sz w:val="24"/>
      <w:szCs w:val="20"/>
    </w:rPr>
  </w:style>
  <w:style w:type="paragraph" w:styleId="13">
    <w:name w:val="列出段落1"/>
    <w:basedOn w:val="Normal"/>
    <w:qFormat/>
    <w:pPr>
      <w:ind w:firstLineChars="200" w:startChars="0" w:start="0" w:endChars="0" w:end="0"/>
    </w:pPr>
    <w:rPr>
      <w:rFonts w:ascii="Calibri" w:hAnsi="Calibri" w:cs="Calibri"/>
      <w:szCs w:val="2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津政发标准模版</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2019-09-26T17:29:00Z</dcterms:created>
  <dc:creator>kobe</dc:creator>
  <dc:description/>
  <dc:language>en-US</dc:language>
  <cp:lastModifiedBy>tjrd</cp:lastModifiedBy>
  <cp:lastPrinted>2019-09-25T08:26:00Z</cp:lastPrinted>
  <dcterms:modified xsi:type="dcterms:W3CDTF">2019-09-30T16:05:18Z</dcterms:modified>
  <cp:revision>14</cp:revision>
  <dc:subject/>
  <dc:title>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2052-11.1.0.8412</vt:lpwstr>
  </property>
</Properties>
</file>