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7"/>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7"/>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天津市公路管理条例</w:t>
      </w:r>
    </w:p>
    <w:p>
      <w:pPr>
        <w:pStyle w:val="Style17"/>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7"/>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28</w:t>
      </w:r>
      <w:r>
        <w:rPr>
          <w:rFonts w:ascii="楷体_GB2312" w:hAnsi="楷体_GB2312" w:cs="宋体" w:hint="eastAsia" w:eastAsia="楷体_GB2312"/>
          <w:szCs w:val="32"/>
        </w:rPr>
        <w:t>日天津市第十二届人民代表大会常务委员会第三十次会议通过　根据</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7</w:t>
      </w:r>
      <w:r>
        <w:rPr>
          <w:rFonts w:ascii="楷体_GB2312" w:hAnsi="楷体_GB2312" w:cs="宋体" w:hint="eastAsia" w:eastAsia="楷体_GB2312"/>
          <w:szCs w:val="32"/>
        </w:rPr>
        <w:t>日天津市第十四届人民代表大会常务委员会第二十二次会议《关于修改〈天津市公路管理条例〉的决定》第一次修正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公路规划建设管理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公路养护管理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公路路政管理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公路规费管理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收费公路管理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为促进公路事业发展，保障公路完好畅通，发挥公路在国民经济、人民生活和国防中的作用，根据国家有关法律、法规的规定，结合本市实际情况，制定本条例。</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本条例适用于本市行政区域内的国家干线公路、市级公路、区县级公路、公路用地和公路设施的管理。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本条例对专用公路有规定的，按照本条例规定执行。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本条例所称公路系指按照公路规划建设经公路管理部门验收认定，主要供机动车行驶的公共道路，包括公路的路基、路面、桥梁、涵洞、隧道。</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用地系指公路两侧边沟（坡顶截水沟）和边沟（坡顶截水沟）以外不少于一米的用地，公路两侧无边沟（坡顶截水沟）的，为公路缘石外不少于五米的用地，有征地界线的，从其界线；已征收的公路建设用地；为修建、养护公路建于公路沿线的有关设施用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公路设施系指公路排水设备、防护构造物、交叉道口、界碑、测桩、安全设施、通讯设施、检测监控设施、收费设施、养护管理设施、服务设施、林木花草、专用房屋等。</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专用公路系指专供或者主要供厂矿、油田、农场、林区、旅游区、军事要地等内部联络的公路。</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从事公路规划建设、养护维修、路政管理、规费征稽管理以及使用公路的单位和个人，必须遵守本条例。</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公路的建设和养护，遵循全面规划、建养并重、确保质量、强化管理、保障畅通的原则。</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公路管理工作实行统一领导、分级管理的原则。</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市公路管理部门主管本市公路管理工作。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市公路管理部门和区、县公路管理部门（以下统称公路管理部门）按照分工分别负责公路管理工作。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公路受法律保护，任何单位和个人不得侵占和破坏。任何单位和个人都有依法使用公路的权利，有爱护公路和依照国家规定缴纳公路规费的义务。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本市各级人民政府应当支持发展公路事业，把公路事业纳入国民经济和社会发展计划，并负责组织实施。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公路的建设、养护资金，除国家投资外，可以采取以下方式筹集：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（一）本市各级人民政府投资；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（二）按照国家规定开征公路规费；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（三）经国家批准征收公路建设基金；</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（四）国内外金融组织或者外国政府贷款、赠款；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（五）经国家批准发行公路建设债券；</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（六）国内外企业或者其他组织、个人投资、捐款；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（七）国家允许的其他筹集资金方式。</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公路管理部门应当加强科学技术研究工作，积极开发和引进先进技术和设备，提高公路管理的科学技术水平。</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w:t>
      </w:r>
      <w:r>
        <w:rPr>
          <w:rFonts w:ascii="仿宋_GB2312" w:hAnsi="仿宋_GB2312" w:cs="宋体" w:hint="eastAsia"/>
          <w:szCs w:val="32"/>
        </w:rPr>
        <w:t>条　禁止在公路上乱设站、乱收费、乱罚款。未经市人民政府批准，任何单位和个人不得在公路上设置收费站（卡）、检查站（卡）。</w:t>
      </w:r>
    </w:p>
    <w:p>
      <w:pPr>
        <w:pStyle w:val="Style17"/>
        <w:snapToGrid w:val="false"/>
        <w:spacing w:lineRule="exact" w:line="560" w:before="0" w:after="0"/>
        <w:contextualSpacing/>
        <w:jc w:val="center"/>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第二章　公路规划建设管理</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公路规划应当符合国家和本市城市总体规划要求，并依据国民经济、人民生活和国防的需要编制实施。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本市公路规划由市公路管理部门和市规划行政主管部门共同编制，报市人民政府审批。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本市公路规划的调整和修改，必须经原审批机关批准。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专用公路规划由专用公路使用单位编制，并应当征求公路所在区、县人民政府的意见，报市公路管理部门和市规划行政主管部门审批。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专用公路需要与区、县级以上公路相连接的，应当经市公路管理部门批准。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公路建设应当依据公路建设规划和计划，并按照国家基本建设程序和有关规定进行。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公路建设应当节约使用土地。公路建设中的征地、拆迁、安置工作，由市公路管理部门会同沿线区、县人民政府组织实施。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公路建设项目实行建设单位管理、公开招投标、工程建设监理和行政监督制度。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公路建设项目应当按照公路工程技术标准和合同的约定进行设计、施工。不符合公路工程技术标准和合同规定的竣工项目，公路管理部门或者项目建设单位不予接管。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　</w:t>
      </w:r>
      <w:r>
        <w:rPr>
          <w:rFonts w:ascii="仿宋_GB2312" w:hAnsi="仿宋_GB2312" w:cs="宋体" w:hint="eastAsia"/>
          <w:szCs w:val="32"/>
        </w:rPr>
        <w:t>公路建设项目的设计和施工，应当保护环境和文物古迹。</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公路养护管理</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公路养护贯彻预防为主、防治结合的原则。</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公路管理部门应当按照国家有关技术规范和操作规程进行公路养护，保证工程质量，逐步改善公路使用质量，提高抗灾能力，保持公路完好、畅通。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公路管理部门应当加强对公路的日常巡视和检查，发现问题及时处理。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公路养护施工应当在施工路段设置明显的安全标志。需中断交通时，由公安交通管理部门和公路管理部门事先发布通告，并设置车辆绕行标志。</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公路养护人员作业时，应当穿着安全标志服。</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公路养护作业车辆应当设置明显标志。养护作业时，在保证交通安全畅通的情况下，不受行驶路线和行驶方向的限制。</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因公路养护、施工需要确定料场和取土、取水处时，公路管理部门应当按照有关规定办理手续，沿线各级人民政府应当给予协助。任何单位和个人不得阻挠和非法索取费用。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因自然灾害致使公路交通中断时，公路管理部门应当及时抢修。必要时，当地人民政府应当动员和组织本地驻军、机关、企业事业单位和城乡居民参加抢修，尽快恢复交通。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公路管理部门应当本着美化路容、改善环境的原则，在公路范围内实施绿化工程，做好林木花草的抚育、更新、补植、病虫害防治等养护管理工作。</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公路路政管理</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公路管理部门负责管理和保护公路、公路用地和公路设施，依法检查、制止、处理各种非法利用、侵占、污染、损坏公路、公路用地和公路设施的行为。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公路路政管理和公路规费征稽管理的车辆，应当设置统一标志和标志灯。</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禁止在公路两侧建筑控制线范围内修建永久性建筑设施。公路建筑控制线范围为：自公路边沟（坡脚护坡道、坡顶截水沟）外缘起向外延伸，国道二十米，市道十五米，区、县道十米。确需在公路两侧建筑控制线范围内修建临时性建筑的，必须征得公路管理部门的同意。</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铁路、河道管理范围与公路两侧建筑控制线相互重叠或者交叉的，应当按照各自管理权限进行管理。确需在相互重叠或者交叉的管理范围内修建临时性建筑的，由公路管理部门会同有关部门审批。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在公路管理范围内禁止下列行为：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（一）填垫边沟、建筑非公路设施；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（二）摆摊设点、碾压物料、设置障碍、倾倒废弃物、晾晒农作物；</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（三）毁坏花草或者擅自移动、涂改、拆除公路标志、界碑、测桩、护栏和其他公路设施；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（四）滥伐、盗伐公路林木；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（五）洒漏、扬尘污染路面和污染环境；</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在大中型公路桥梁和渡口周围二百米、公路隧道上方和洞口外一百米范围内，以及在公路两侧建筑控制区内，进行挖砂、采石、取土、爆破作业及其他危及公路、公路桥梁、公路隧道、公路渡口安全的活动（因治理河道需要修筑堤坝、压缩或者拓宽河床的除外）；</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（七）借助桥梁敷设易燃、易爆管道和十千伏以上高压电线；</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（八）其他侵占、损坏公路的行为。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在不影响公路规划实施、安全通行和设施养护维修的情况下，实施下列行为之一的，应当向公路管理部门提交申请书、建设项目批准文件、施工设计方案、施工组织方案，经批准后方可实施：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（一）工程建设需要临时占用公路；</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（二）工程建设需要挖掘公路；</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（三）在公路上增设平面交叉道口或者桥涵；</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（四）跨越、穿越公路修建桥梁、渡槽或者架设、敷设、埋设管线等设施；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（五）在公路用地范围内或者依附桥梁、隧道、涵洞架设、埋设管线、电缆等设施；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（六）在公路两侧建筑控制区内埋设管线、电缆等设施；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（七）在公路用地范围内设置非公路设施（不需要提供建设项目批准文件）。</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在公路上行驶履带车、可能损坏公路路面的运输机具，或者行驶超过公路技术标准运输车辆的，应当向公路管理部门提交下列文件，经批准后方可实施：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（一）申请书；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（二）行驶时间和路线；</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（三）车辆和运载货物的相关技术资料；</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（四）车辆的行驶证；</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（五）公路设施的保护方案。</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地下管线发生紧急故障确需掘路抢修时，应当通知公路管理部门，并在三日内补办手续。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因占用、挖掘公路需要砍伐公路行道树、占用绿地的，应当符合树木、绿地保护规定，并到公路管理部门办理相关手续。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本条例第二十九条所列的行为一经批准，申请人应当与公路管理部门签定协议并缴纳相关的占路费、挖掘修复费、管线过桥损失补偿费、公路及其设施损坏赔偿费。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超限运输的单位或者个人，应当承担公路管理部门为保障超限运输车辆通行而采取的技术保护措施所需费用和公路及其设施损坏赔偿费。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新建、改建和扩建的公路，在竣工后五年内或者在冬季不准挖掘。因特殊情况经公路管理部门和公安交通管理部门批准挖掘的，应当按照有关规定加倍收取挖掘修复费。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跨越、穿越公路修建桥梁、渡槽或者架设管线，应当符合公路规划、公路工程技术规范和净空要求。</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车辆在公路上发生交通事故造成公路和公路设施损坏的，公路管理部门应当及时勘验损失，有关管理部门应当给予协助。</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公路规费管理</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公路规费包括国家批准征收的用于公路建设、养护的专项费用等。</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公路规费由公路管理部门负责征收，专款专用。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公路规费的缴费义务人应当按照国家和本市的有关规定及时、足额缴纳公路规费。除法律、法规另有规定外，公路规费不得减免。</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经市人民政府批准，市公路管理部门可以在公路上设立公路规费征收稽查站。公路规费征稽人员可以对客货车集散地、车辆存放地和在公路上行驶的车辆进行公路规费稽查。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公路规费的缴、免凭证和收据按照国家有关规定统一印制、核发和管理；任何单位和个人不得伪造、涂改、转借、倒卖。</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市公安交通管理部门应当定期向市公路管理部门提供本市车辆统计资料。</w:t>
      </w:r>
    </w:p>
    <w:p>
      <w:pPr>
        <w:pStyle w:val="Style17"/>
        <w:snapToGrid w:val="false"/>
        <w:spacing w:lineRule="exact" w:line="560" w:before="0" w:after="0"/>
        <w:contextualSpacing/>
        <w:jc w:val="center"/>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第六章　收费公路管理</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本市鼓励国内外企业、其他组织和个人在本市合资、合作或者独资建设、经营国家级主干线、高速公路、一级汽车专用线、大型独立的桥梁、隧道等，并享受国家和本市的有关优惠待遇。</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收费公路的建设经营期限、当事人的权利义务、合同期满公路产权的处置等，应当按照有关规定在合同中约定。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收费公路经营者应当接受市公路管理部门的监督管理。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收费公路的养护、收费和经营管理等事项，应当在合同中约定。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收费公路收费站的设置，应当符合国家有关规定，并经市人民政府批准。</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法律责任</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对违反本条例第十四条第二款规定的，由公路管理部门分别情况责令停止违章行为、限期改正、补办审批手续，对拒不改正或者造成严重后果的，除责令赔偿损失外，可处以二万元以下罚款。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对违反本条例第二十七条第一款、第二十八条、第二十九条、第三十一条规定的，由公路管理部门分别情况责令停止违章行为、恢复原状、限期修复、赔偿损失，并可处以三万元以下罚款。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　</w:t>
      </w:r>
      <w:r>
        <w:rPr>
          <w:rFonts w:ascii="仿宋_GB2312" w:hAnsi="仿宋_GB2312" w:cs="宋体" w:hint="eastAsia"/>
          <w:szCs w:val="32"/>
        </w:rPr>
        <w:t>对违反本条例第五章的规定，逃缴、拒缴、抗缴公路规费或者伪造、涂改、转借公路规费票证的，由公路管理部门分别情况责令停止违章行为、补缴公路规费，并可处以一万元以下罚款；情节严重的，可处以一万元以上三万元以下罚款；构成犯罪的，依法追究刑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公路管理部门对拒绝接受管理或者逾期不改正的单位或者个人，可以暂扣其违章机械、工具或者物品，强行拆除（清除）其违章设施、物品，并由违章者支付拆除（清除）违章设施、物品所需费用，或者以拆除的物品、材料、设施折抵工时和费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对无正当理由逾期不缴纳费用的，每日按应缴费用数额的千分之五加收滞纳金；对到期不缴纳罚款的，每日按应缴罚款数额的百分之三加处罚款。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当事人对行政处罚决定不服的，可依法提起行政复议和行政诉讼，当事人逾期不申请复议也不向人民法院起诉又不履行处罚决定的，由作出处罚决定的机关申请人民法院强制执行。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故意损坏公路设施，阻碍公路管理行政执法人员依法执行公务的，由公安机关依照《中华人民共和国治安管理处罚法》予以处罚；构成犯罪的，依法追究刑事责任。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公路管理部门的工作人员滥用职权、玩忽职守、徇私舞弊的，由其所在单位或者上级行政主管部门给予行政处分；构成犯罪的，依法追究刑事责任。</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附  则</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第五十一条</w:t>
      </w:r>
      <w:r>
        <w:rPr>
          <w:rFonts w:ascii="仿宋_GB2312" w:hAnsi="仿宋_GB2312" w:cs="宋体" w:hint="eastAsia"/>
          <w:szCs w:val="32"/>
        </w:rPr>
        <w:t>　本市高速公路管理适用本条例。</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第五十二条</w:t>
      </w:r>
      <w:r>
        <w:rPr>
          <w:rFonts w:ascii="仿宋_GB2312" w:hAnsi="仿宋_GB2312" w:cs="宋体" w:hint="eastAsia"/>
          <w:szCs w:val="32"/>
        </w:rPr>
        <w:t>　本条例中的各项收费标准执行市人民政府和其授权部门制定的有关规定。国家另有规定的，依其规定。</w:t>
      </w:r>
    </w:p>
    <w:p>
      <w:pPr>
        <w:pStyle w:val="Style17"/>
        <w:snapToGrid w:val="false"/>
        <w:spacing w:lineRule="exact" w:line="560" w:before="0" w:after="0"/>
        <w:ind w:firstLineChars="200" w:startChars="0" w:start="0" w:endChars="0" w:end="0"/>
        <w:contextualSpacing/>
        <w:rPr/>
      </w:pPr>
      <w:r>
        <w:rPr>
          <w:rFonts w:ascii="黑体" w:hAnsi="黑体" w:cs="宋体" w:hint="eastAsia" w:eastAsia="黑体"/>
          <w:szCs w:val="32"/>
        </w:rPr>
        <w:t>第五十三条</w:t>
      </w:r>
      <w:r>
        <w:rPr>
          <w:rFonts w:ascii="仿宋_GB2312" w:hAnsi="仿宋_GB2312" w:cs="宋体" w:hint="eastAsia"/>
          <w:szCs w:val="32"/>
        </w:rPr>
        <w:t>　本条例自公布之日起施行。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Char">
    <w:name w:val="日期 Char"/>
    <w:basedOn w:val="Style14"/>
    <w:qFormat/>
    <w:rPr>
      <w:rFonts w:ascii="仿宋_GB2312" w:hAnsi="仿宋_GB2312" w:eastAsia="仿宋_GB2312"/>
      <w:kern w:val="2"/>
      <w:sz w:val="32"/>
      <w:szCs w:val="32"/>
      <w:lang w:bidi="ar-SA"/>
    </w:rPr>
  </w:style>
  <w:style w:type="character" w:styleId="3CharChar">
    <w:name w:val="正文文本缩进 3 Char Char"/>
    <w:basedOn w:val="Style14"/>
    <w:qFormat/>
    <w:rPr>
      <w:rFonts w:eastAsia="仿宋_GB2312"/>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
    <w:name w:val="纯文本 Char Char"/>
    <w:basedOn w:val="Style14"/>
    <w:qFormat/>
    <w:rPr>
      <w:rFonts w:ascii="宋体" w:hAnsi="宋体" w:eastAsia="仿宋_GB2312" w:cs="Courier New"/>
      <w:sz w:val="32"/>
      <w:szCs w:val="32"/>
      <w:lang w:bidi="ar-SA"/>
    </w:rPr>
  </w:style>
  <w:style w:type="character" w:styleId="Char1">
    <w:name w:val="页脚 Char1"/>
    <w:basedOn w:val="Style14"/>
    <w:qFormat/>
    <w:rPr>
      <w:rFonts w:ascii="宋体" w:hAnsi="宋体" w:cs="宋体"/>
      <w:sz w:val="18"/>
      <w:szCs w:val="18"/>
    </w:rPr>
  </w:style>
  <w:style w:type="character" w:styleId="Char2">
    <w:name w:val="纯文本 Char"/>
    <w:basedOn w:val="Style14"/>
    <w:qFormat/>
    <w:rPr>
      <w:rFonts w:ascii="华文宋体" w:hAnsi="华文宋体" w:eastAsia="仿宋_GB2312" w:cs="Courier New"/>
      <w:kern w:val="2"/>
      <w:sz w:val="32"/>
      <w:szCs w:val="21"/>
    </w:rPr>
  </w:style>
  <w:style w:type="character" w:styleId="3CharChar1">
    <w:name w:val="标题3 Char Char"/>
    <w:basedOn w:val="Char2"/>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3">
    <w:name w:val="普通(网站) Char"/>
    <w:basedOn w:val="Style14"/>
    <w:qFormat/>
    <w:rPr>
      <w:rFonts w:ascii="宋体" w:hAnsi="宋体" w:cs="宋体"/>
      <w:sz w:val="24"/>
      <w:szCs w:val="24"/>
    </w:rPr>
  </w:style>
  <w:style w:type="character" w:styleId="2Char">
    <w:name w:val="标题2 Char"/>
    <w:basedOn w:val="Char3"/>
    <w:qFormat/>
    <w:rPr>
      <w:rFonts w:ascii="楷体_GB2312" w:hAnsi="楷体_GB2312" w:eastAsia="楷体_GB2312"/>
      <w:bCs/>
      <w:smallCaps/>
      <w:color w:val="000000"/>
      <w:sz w:val="32"/>
      <w:szCs w:val="32"/>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Char11">
    <w:name w:val="纯文本 Char1"/>
    <w:basedOn w:val="Style14"/>
    <w:qFormat/>
    <w:rPr>
      <w:rFonts w:ascii="宋体" w:hAnsi="宋体" w:cs="Courier New"/>
      <w:kern w:val="2"/>
      <w:sz w:val="21"/>
      <w:szCs w:val="21"/>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2CharChar1">
    <w:name w:val="正文文本缩进 2 Char Char"/>
    <w:basedOn w:val="Style14"/>
    <w:qFormat/>
    <w:rPr>
      <w:rFonts w:eastAsia="仿宋_GB2312"/>
      <w:b/>
      <w:bCs/>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1CharChar">
    <w:name w:val="标题1 Char Char"/>
    <w:basedOn w:val="Char3"/>
    <w:qFormat/>
    <w:rPr>
      <w:rFonts w:ascii="方正小标宋简体" w:hAnsi="方正小标宋简体" w:eastAsia="方正小标宋简体"/>
      <w:bCs/>
      <w:smallCaps/>
      <w:color w:val="000000"/>
      <w:sz w:val="32"/>
      <w:szCs w:val="44"/>
      <w:lang w:bidi="ar-SA"/>
    </w:rPr>
  </w:style>
  <w:style w:type="character" w:styleId="CharChar2">
    <w:name w:val="页眉 Char Char"/>
    <w:basedOn w:val="Style14"/>
    <w:qFormat/>
    <w:rPr>
      <w:kern w:val="2"/>
      <w:sz w:val="18"/>
      <w:szCs w:val="18"/>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1CharChar1">
    <w:name w:val="样式1 Char Char"/>
    <w:basedOn w:val="Char2"/>
    <w:qFormat/>
    <w:rPr>
      <w:rFonts w:ascii="楷体_GB2312" w:hAnsi="楷体_GB2312" w:eastAsia="楷体_GB2312" w:cs="宋体"/>
      <w:sz w:val="32"/>
      <w:szCs w:val="32"/>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CharChar3">
    <w:name w:val="页脚 Char Char"/>
    <w:basedOn w:val="Style14"/>
    <w:qFormat/>
    <w:rPr>
      <w:rFonts w:eastAsia="仿宋_GB2312"/>
      <w:kern w:val="2"/>
      <w:sz w:val="18"/>
      <w:szCs w:val="18"/>
    </w:rPr>
  </w:style>
  <w:style w:type="character" w:styleId="1Char">
    <w:name w:val="样式1 Char"/>
    <w:basedOn w:val="Char11"/>
    <w:qFormat/>
    <w:rPr>
      <w:rFonts w:ascii="楷体_GB2312" w:hAnsi="楷体_GB2312" w:eastAsia="楷体_GB2312" w:cs="宋体"/>
      <w:sz w:val="32"/>
      <w:szCs w:val="32"/>
    </w:rPr>
  </w:style>
  <w:style w:type="character" w:styleId="CharChar5">
    <w:name w:val="正文文本 Char Char"/>
    <w:basedOn w:val="Style14"/>
    <w:qFormat/>
    <w:rPr>
      <w:rFonts w:eastAsia="仿宋_GB2312"/>
      <w:kern w:val="2"/>
      <w:sz w:val="32"/>
      <w:szCs w:val="24"/>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Char6">
    <w:name w:val="页脚 Char"/>
    <w:basedOn w:val="Style14"/>
    <w:qFormat/>
    <w:rPr>
      <w:rFonts w:ascii="宋体" w:hAnsi="宋体" w:cs="宋体"/>
      <w:sz w:val="18"/>
      <w:szCs w:val="18"/>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8">
    <w:name w:val="批注框文本 Char"/>
    <w:basedOn w:val="Style14"/>
    <w:qFormat/>
    <w:rPr>
      <w:rFonts w:ascii="Times New Roman" w:hAnsi="Times New Roman" w:eastAsia="仿宋_GB2312" w:cs="Times New Roman"/>
      <w:kern w:val="2"/>
      <w:sz w:val="18"/>
      <w:szCs w:val="18"/>
    </w:rPr>
  </w:style>
  <w:style w:type="character" w:styleId="3Char2">
    <w:name w:val="标题3 Char"/>
    <w:basedOn w:val="Char11"/>
    <w:qFormat/>
    <w:rPr>
      <w:rFonts w:ascii="黑体" w:hAnsi="黑体" w:eastAsia="黑体" w:cs="宋体"/>
      <w:sz w:val="32"/>
      <w:szCs w:val="32"/>
    </w:rPr>
  </w:style>
  <w:style w:type="character" w:styleId="2Char3">
    <w:name w:val="正文文本 2 Char"/>
    <w:basedOn w:val="Style14"/>
    <w:qFormat/>
    <w:rPr>
      <w:rFonts w:eastAsia="仿宋_GB2312"/>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6">
    <w:name w:val="正文文本缩进 Char Char"/>
    <w:basedOn w:val="Style14"/>
    <w:qFormat/>
    <w:rPr>
      <w:rFonts w:ascii="仿宋_GB2312" w:hAnsi="仿宋_GB2312" w:eastAsia="仿宋_GB2312"/>
      <w:kern w:val="2"/>
      <w:sz w:val="32"/>
      <w:szCs w:val="32"/>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Style17">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2016-12-28T21:19:27Z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