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atLeast" w:line="240"/>
        <w:jc w:val="center"/>
        <w:textAlignment w:val="auto"/>
        <w:rPr>
          <w:rFonts w:ascii="宋体" w:hAnsi="宋体" w:eastAsia="宋体" w:cs="宋体" w:hint="eastAsia"/>
          <w:bCs/>
          <w:sz w:val="44"/>
          <w:szCs w:val="44"/>
        </w:rPr>
      </w:pPr>
      <w:r>
        <w:rPr>
          <w:rFonts w:eastAsia="宋体" w:cs="宋体" w:hint="eastAsia" w:ascii="宋体" w:hAnsi="宋体"/>
          <w:bCs/>
          <w:sz w:val="44"/>
          <w:szCs w:val="44"/>
        </w:rPr>
      </w:r>
    </w:p>
    <w:p>
      <w:pPr>
        <w:pStyle w:val="Normal"/>
        <w:keepNext w:val="false"/>
        <w:keepLines w:val="false"/>
        <w:pageBreakBefore w:val="false"/>
        <w:widowControl w:val="false"/>
        <w:kinsoku w:val="true"/>
        <w:overflowPunct w:val="true"/>
        <w:autoSpaceDE w:val="true"/>
        <w:bidi w:val="0"/>
        <w:snapToGrid w:val="true"/>
        <w:spacing w:lineRule="atLeast" w:line="240"/>
        <w:jc w:val="center"/>
        <w:textAlignment w:val="auto"/>
        <w:rPr>
          <w:rFonts w:ascii="宋体" w:hAnsi="宋体" w:eastAsia="宋体" w:cs="宋体" w:hint="eastAsia"/>
          <w:bCs/>
          <w:sz w:val="44"/>
          <w:szCs w:val="44"/>
        </w:rPr>
      </w:pPr>
      <w:r>
        <w:rPr>
          <w:rFonts w:ascii="宋体" w:hAnsi="宋体" w:cs="宋体" w:hint="eastAsia" w:eastAsia="宋体"/>
          <w:bCs/>
          <w:sz w:val="44"/>
          <w:szCs w:val="44"/>
        </w:rPr>
        <w:t>天津市非物质文化遗产保护条例</w:t>
      </w:r>
    </w:p>
    <w:p>
      <w:pPr>
        <w:pStyle w:val="Normal"/>
        <w:keepNext w:val="false"/>
        <w:keepLines w:val="false"/>
        <w:pageBreakBefore w:val="false"/>
        <w:widowControl w:val="false"/>
        <w:kinsoku w:val="true"/>
        <w:overflowPunct w:val="true"/>
        <w:autoSpaceDE w:val="true"/>
        <w:bidi w:val="0"/>
        <w:snapToGrid w:val="true"/>
        <w:spacing w:lineRule="atLeast" w:line="240"/>
        <w:jc w:val="start"/>
        <w:textAlignment w:val="auto"/>
        <w:rPr>
          <w:rFonts w:ascii="宋体" w:hAnsi="宋体" w:eastAsia="宋体" w:cs="宋体" w:hint="eastAsia"/>
          <w:bCs/>
          <w:color w:val="000000"/>
          <w:sz w:val="44"/>
          <w:szCs w:val="44"/>
        </w:rPr>
      </w:pPr>
      <w:r>
        <w:rPr>
          <w:rFonts w:eastAsia="宋体" w:cs="宋体" w:hint="eastAsia" w:ascii="宋体" w:hAnsi="宋体"/>
          <w:bCs/>
          <w:color w:val="000000"/>
          <w:sz w:val="44"/>
          <w:szCs w:val="44"/>
        </w:rPr>
      </w:r>
    </w:p>
    <w:p>
      <w:pPr>
        <w:pStyle w:val="Normal"/>
        <w:keepNext w:val="false"/>
        <w:keepLines w:val="false"/>
        <w:pageBreakBefore w:val="false"/>
        <w:widowControl w:val="false"/>
        <w:kinsoku w:val="true"/>
        <w:overflowPunct w:val="true"/>
        <w:autoSpaceDE w:val="true"/>
        <w:bidi w:val="0"/>
        <w:snapToGrid w:val="true"/>
        <w:spacing w:lineRule="atLeast" w:line="240"/>
        <w:jc w:val="center"/>
        <w:textAlignment w:val="auto"/>
        <w:rPr>
          <w:rFonts w:ascii="楷体_GB2312" w:hAnsi="楷体_GB2312" w:eastAsia="楷体_GB2312" w:hint="eastAsia"/>
          <w:color w:val="000000"/>
        </w:rPr>
      </w:pPr>
      <w:r>
        <w:rPr>
          <w:rFonts w:eastAsia="楷体_GB2312" w:hint="eastAsia" w:ascii="楷体_GB2312" w:hAnsi="楷体_GB2312"/>
          <w:color w:val="000000"/>
        </w:rPr>
        <w:t>(</w:t>
      </w:r>
      <w:r>
        <w:rPr>
          <w:rFonts w:eastAsia="楷体_GB2312" w:ascii="楷体_GB2312" w:hAnsi="楷体_GB2312"/>
          <w:color w:val="000000"/>
        </w:rPr>
        <w:t>20</w:t>
      </w:r>
      <w:r>
        <w:rPr>
          <w:rFonts w:eastAsia="楷体_GB2312" w:hint="eastAsia" w:ascii="楷体_GB2312" w:hAnsi="楷体_GB2312"/>
          <w:color w:val="000000"/>
        </w:rPr>
        <w:t>18</w:t>
      </w:r>
      <w:r>
        <w:rPr>
          <w:rFonts w:ascii="楷体_GB2312" w:hAnsi="楷体_GB2312" w:hint="eastAsia" w:eastAsia="楷体_GB2312"/>
          <w:color w:val="000000"/>
        </w:rPr>
        <w:t>年</w:t>
      </w:r>
      <w:r>
        <w:rPr>
          <w:rFonts w:eastAsia="楷体_GB2312" w:hint="eastAsia" w:ascii="楷体_GB2312" w:hAnsi="楷体_GB2312"/>
          <w:color w:val="000000"/>
        </w:rPr>
        <w:t>12</w:t>
      </w:r>
      <w:r>
        <w:rPr>
          <w:rFonts w:ascii="楷体_GB2312" w:hAnsi="楷体_GB2312" w:hint="eastAsia" w:eastAsia="楷体_GB2312"/>
          <w:color w:val="000000"/>
        </w:rPr>
        <w:t>月</w:t>
      </w:r>
      <w:r>
        <w:rPr>
          <w:rFonts w:eastAsia="楷体_GB2312" w:hint="eastAsia" w:ascii="楷体_GB2312" w:hAnsi="楷体_GB2312"/>
          <w:color w:val="000000"/>
        </w:rPr>
        <w:t>14</w:t>
      </w:r>
      <w:r>
        <w:rPr>
          <w:rFonts w:ascii="楷体_GB2312" w:hAnsi="楷体_GB2312" w:hint="eastAsia" w:eastAsia="楷体_GB2312"/>
          <w:color w:val="000000"/>
        </w:rPr>
        <w:t>日</w:t>
      </w:r>
      <w:r>
        <w:rPr>
          <w:rFonts w:ascii="楷体_GB2312" w:hAnsi="楷体_GB2312" w:eastAsia="楷体_GB2312"/>
          <w:color w:val="000000"/>
        </w:rPr>
        <w:t>天津市第十七届人民代表</w:t>
      </w:r>
    </w:p>
    <w:p>
      <w:pPr>
        <w:pStyle w:val="Normal"/>
        <w:keepNext w:val="false"/>
        <w:keepLines w:val="false"/>
        <w:pageBreakBefore w:val="false"/>
        <w:widowControl w:val="false"/>
        <w:kinsoku w:val="true"/>
        <w:overflowPunct w:val="true"/>
        <w:autoSpaceDE w:val="true"/>
        <w:bidi w:val="0"/>
        <w:snapToGrid w:val="true"/>
        <w:spacing w:lineRule="atLeast" w:line="240"/>
        <w:jc w:val="center"/>
        <w:textAlignment w:val="auto"/>
        <w:rPr>
          <w:rFonts w:ascii="楷体_GB2312" w:hAnsi="楷体_GB2312" w:eastAsia="楷体_GB2312" w:hint="eastAsia"/>
          <w:color w:val="000000"/>
        </w:rPr>
      </w:pPr>
      <w:r>
        <w:rPr>
          <w:rFonts w:ascii="楷体_GB2312" w:hAnsi="楷体_GB2312" w:eastAsia="楷体_GB2312"/>
          <w:color w:val="000000"/>
        </w:rPr>
        <w:t>大会常务委员会第</w:t>
      </w:r>
      <w:r>
        <w:rPr>
          <w:rFonts w:ascii="楷体_GB2312" w:hAnsi="楷体_GB2312" w:hint="eastAsia" w:eastAsia="楷体_GB2312"/>
          <w:color w:val="000000"/>
        </w:rPr>
        <w:t>七</w:t>
      </w:r>
      <w:r>
        <w:rPr>
          <w:rFonts w:ascii="楷体_GB2312" w:hAnsi="楷体_GB2312" w:eastAsia="楷体_GB2312"/>
          <w:color w:val="000000"/>
        </w:rPr>
        <w:t>次会议通过</w:t>
      </w:r>
      <w:r>
        <w:rPr>
          <w:rFonts w:ascii="楷体_GB2312" w:hAnsi="楷体_GB2312" w:hint="eastAsia" w:eastAsia="楷体_GB2312"/>
          <w:color w:val="000000"/>
        </w:rPr>
        <w:t>）</w:t>
      </w:r>
    </w:p>
    <w:p>
      <w:pPr>
        <w:pStyle w:val="Normal"/>
        <w:keepNext w:val="false"/>
        <w:keepLines w:val="false"/>
        <w:pageBreakBefore w:val="false"/>
        <w:widowControl w:val="false"/>
        <w:kinsoku w:val="true"/>
        <w:overflowPunct w:val="true"/>
        <w:autoSpaceDE w:val="true"/>
        <w:bidi w:val="0"/>
        <w:snapToGrid w:val="true"/>
        <w:spacing w:lineRule="atLeast" w:line="240"/>
        <w:textAlignment w:val="auto"/>
        <w:rPr>
          <w:rFonts w:ascii="楷体_GB2312" w:hAnsi="楷体_GB2312" w:eastAsia="黑体" w:hint="eastAsia"/>
          <w:color w:val="000000"/>
        </w:rPr>
      </w:pPr>
      <w:r>
        <w:rPr>
          <w:rFonts w:eastAsia="黑体" w:hint="eastAsia" w:ascii="楷体_GB2312" w:hAnsi="楷体_GB2312"/>
          <w:color w:val="000000"/>
        </w:rPr>
      </w:r>
    </w:p>
    <w:p>
      <w:pPr>
        <w:pStyle w:val="Normal"/>
        <w:keepNext w:val="false"/>
        <w:keepLines w:val="false"/>
        <w:pageBreakBefore w:val="false"/>
        <w:widowControl w:val="false"/>
        <w:kinsoku w:val="true"/>
        <w:overflowPunct w:val="true"/>
        <w:autoSpaceDE w:val="true"/>
        <w:bidi w:val="0"/>
        <w:snapToGrid w:val="true"/>
        <w:spacing w:lineRule="atLeast" w:line="240"/>
        <w:jc w:val="center"/>
        <w:textAlignment w:val="auto"/>
        <w:rPr>
          <w:rFonts w:ascii="楷体_GB2312" w:hAnsi="楷体_GB2312" w:eastAsia="楷体_GB2312" w:hint="eastAsia"/>
          <w:color w:val="000000"/>
        </w:rPr>
      </w:pPr>
      <w:r>
        <w:rPr>
          <w:rFonts w:ascii="楷体_GB2312" w:hAnsi="楷体_GB2312" w:hint="eastAsia" w:eastAsia="楷体_GB2312"/>
          <w:color w:val="000000"/>
        </w:rPr>
        <w:t>目  录</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jc w:val="start"/>
        <w:textAlignment w:val="auto"/>
        <w:rPr>
          <w:rFonts w:ascii="楷体_GB2312" w:hAnsi="楷体_GB2312" w:eastAsia="楷体_GB2312" w:hint="eastAsia"/>
          <w:color w:val="000000"/>
        </w:rPr>
      </w:pPr>
      <w:r>
        <w:rPr>
          <w:rFonts w:ascii="楷体_GB2312" w:hAnsi="楷体_GB2312" w:hint="eastAsia" w:eastAsia="楷体_GB2312"/>
          <w:color w:val="000000"/>
        </w:rPr>
        <w:t>第一章　总则</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jc w:val="start"/>
        <w:textAlignment w:val="auto"/>
        <w:rPr>
          <w:rFonts w:ascii="楷体_GB2312" w:hAnsi="楷体_GB2312" w:eastAsia="楷体_GB2312" w:hint="eastAsia"/>
          <w:color w:val="000000"/>
        </w:rPr>
      </w:pPr>
      <w:r>
        <w:rPr>
          <w:rFonts w:ascii="楷体_GB2312" w:hAnsi="楷体_GB2312" w:hint="eastAsia" w:eastAsia="楷体_GB2312"/>
          <w:color w:val="000000"/>
        </w:rPr>
        <w:t>第二章　调查与保存</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jc w:val="start"/>
        <w:textAlignment w:val="auto"/>
        <w:rPr>
          <w:rFonts w:ascii="楷体_GB2312" w:hAnsi="楷体_GB2312" w:eastAsia="楷体_GB2312" w:hint="eastAsia"/>
          <w:color w:val="000000"/>
        </w:rPr>
      </w:pPr>
      <w:r>
        <w:rPr>
          <w:rFonts w:ascii="楷体_GB2312" w:hAnsi="楷体_GB2312" w:hint="eastAsia" w:eastAsia="楷体_GB2312"/>
          <w:color w:val="000000"/>
        </w:rPr>
        <w:t>第三章　代表性</w:t>
      </w:r>
      <w:r>
        <w:rPr>
          <w:rFonts w:ascii="楷体_GB2312" w:hAnsi="楷体_GB2312" w:eastAsia="楷体_GB2312"/>
          <w:color w:val="000000"/>
        </w:rPr>
        <w:t>项目名录</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jc w:val="start"/>
        <w:textAlignment w:val="auto"/>
        <w:rPr>
          <w:rFonts w:ascii="楷体_GB2312" w:hAnsi="楷体_GB2312" w:eastAsia="楷体_GB2312" w:hint="eastAsia"/>
          <w:color w:val="000000"/>
        </w:rPr>
      </w:pPr>
      <w:r>
        <w:rPr>
          <w:rFonts w:ascii="楷体_GB2312" w:hAnsi="楷体_GB2312" w:hint="eastAsia" w:eastAsia="楷体_GB2312"/>
          <w:color w:val="000000"/>
        </w:rPr>
        <w:t>第四章　传承</w:t>
      </w:r>
      <w:r>
        <w:rPr>
          <w:rFonts w:ascii="楷体_GB2312" w:hAnsi="楷体_GB2312" w:eastAsia="楷体_GB2312"/>
          <w:color w:val="000000"/>
        </w:rPr>
        <w:t>与发展</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jc w:val="start"/>
        <w:textAlignment w:val="auto"/>
        <w:rPr>
          <w:rFonts w:ascii="楷体_GB2312" w:hAnsi="楷体_GB2312" w:eastAsia="楷体_GB2312" w:hint="eastAsia"/>
          <w:color w:val="000000"/>
        </w:rPr>
      </w:pPr>
      <w:r>
        <w:rPr>
          <w:rFonts w:ascii="楷体_GB2312" w:hAnsi="楷体_GB2312" w:hint="eastAsia" w:eastAsia="楷体_GB2312"/>
          <w:color w:val="000000"/>
        </w:rPr>
        <w:t>第五章　传播</w:t>
      </w:r>
      <w:r>
        <w:rPr>
          <w:rFonts w:ascii="楷体_GB2312" w:hAnsi="楷体_GB2312" w:eastAsia="楷体_GB2312"/>
          <w:color w:val="000000"/>
        </w:rPr>
        <w:t>与交流</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jc w:val="start"/>
        <w:textAlignment w:val="auto"/>
        <w:rPr>
          <w:rFonts w:ascii="楷体_GB2312" w:hAnsi="楷体_GB2312" w:eastAsia="楷体_GB2312" w:hint="eastAsia"/>
          <w:color w:val="000000"/>
        </w:rPr>
      </w:pPr>
      <w:r>
        <w:rPr>
          <w:rFonts w:ascii="楷体_GB2312" w:hAnsi="楷体_GB2312" w:hint="eastAsia" w:eastAsia="楷体_GB2312"/>
          <w:color w:val="000000"/>
        </w:rPr>
        <w:t>第六章　保障措施</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jc w:val="start"/>
        <w:textAlignment w:val="auto"/>
        <w:rPr>
          <w:rFonts w:ascii="楷体_GB2312" w:hAnsi="楷体_GB2312" w:eastAsia="楷体_GB2312"/>
          <w:color w:val="000000"/>
        </w:rPr>
      </w:pPr>
      <w:r>
        <w:rPr>
          <w:rFonts w:ascii="楷体_GB2312" w:hAnsi="楷体_GB2312" w:hint="eastAsia" w:eastAsia="楷体_GB2312"/>
          <w:color w:val="000000"/>
        </w:rPr>
        <w:t>第七章  法律</w:t>
      </w:r>
      <w:r>
        <w:rPr>
          <w:rFonts w:ascii="楷体_GB2312" w:hAnsi="楷体_GB2312" w:eastAsia="楷体_GB2312"/>
          <w:color w:val="000000"/>
        </w:rPr>
        <w:t>责任</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jc w:val="start"/>
        <w:textAlignment w:val="auto"/>
        <w:rPr>
          <w:rFonts w:ascii="楷体_GB2312" w:hAnsi="楷体_GB2312" w:eastAsia="楷体_GB2312" w:hint="eastAsia"/>
          <w:color w:val="000000"/>
        </w:rPr>
      </w:pPr>
      <w:r>
        <w:rPr>
          <w:rFonts w:ascii="楷体_GB2312" w:hAnsi="楷体_GB2312" w:hint="eastAsia" w:eastAsia="楷体_GB2312"/>
          <w:color w:val="000000"/>
        </w:rPr>
        <w:t>第八章  附则</w:t>
      </w:r>
    </w:p>
    <w:p>
      <w:pPr>
        <w:pStyle w:val="Normal"/>
        <w:keepNext w:val="false"/>
        <w:keepLines w:val="false"/>
        <w:pageBreakBefore w:val="false"/>
        <w:widowControl w:val="false"/>
        <w:kinsoku w:val="true"/>
        <w:overflowPunct w:val="true"/>
        <w:autoSpaceDE w:val="true"/>
        <w:bidi w:val="0"/>
        <w:snapToGrid w:val="true"/>
        <w:spacing w:lineRule="atLeast" w:line="240"/>
        <w:textAlignment w:val="auto"/>
        <w:rPr>
          <w:rFonts w:ascii="楷体_GB2312" w:hAnsi="楷体_GB2312" w:eastAsia="楷体_GB2312" w:cs="黑体" w:hint="eastAsia"/>
          <w:color w:val="000000"/>
          <w:szCs w:val="32"/>
        </w:rPr>
      </w:pPr>
      <w:r>
        <w:rPr>
          <w:rFonts w:eastAsia="楷体_GB2312" w:cs="黑体" w:hint="eastAsia" w:ascii="楷体_GB2312" w:hAnsi="楷体_GB2312"/>
          <w:color w:val="000000"/>
          <w:szCs w:val="32"/>
        </w:rPr>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jc w:val="center"/>
        <w:textAlignment w:val="auto"/>
        <w:rPr>
          <w:rFonts w:eastAsia="黑体" w:cs="黑体" w:hint="eastAsia"/>
          <w:szCs w:val="32"/>
        </w:rPr>
      </w:pPr>
      <w:r>
        <w:rPr>
          <w:rFonts w:cs="黑体" w:hint="eastAsia" w:eastAsia="黑体"/>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黑体" w:hint="eastAsia"/>
          <w:sz w:val="28"/>
          <w:szCs w:val="28"/>
        </w:rPr>
      </w:pPr>
      <w:r>
        <w:rPr>
          <w:rFonts w:cs="黑体" w:hint="eastAsia" w:eastAsia="黑体"/>
          <w:szCs w:val="32"/>
        </w:rPr>
        <w:t>第一条</w:t>
      </w:r>
      <w:r>
        <w:rPr>
          <w:rFonts w:cs="仿宋_GB2312" w:hint="eastAsia" w:eastAsia="黑体"/>
          <w:szCs w:val="32"/>
        </w:rPr>
        <w:t>　</w:t>
      </w:r>
      <w:r>
        <w:rPr>
          <w:rFonts w:cs="仿宋_GB2312" w:hint="eastAsia"/>
          <w:bCs/>
          <w:szCs w:val="32"/>
        </w:rPr>
        <w:t>为了</w:t>
      </w:r>
      <w:r>
        <w:rPr>
          <w:rFonts w:cs="黑体" w:hint="eastAsia"/>
          <w:szCs w:val="32"/>
        </w:rPr>
        <w:t>加强对非物质文化遗产的保护，继承和弘扬中华优秀传统文化，坚定文化自信，根据《中华人民共和国非物质文化遗产法》等法律、行政法规，结合本市实际情况，制定本条例。</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黑体"/>
          <w:szCs w:val="32"/>
        </w:rPr>
      </w:pPr>
      <w:r>
        <w:rPr>
          <w:rFonts w:cs="黑体" w:hint="eastAsia" w:eastAsia="黑体"/>
          <w:szCs w:val="32"/>
        </w:rPr>
        <w:t>第二条</w:t>
      </w:r>
      <w:r>
        <w:rPr>
          <w:rFonts w:cs="宋体" w:hint="eastAsia" w:eastAsia="黑体"/>
          <w:szCs w:val="32"/>
        </w:rPr>
        <w:t>　</w:t>
      </w:r>
      <w:r>
        <w:rPr>
          <w:rFonts w:cs="黑体" w:hint="eastAsia"/>
          <w:szCs w:val="32"/>
        </w:rPr>
        <w:t>本条例</w:t>
      </w:r>
      <w:r>
        <w:rPr>
          <w:rFonts w:cs="黑体"/>
          <w:szCs w:val="32"/>
        </w:rPr>
        <w:t>适用于</w:t>
      </w:r>
      <w:r>
        <w:rPr>
          <w:rFonts w:cs="黑体" w:hint="eastAsia"/>
          <w:szCs w:val="32"/>
        </w:rPr>
        <w:t>本市行政区域内非物质文化遗产的调查、认定、保存、传承、传播、利用等保护活动及相关管理工作。</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bCs/>
          <w:szCs w:val="32"/>
        </w:rPr>
      </w:pPr>
      <w:r>
        <w:rPr>
          <w:rFonts w:cs="黑体" w:hint="eastAsia" w:eastAsia="黑体"/>
          <w:szCs w:val="32"/>
        </w:rPr>
        <w:t>第三条</w:t>
      </w:r>
      <w:r>
        <w:rPr>
          <w:rFonts w:cs="宋体" w:hint="eastAsia"/>
          <w:szCs w:val="32"/>
        </w:rPr>
        <w:t>　</w:t>
      </w:r>
      <w:r>
        <w:rPr>
          <w:rFonts w:cs="仿宋_GB2312" w:hint="eastAsia"/>
          <w:bCs/>
          <w:szCs w:val="32"/>
        </w:rPr>
        <w:t>保护非物质文化遗产，应当坚持以人民为中心，以社会主义核心价值观为引领，坚持政府主导、社会参与，多元投入、充分保护</w:t>
      </w:r>
      <w:r>
        <w:rPr>
          <w:rFonts w:cs="仿宋_GB2312"/>
          <w:bCs/>
          <w:szCs w:val="32"/>
        </w:rPr>
        <w:t>，</w:t>
      </w:r>
      <w:r>
        <w:rPr>
          <w:rFonts w:cs="仿宋_GB2312" w:hint="eastAsia"/>
          <w:bCs/>
          <w:szCs w:val="32"/>
        </w:rPr>
        <w:t>合理利用、传承发展，增强传承实践能力，推动创造性转化、创新性发展。</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bCs/>
          <w:szCs w:val="32"/>
        </w:rPr>
      </w:pPr>
      <w:r>
        <w:rPr>
          <w:rFonts w:cs="黑体" w:hint="eastAsia" w:eastAsia="黑体"/>
          <w:szCs w:val="32"/>
        </w:rPr>
        <w:t>第四条　</w:t>
      </w:r>
      <w:r>
        <w:rPr>
          <w:rFonts w:cs="仿宋_GB2312" w:hint="eastAsia"/>
          <w:bCs/>
          <w:szCs w:val="32"/>
        </w:rPr>
        <w:t>市和区人民政府领导本行政区域内非物质文化遗产保护工作，将非物质文化遗产保护工作纳入本级国民经济和社会发展规划。</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rPr>
      </w:pPr>
      <w:r>
        <w:rPr>
          <w:rFonts w:cs="仿宋_GB2312" w:hint="eastAsia"/>
          <w:bCs/>
          <w:szCs w:val="32"/>
        </w:rPr>
        <w:t>市和区人民政府建立非物质文化遗产保护工作协调</w:t>
      </w:r>
      <w:r>
        <w:rPr>
          <w:rFonts w:cs="仿宋_GB2312"/>
          <w:bCs/>
          <w:szCs w:val="32"/>
        </w:rPr>
        <w:t>机制</w:t>
      </w:r>
      <w:r>
        <w:rPr>
          <w:rFonts w:cs="仿宋_GB2312" w:hint="eastAsia"/>
          <w:bCs/>
          <w:szCs w:val="32"/>
        </w:rPr>
        <w:t>，协调、解决非物质文化遗产保护工作中的重大问题。</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bCs/>
          <w:szCs w:val="32"/>
        </w:rPr>
      </w:pPr>
      <w:r>
        <w:rPr>
          <w:rFonts w:cs="仿宋_GB2312" w:hint="eastAsia"/>
          <w:bCs/>
          <w:szCs w:val="32"/>
        </w:rPr>
        <w:t>乡镇人民政府、街道办事处应当配合做好本辖区内非物质文化遗产保护工作。</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rPr>
      </w:pPr>
      <w:r>
        <w:rPr>
          <w:rFonts w:cs="黑体" w:hint="eastAsia" w:eastAsia="黑体"/>
          <w:szCs w:val="32"/>
        </w:rPr>
        <w:t>第五条</w:t>
      </w:r>
      <w:r>
        <w:rPr>
          <w:rFonts w:cs="仿宋_GB2312" w:hint="eastAsia"/>
          <w:szCs w:val="32"/>
        </w:rPr>
        <w:t>　</w:t>
      </w:r>
      <w:r>
        <w:rPr>
          <w:rFonts w:cs="仿宋_GB2312" w:hint="eastAsia"/>
          <w:bCs/>
          <w:szCs w:val="32"/>
        </w:rPr>
        <w:t>文化主管部门负责本行政区域内非物质文化遗产保护工作。</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bCs/>
          <w:szCs w:val="32"/>
        </w:rPr>
      </w:pPr>
      <w:r>
        <w:rPr>
          <w:rFonts w:cs="仿宋_GB2312" w:hint="eastAsia"/>
          <w:bCs/>
          <w:szCs w:val="32"/>
        </w:rPr>
        <w:t>发展改革、教育、民族宗教、财政、人力社保</w:t>
      </w:r>
      <w:r>
        <w:rPr>
          <w:rFonts w:cs="仿宋_GB2312"/>
          <w:bCs/>
          <w:szCs w:val="32"/>
        </w:rPr>
        <w:t>、</w:t>
      </w:r>
      <w:r>
        <w:rPr>
          <w:rFonts w:cs="仿宋_GB2312" w:hint="eastAsia"/>
          <w:bCs/>
          <w:szCs w:val="32"/>
        </w:rPr>
        <w:t>商务、卫生健康、市场监管、体育等有关部门在各自职责范围内，做好非物质文化遗产保护相关工作。</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宋体" w:hint="eastAsia"/>
          <w:sz w:val="28"/>
          <w:szCs w:val="28"/>
        </w:rPr>
      </w:pPr>
      <w:r>
        <w:rPr>
          <w:rFonts w:cs="黑体" w:hint="eastAsia" w:eastAsia="黑体"/>
          <w:szCs w:val="32"/>
        </w:rPr>
        <w:t>第六条</w:t>
      </w:r>
      <w:r>
        <w:rPr>
          <w:rFonts w:cs="宋体" w:hint="eastAsia" w:eastAsia="黑体"/>
          <w:szCs w:val="32"/>
        </w:rPr>
        <w:t>　</w:t>
      </w:r>
      <w:r>
        <w:rPr>
          <w:rFonts w:cs="宋体" w:hint="eastAsia"/>
          <w:szCs w:val="32"/>
        </w:rPr>
        <w:t>本市</w:t>
      </w:r>
      <w:r>
        <w:rPr>
          <w:rFonts w:cs="仿宋_GB2312" w:hint="eastAsia"/>
          <w:bCs/>
          <w:szCs w:val="32"/>
        </w:rPr>
        <w:t>积极推进跨区域、国际间非物质文化遗产保护交流，联合开展非物质文化遗产保护的项目合作和理论研究。</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楷体" w:hint="eastAsia"/>
          <w:sz w:val="28"/>
          <w:szCs w:val="28"/>
        </w:rPr>
      </w:pPr>
      <w:r>
        <w:rPr>
          <w:rFonts w:cs="楷体" w:hint="eastAsia"/>
          <w:sz w:val="28"/>
          <w:szCs w:val="28"/>
        </w:rPr>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jc w:val="center"/>
        <w:textAlignment w:val="auto"/>
        <w:rPr>
          <w:rFonts w:eastAsia="黑体" w:cs="黑体" w:hint="eastAsia"/>
          <w:szCs w:val="32"/>
        </w:rPr>
      </w:pPr>
      <w:r>
        <w:rPr>
          <w:rFonts w:cs="黑体" w:hint="eastAsia" w:eastAsia="黑体"/>
          <w:szCs w:val="32"/>
        </w:rPr>
        <w:t>第二章　调查与保存</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rPr>
      </w:pPr>
      <w:r>
        <w:rPr>
          <w:rFonts w:cs="黑体" w:hint="eastAsia" w:eastAsia="黑体"/>
          <w:szCs w:val="32"/>
        </w:rPr>
        <w:t>第七条</w:t>
      </w:r>
      <w:r>
        <w:rPr>
          <w:rFonts w:cs="仿宋_GB2312" w:hint="eastAsia" w:eastAsia="黑体"/>
          <w:szCs w:val="32"/>
        </w:rPr>
        <w:t>　</w:t>
      </w:r>
      <w:r>
        <w:rPr>
          <w:rFonts w:cs="仿宋_GB2312" w:hint="eastAsia"/>
          <w:bCs/>
          <w:szCs w:val="32"/>
        </w:rPr>
        <w:t>市和区人民政府根据非物质文化遗产保护工作的需要，组织非物质文化遗产调查，文化主管部门负责具体调查工作。其他有关部门可以对其工作领域内的非物质文化遗产进行调查。</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rPr>
      </w:pPr>
      <w:r>
        <w:rPr>
          <w:rFonts w:cs="仿宋_GB2312" w:hint="eastAsia"/>
          <w:bCs/>
          <w:szCs w:val="32"/>
        </w:rPr>
        <w:t>公民、法人和其他组织可以依法进行非物质文化遗产调查。</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rPr>
      </w:pPr>
      <w:r>
        <w:rPr>
          <w:rFonts w:cs="黑体" w:hint="eastAsia" w:eastAsia="黑体"/>
          <w:szCs w:val="32"/>
        </w:rPr>
        <w:t>第八条　</w:t>
      </w:r>
      <w:r>
        <w:rPr>
          <w:rFonts w:cs="仿宋_GB2312" w:hint="eastAsia"/>
          <w:bCs/>
          <w:szCs w:val="32"/>
        </w:rPr>
        <w:t>文化主管部门和其他有关部门进行非物质文化遗产调查，应当对非物质文化遗产予以认定，并通过记录、建档等方式，妥善保存相关实物和资料。其他有关部门应当自调查结束之日起六十日内，将调查所取得的实物图片、资料复制件汇交给同级文化主管部门。</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rPr>
      </w:pPr>
      <w:r>
        <w:rPr>
          <w:rFonts w:cs="仿宋_GB2312" w:hint="eastAsia"/>
          <w:bCs/>
          <w:szCs w:val="32"/>
        </w:rPr>
        <w:t>文化主管部门应当建立健全非物质文化遗产档案管理制度，按照有关规定接收、整理、保管非物质文化遗产档案，并采取必要的保护措施，防止档案的损毁或者丢失。</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bCs/>
          <w:szCs w:val="32"/>
        </w:rPr>
      </w:pPr>
      <w:r>
        <w:rPr>
          <w:rFonts w:cs="仿宋_GB2312" w:hint="eastAsia"/>
          <w:bCs/>
          <w:szCs w:val="32"/>
        </w:rPr>
        <w:t>文化主管部门应当健全非物质文化</w:t>
      </w:r>
      <w:r>
        <w:rPr>
          <w:rFonts w:cs="仿宋_GB2312"/>
          <w:bCs/>
          <w:szCs w:val="32"/>
        </w:rPr>
        <w:t>遗产</w:t>
      </w:r>
      <w:r>
        <w:rPr>
          <w:rFonts w:cs="仿宋_GB2312" w:hint="eastAsia"/>
          <w:bCs/>
          <w:szCs w:val="32"/>
        </w:rPr>
        <w:t>信息采集</w:t>
      </w:r>
      <w:r>
        <w:rPr>
          <w:rFonts w:cs="仿宋_GB2312"/>
          <w:bCs/>
          <w:szCs w:val="32"/>
        </w:rPr>
        <w:t>和</w:t>
      </w:r>
      <w:r>
        <w:rPr>
          <w:rFonts w:cs="仿宋_GB2312" w:hint="eastAsia"/>
          <w:bCs/>
          <w:szCs w:val="32"/>
        </w:rPr>
        <w:t>共享机制，依法</w:t>
      </w:r>
      <w:r>
        <w:rPr>
          <w:rFonts w:cs="仿宋_GB2312"/>
          <w:bCs/>
          <w:szCs w:val="32"/>
        </w:rPr>
        <w:t>公开</w:t>
      </w:r>
      <w:r>
        <w:rPr>
          <w:rFonts w:cs="仿宋_GB2312" w:hint="eastAsia"/>
          <w:bCs/>
          <w:szCs w:val="32"/>
        </w:rPr>
        <w:t>非物质文化遗产相关信息。</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rPr>
      </w:pPr>
      <w:r>
        <w:rPr>
          <w:rFonts w:cs="黑体" w:hint="eastAsia" w:eastAsia="黑体"/>
          <w:szCs w:val="32"/>
        </w:rPr>
        <w:t>第九条</w:t>
      </w:r>
      <w:r>
        <w:rPr>
          <w:rFonts w:cs="仿宋_GB2312" w:hint="eastAsia" w:eastAsia="黑体"/>
          <w:szCs w:val="32"/>
        </w:rPr>
        <w:t>　</w:t>
      </w:r>
      <w:r>
        <w:rPr>
          <w:rFonts w:cs="仿宋_GB2312" w:hint="eastAsia"/>
          <w:bCs/>
          <w:szCs w:val="32"/>
        </w:rPr>
        <w:t>境外组织或者个人在本市进行非物质文化遗产调查，应当报市文化主管部门批准，并自调查结束之日起三十日内，提交调查报告和调查中取得的实物图片、资料复制件等。</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rPr>
      </w:pPr>
      <w:r>
        <w:rPr>
          <w:rFonts w:cs="仿宋_GB2312" w:hint="eastAsia"/>
          <w:bCs/>
          <w:szCs w:val="32"/>
        </w:rPr>
        <w:t>境外组织在本市进行非物质文化遗产调查，应当与境内非物质文化遗产学术研究机构合作进行。</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rPr>
      </w:pPr>
      <w:r>
        <w:rPr>
          <w:rFonts w:cs="黑体" w:hint="eastAsia" w:eastAsia="黑体"/>
          <w:szCs w:val="32"/>
        </w:rPr>
        <w:t>第十条　</w:t>
      </w:r>
      <w:r>
        <w:rPr>
          <w:rFonts w:cs="仿宋_GB2312" w:hint="eastAsia"/>
          <w:bCs/>
          <w:szCs w:val="32"/>
        </w:rPr>
        <w:t>进行非物质文化遗产调查，应当征得调查对象的同意，尊重其风俗习惯，并不得有下列行为：</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rPr>
      </w:pPr>
      <w:r>
        <w:rPr>
          <w:rFonts w:cs="仿宋_GB2312" w:hint="eastAsia"/>
          <w:bCs/>
          <w:szCs w:val="32"/>
        </w:rPr>
        <w:t>（一）非法占有或者损毁相关实物和资料；</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rPr>
      </w:pPr>
      <w:r>
        <w:rPr>
          <w:rFonts w:cs="仿宋_GB2312" w:hint="eastAsia"/>
          <w:bCs/>
          <w:szCs w:val="32"/>
        </w:rPr>
        <w:t>（二）歪曲或者滥用调查成果；</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hint="eastAsia"/>
          <w:sz w:val="28"/>
          <w:szCs w:val="28"/>
        </w:rPr>
      </w:pPr>
      <w:r>
        <w:rPr>
          <w:rFonts w:cs="仿宋_GB2312" w:hint="eastAsia"/>
          <w:bCs/>
          <w:szCs w:val="32"/>
        </w:rPr>
        <w:t>（三）其他损害调查对象合法权益的行为。</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rPr>
      </w:pPr>
      <w:r>
        <w:rPr>
          <w:rFonts w:cs="黑体" w:hint="eastAsia" w:eastAsia="黑体"/>
          <w:szCs w:val="32"/>
        </w:rPr>
        <w:t>第十一条</w:t>
      </w:r>
      <w:r>
        <w:rPr>
          <w:rFonts w:cs="仿宋_GB2312" w:hint="eastAsia"/>
          <w:szCs w:val="32"/>
        </w:rPr>
        <w:t>　</w:t>
      </w:r>
      <w:r>
        <w:rPr>
          <w:rFonts w:cs="仿宋_GB2312" w:hint="eastAsia"/>
          <w:bCs/>
          <w:szCs w:val="32"/>
        </w:rPr>
        <w:t>对通过调查或者其他途径发现的急需保护的非物质文化遗产项目，所在区文化主管部门应当立即实施抢救性保存措施，对内容、表现形式、技艺流程等予以记录、整理、建档；</w:t>
      </w:r>
      <w:r>
        <w:rPr>
          <w:rFonts w:hint="eastAsia"/>
          <w:kern w:val="0"/>
          <w:szCs w:val="32"/>
        </w:rPr>
        <w:t>对确有传承价值的，应当采取有效措施支持传承。</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jc w:val="center"/>
        <w:textAlignment w:val="auto"/>
        <w:rPr>
          <w:rFonts w:cs="黑体" w:hint="eastAsia"/>
          <w:bCs/>
          <w:sz w:val="28"/>
          <w:szCs w:val="28"/>
        </w:rPr>
      </w:pPr>
      <w:r>
        <w:rPr>
          <w:rFonts w:cs="黑体" w:hint="eastAsia"/>
          <w:bCs/>
          <w:sz w:val="28"/>
          <w:szCs w:val="28"/>
        </w:rPr>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jc w:val="center"/>
        <w:textAlignment w:val="auto"/>
        <w:rPr>
          <w:rFonts w:eastAsia="黑体" w:cs="黑体" w:hint="eastAsia"/>
          <w:szCs w:val="32"/>
        </w:rPr>
      </w:pPr>
      <w:r>
        <w:rPr>
          <w:rFonts w:cs="黑体" w:hint="eastAsia" w:eastAsia="黑体"/>
          <w:szCs w:val="32"/>
        </w:rPr>
        <w:t>第三章　代表性项目名录</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rPr>
      </w:pPr>
      <w:r>
        <w:rPr>
          <w:rFonts w:cs="黑体" w:hint="eastAsia" w:eastAsia="黑体"/>
          <w:szCs w:val="32"/>
        </w:rPr>
        <w:t>第十二条</w:t>
      </w:r>
      <w:r>
        <w:rPr>
          <w:rFonts w:cs="仿宋_GB2312" w:hint="eastAsia"/>
          <w:szCs w:val="32"/>
        </w:rPr>
        <w:t>　</w:t>
      </w:r>
      <w:r>
        <w:rPr>
          <w:rFonts w:cs="仿宋_GB2312" w:hint="eastAsia"/>
          <w:bCs/>
          <w:szCs w:val="32"/>
        </w:rPr>
        <w:t>市和区人民政府制定本级非物质文化遗产代表性项目名录（以下简称名录），并对</w:t>
      </w:r>
      <w:r>
        <w:rPr>
          <w:rFonts w:cs="仿宋_GB2312"/>
          <w:bCs/>
          <w:szCs w:val="32"/>
        </w:rPr>
        <w:t>列入名录的项目</w:t>
      </w:r>
      <w:r>
        <w:rPr>
          <w:rFonts w:cs="仿宋_GB2312" w:hint="eastAsia"/>
          <w:bCs/>
          <w:szCs w:val="32"/>
        </w:rPr>
        <w:t>予以保护。</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rPr>
      </w:pPr>
      <w:r>
        <w:rPr>
          <w:rFonts w:cs="黑体" w:hint="eastAsia" w:eastAsia="黑体"/>
          <w:szCs w:val="32"/>
        </w:rPr>
        <w:t>第十三条</w:t>
      </w:r>
      <w:r>
        <w:rPr>
          <w:rFonts w:cs="仿宋_GB2312" w:hint="eastAsia" w:eastAsia="黑体"/>
          <w:szCs w:val="32"/>
        </w:rPr>
        <w:t>　</w:t>
      </w:r>
      <w:r>
        <w:rPr>
          <w:rFonts w:cs="仿宋_GB2312" w:hint="eastAsia"/>
          <w:bCs/>
          <w:szCs w:val="32"/>
        </w:rPr>
        <w:t>列入名录的项目，应当符合下列条件：</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rPr>
      </w:pPr>
      <w:r>
        <w:rPr>
          <w:rFonts w:cs="仿宋_GB2312" w:hint="eastAsia"/>
          <w:bCs/>
          <w:szCs w:val="32"/>
        </w:rPr>
        <w:t>（一）体现中华优秀传统文化，具有典型性、代表性；</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rPr>
      </w:pPr>
      <w:r>
        <w:rPr>
          <w:rFonts w:cs="仿宋_GB2312" w:hint="eastAsia"/>
          <w:bCs/>
          <w:szCs w:val="32"/>
        </w:rPr>
        <w:t>（二）具有历史、文学、艺术、科学价值；</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rPr>
      </w:pPr>
      <w:r>
        <w:rPr>
          <w:rFonts w:cs="仿宋_GB2312" w:hint="eastAsia"/>
          <w:bCs/>
          <w:szCs w:val="32"/>
        </w:rPr>
        <w:t>（三）在一定地域范围内世代传承，具有清晰的传承脉络，至今仍以活态形式存在；</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rPr>
      </w:pPr>
      <w:r>
        <w:rPr>
          <w:rFonts w:cs="仿宋_GB2312" w:hint="eastAsia"/>
          <w:bCs/>
          <w:szCs w:val="32"/>
        </w:rPr>
        <w:t>（四）特色鲜明，在本区域内有较大影响力。</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rPr>
      </w:pPr>
      <w:r>
        <w:rPr>
          <w:rFonts w:cs="黑体" w:hint="eastAsia" w:eastAsia="黑体"/>
          <w:szCs w:val="32"/>
        </w:rPr>
        <w:t>第十四条　</w:t>
      </w:r>
      <w:r>
        <w:rPr>
          <w:rFonts w:cs="仿宋_GB2312" w:hint="eastAsia"/>
          <w:bCs/>
          <w:szCs w:val="32"/>
        </w:rPr>
        <w:t>拟列入市级名录的项目，应当由区人民政府从本级名录中选择推荐。</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rPr>
      </w:pPr>
      <w:r>
        <w:rPr>
          <w:rFonts w:cs="仿宋_GB2312" w:hint="eastAsia"/>
          <w:bCs/>
          <w:szCs w:val="32"/>
        </w:rPr>
        <w:t>区文化主管部门可以从调查发现的非物质文化遗产项目中，遴选拟列入本级名录的项目。公民、法人和其他组织可以向区文化主管部门提出列入区级名录的建议。</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bCs/>
          <w:szCs w:val="32"/>
        </w:rPr>
      </w:pPr>
      <w:r>
        <w:rPr>
          <w:rFonts w:cs="仿宋_GB2312" w:hint="eastAsia"/>
          <w:bCs/>
          <w:szCs w:val="32"/>
        </w:rPr>
        <w:t>推荐或者建议列入名录的，应当深入调研项目的生存状况，并按照有关规定提交项目说明材料。</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rPr>
      </w:pPr>
      <w:r>
        <w:rPr>
          <w:rFonts w:cs="黑体" w:hint="eastAsia" w:eastAsia="黑体"/>
          <w:szCs w:val="32"/>
        </w:rPr>
        <w:t>第十五条</w:t>
      </w:r>
      <w:r>
        <w:rPr>
          <w:rFonts w:cs="宋体" w:hint="eastAsia"/>
          <w:szCs w:val="32"/>
        </w:rPr>
        <w:t>　</w:t>
      </w:r>
      <w:r>
        <w:rPr>
          <w:rFonts w:cs="仿宋_GB2312" w:hint="eastAsia"/>
          <w:bCs/>
          <w:szCs w:val="32"/>
        </w:rPr>
        <w:t>市文化主管部门应当建立非物质文化遗产专家库。</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bCs/>
          <w:szCs w:val="32"/>
        </w:rPr>
      </w:pPr>
      <w:r>
        <w:rPr>
          <w:rFonts w:cs="仿宋_GB2312" w:hint="eastAsia"/>
          <w:bCs/>
          <w:szCs w:val="32"/>
        </w:rPr>
        <w:t>进行非物质文化遗产代表性项目评审前，应当按照项目类别设立专家评审小组，同时成立专家评审委员会。专家评审小组人数应当为三名以上单数，专家评审委员会人数应当为五名以上单数。专家评审小组和专家评审委员会组成人员应当从非物质文化遗产专家库中随机抽取产生。专家评审小组的成员不得同时作为专家评审委员会成员。</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hint="eastAsia"/>
          <w:szCs w:val="32"/>
        </w:rPr>
      </w:pPr>
      <w:r>
        <w:rPr>
          <w:rFonts w:cs="黑体" w:hint="eastAsia" w:eastAsia="黑体"/>
          <w:szCs w:val="32"/>
        </w:rPr>
        <w:t>第十六条　</w:t>
      </w:r>
      <w:r>
        <w:rPr>
          <w:rFonts w:hint="eastAsia"/>
          <w:szCs w:val="32"/>
        </w:rPr>
        <w:t>评审工作应当遵循公开、公平、公正的原则。</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rPr>
      </w:pPr>
      <w:r>
        <w:rPr>
          <w:rFonts w:cs="仿宋_GB2312" w:hint="eastAsia"/>
          <w:bCs/>
          <w:szCs w:val="32"/>
        </w:rPr>
        <w:t>对推荐或者建议列入本级名录的项目，文化主管部门应当组织专家评审小组进行初评，初评意见经专家评审小组成员半数以上通过后，由专家评审委员会进行审议，并提出审议意见。审议意见应当经专家评审委员会成员半数以上通过。</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rPr>
      </w:pPr>
      <w:r>
        <w:rPr>
          <w:rFonts w:cs="黑体" w:hint="eastAsia" w:eastAsia="黑体"/>
          <w:szCs w:val="32"/>
        </w:rPr>
        <w:t>第十七条　</w:t>
      </w:r>
      <w:r>
        <w:rPr>
          <w:rFonts w:cs="仿宋_GB2312" w:hint="eastAsia"/>
          <w:bCs/>
          <w:szCs w:val="32"/>
        </w:rPr>
        <w:t>文化主管部门应当根据专家评审委员会的审议意见，提出拟列入本级名录的项目并向社会公示，公示期不少于二十日。</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bCs/>
          <w:szCs w:val="32"/>
        </w:rPr>
      </w:pPr>
      <w:r>
        <w:rPr>
          <w:rFonts w:cs="仿宋_GB2312" w:hint="eastAsia"/>
          <w:bCs/>
          <w:szCs w:val="32"/>
        </w:rPr>
        <w:t>公示期间，公民、法人和其他组织提出书面异议的，文化主管部门应当及时进行核查。异议不成立的，书面告知异议人；异议成立的，应当重新组织评审。</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rPr>
      </w:pPr>
      <w:r>
        <w:rPr>
          <w:rFonts w:cs="黑体" w:hint="eastAsia" w:eastAsia="黑体"/>
          <w:szCs w:val="32"/>
        </w:rPr>
        <w:t>第十八条　</w:t>
      </w:r>
      <w:r>
        <w:rPr>
          <w:rFonts w:cs="仿宋_GB2312" w:hint="eastAsia"/>
          <w:bCs/>
          <w:szCs w:val="32"/>
        </w:rPr>
        <w:t>文化主管部门根据公示结果，拟订本级名录，报本级人民政府批准后公布。区文化主管部门应当自公布之日起十日内将本级名录向市文化主管部门备案。</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rPr>
      </w:pPr>
      <w:r>
        <w:rPr>
          <w:rFonts w:cs="黑体" w:hint="eastAsia" w:eastAsia="黑体"/>
          <w:szCs w:val="32"/>
        </w:rPr>
        <w:t>第十九条</w:t>
      </w:r>
      <w:r>
        <w:rPr>
          <w:rFonts w:cs="仿宋_GB2312" w:hint="eastAsia" w:eastAsia="黑体"/>
          <w:bCs/>
          <w:szCs w:val="32"/>
        </w:rPr>
        <w:t>　</w:t>
      </w:r>
      <w:r>
        <w:rPr>
          <w:rFonts w:cs="仿宋_GB2312" w:hint="eastAsia"/>
          <w:bCs/>
          <w:szCs w:val="32"/>
        </w:rPr>
        <w:t>非物质文化遗产代表性项目不再呈现活态文化特性或者无法传承的，文化主管部门应当及时组织记录该项目的核心内容和独到技艺，并组织专家进行论证。经论证确实无法存续的，文化主管部门应当报请本级人民政府批准将其退出本级名录，并向社会公布。</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jc w:val="center"/>
        <w:textAlignment w:val="auto"/>
        <w:rPr>
          <w:rFonts w:cs="黑体" w:hint="eastAsia"/>
          <w:bCs/>
          <w:szCs w:val="32"/>
        </w:rPr>
      </w:pPr>
      <w:r>
        <w:rPr>
          <w:rFonts w:cs="黑体" w:hint="eastAsia"/>
          <w:bCs/>
          <w:szCs w:val="32"/>
        </w:rPr>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jc w:val="center"/>
        <w:textAlignment w:val="auto"/>
        <w:rPr>
          <w:rFonts w:eastAsia="黑体" w:cs="黑体" w:hint="eastAsia"/>
          <w:szCs w:val="32"/>
        </w:rPr>
      </w:pPr>
      <w:r>
        <w:rPr>
          <w:rFonts w:cs="黑体" w:hint="eastAsia" w:eastAsia="黑体"/>
          <w:szCs w:val="32"/>
        </w:rPr>
        <w:t>第四章　传承与发展</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bdr w:val="single" w:sz="4" w:space="0" w:color="000000"/>
        </w:rPr>
      </w:pPr>
      <w:r>
        <w:rPr>
          <w:rFonts w:cs="黑体" w:hint="eastAsia" w:eastAsia="黑体"/>
          <w:szCs w:val="32"/>
        </w:rPr>
        <w:t>第二十条　</w:t>
      </w:r>
      <w:r>
        <w:rPr>
          <w:rFonts w:cs="仿宋_GB2312" w:hint="eastAsia"/>
          <w:bCs/>
          <w:szCs w:val="32"/>
        </w:rPr>
        <w:t>非物质文化遗产代表性项目的保护单位应当具备下列基本条件：</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rPr>
      </w:pPr>
      <w:r>
        <w:rPr>
          <w:rFonts w:cs="仿宋_GB2312" w:hint="eastAsia"/>
          <w:bCs/>
          <w:szCs w:val="32"/>
        </w:rPr>
        <w:t>（一）在本地登记，具备独立法人资格；</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rPr>
      </w:pPr>
      <w:r>
        <w:rPr>
          <w:rFonts w:cs="仿宋_GB2312" w:hint="eastAsia"/>
          <w:bCs/>
          <w:szCs w:val="32"/>
        </w:rPr>
        <w:t>（二）有专人负责保护工作；</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rPr>
      </w:pPr>
      <w:r>
        <w:rPr>
          <w:rFonts w:cs="仿宋_GB2312" w:hint="eastAsia"/>
          <w:bCs/>
          <w:szCs w:val="32"/>
        </w:rPr>
        <w:t>（三）掌握相对完整的项目资料；</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rPr>
      </w:pPr>
      <w:r>
        <w:rPr>
          <w:rFonts w:cs="仿宋_GB2312" w:hint="eastAsia"/>
          <w:bCs/>
          <w:szCs w:val="32"/>
        </w:rPr>
        <w:t>（四）具备开展传承活动的场所和条件，能够组织传承人开展项目传承活动；</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rPr>
      </w:pPr>
      <w:r>
        <w:rPr>
          <w:rFonts w:cs="仿宋_GB2312" w:hint="eastAsia"/>
          <w:bCs/>
          <w:szCs w:val="32"/>
        </w:rPr>
        <w:t>（五）具有实施项目保护的能力。</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rPr>
      </w:pPr>
      <w:r>
        <w:rPr>
          <w:rFonts w:cs="黑体" w:hint="eastAsia" w:eastAsia="黑体"/>
          <w:szCs w:val="32"/>
        </w:rPr>
        <w:t>第二十一条</w:t>
      </w:r>
      <w:r>
        <w:rPr>
          <w:rFonts w:hint="eastAsia"/>
          <w:szCs w:val="32"/>
        </w:rPr>
        <w:t>　</w:t>
      </w:r>
      <w:r>
        <w:rPr>
          <w:rFonts w:cs="仿宋_GB2312" w:hint="eastAsia"/>
          <w:bCs/>
          <w:szCs w:val="32"/>
        </w:rPr>
        <w:t>非物质文化遗产代表性项目保护单位享有研究、合理利用该代表性项目的权利，并履行下列义务：</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rPr>
      </w:pPr>
      <w:r>
        <w:rPr>
          <w:rFonts w:cs="仿宋_GB2312" w:hint="eastAsia"/>
          <w:bCs/>
          <w:szCs w:val="32"/>
        </w:rPr>
        <w:t>（一）实施项目保护措施，并向本级文化主管部门报告保护措施落实情况；</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rPr>
      </w:pPr>
      <w:r>
        <w:rPr>
          <w:rFonts w:cs="仿宋_GB2312" w:hint="eastAsia"/>
          <w:bCs/>
          <w:szCs w:val="32"/>
        </w:rPr>
        <w:t>（二）收集与项目有关的实物和资料，并进行登记、整理和建档；</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rPr>
      </w:pPr>
      <w:r>
        <w:rPr>
          <w:rFonts w:cs="仿宋_GB2312" w:hint="eastAsia"/>
          <w:bCs/>
          <w:szCs w:val="32"/>
        </w:rPr>
        <w:t>（三）保护与项目有关的实物、资料、建（构）筑物和场所；</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szCs w:val="32"/>
        </w:rPr>
      </w:pPr>
      <w:r>
        <w:rPr>
          <w:rFonts w:cs="仿宋_GB2312" w:hint="eastAsia"/>
          <w:bCs/>
          <w:szCs w:val="32"/>
        </w:rPr>
        <w:t>（四）及时掌握代表性传承人传承活动情况，并</w:t>
      </w:r>
      <w:r>
        <w:rPr>
          <w:rFonts w:cs="仿宋_GB2312" w:hint="eastAsia"/>
          <w:szCs w:val="32"/>
        </w:rPr>
        <w:t>为其开展传承活动提供支持；</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rPr>
      </w:pPr>
      <w:r>
        <w:rPr>
          <w:rFonts w:cs="仿宋_GB2312" w:hint="eastAsia"/>
          <w:bCs/>
          <w:szCs w:val="32"/>
        </w:rPr>
        <w:t>（五）组织开展项目的传习、展示、展演、出版、成果转化等工作。</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rPr>
      </w:pPr>
      <w:r>
        <w:rPr>
          <w:rFonts w:cs="黑体" w:hint="eastAsia" w:eastAsia="黑体"/>
          <w:szCs w:val="32"/>
        </w:rPr>
        <w:t>第二十二条　</w:t>
      </w:r>
      <w:r>
        <w:rPr>
          <w:rFonts w:cs="仿宋_GB2312" w:hint="eastAsia"/>
          <w:bCs/>
          <w:szCs w:val="32"/>
        </w:rPr>
        <w:t>文化主管部门对本级人民政府批准公布的非物质文化遗产代表性项目，可以认定代表性传承人，认定程序</w:t>
      </w:r>
      <w:r>
        <w:rPr>
          <w:rFonts w:hint="eastAsia"/>
          <w:szCs w:val="32"/>
        </w:rPr>
        <w:t>参照执行本条例有关非物质文化遗产</w:t>
      </w:r>
      <w:r>
        <w:rPr>
          <w:rFonts w:cs="仿宋_GB2312" w:hint="eastAsia"/>
          <w:bCs/>
          <w:szCs w:val="32"/>
        </w:rPr>
        <w:t>代表性项目评审的规定。经</w:t>
      </w:r>
      <w:r>
        <w:rPr>
          <w:rFonts w:hint="eastAsia"/>
          <w:szCs w:val="32"/>
        </w:rPr>
        <w:t>认定的代表性传承人名单应当向社会公布。</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rPr>
      </w:pPr>
      <w:r>
        <w:rPr>
          <w:rFonts w:cs="黑体" w:hint="eastAsia" w:eastAsia="黑体"/>
          <w:szCs w:val="32"/>
        </w:rPr>
        <w:t>第二十三条</w:t>
      </w:r>
      <w:r>
        <w:rPr>
          <w:rFonts w:cs="黑体" w:hint="eastAsia"/>
          <w:szCs w:val="32"/>
        </w:rPr>
        <w:t>　</w:t>
      </w:r>
      <w:r>
        <w:rPr>
          <w:rFonts w:cs="仿宋_GB2312" w:hint="eastAsia"/>
          <w:bCs/>
          <w:szCs w:val="32"/>
        </w:rPr>
        <w:t>非物质文化遗产代表性项目的代表性传承人应当注重提升自身</w:t>
      </w:r>
      <w:r>
        <w:rPr>
          <w:rFonts w:cs="仿宋_GB2312"/>
          <w:bCs/>
          <w:szCs w:val="32"/>
        </w:rPr>
        <w:t>修养，</w:t>
      </w:r>
      <w:r>
        <w:rPr>
          <w:rFonts w:cs="仿宋_GB2312" w:hint="eastAsia"/>
          <w:bCs/>
          <w:szCs w:val="32"/>
        </w:rPr>
        <w:t>积极</w:t>
      </w:r>
      <w:r>
        <w:rPr>
          <w:rFonts w:cs="仿宋_GB2312"/>
          <w:bCs/>
          <w:szCs w:val="32"/>
        </w:rPr>
        <w:t>弘扬</w:t>
      </w:r>
      <w:r>
        <w:rPr>
          <w:rFonts w:cs="仿宋_GB2312" w:hint="eastAsia"/>
          <w:bCs/>
          <w:szCs w:val="32"/>
        </w:rPr>
        <w:t>、传播中华</w:t>
      </w:r>
      <w:r>
        <w:rPr>
          <w:rFonts w:cs="仿宋_GB2312"/>
          <w:bCs/>
          <w:szCs w:val="32"/>
        </w:rPr>
        <w:t>优秀传统文化，</w:t>
      </w:r>
      <w:r>
        <w:rPr>
          <w:rFonts w:cs="仿宋_GB2312" w:hint="eastAsia"/>
          <w:bCs/>
          <w:szCs w:val="32"/>
        </w:rPr>
        <w:t xml:space="preserve">并履行下列义务： </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rPr>
      </w:pPr>
      <w:r>
        <w:rPr>
          <w:rFonts w:cs="仿宋_GB2312" w:hint="eastAsia"/>
          <w:bCs/>
          <w:szCs w:val="32"/>
        </w:rPr>
        <w:t>（一）开展传承活动，培养传承人；</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rPr>
      </w:pPr>
      <w:r>
        <w:rPr>
          <w:rFonts w:cs="仿宋_GB2312" w:hint="eastAsia"/>
          <w:bCs/>
          <w:szCs w:val="32"/>
        </w:rPr>
        <w:t>（二）保护非物质文化遗产技艺，保存有关实物、资料等；</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rPr>
      </w:pPr>
      <w:r>
        <w:rPr>
          <w:rFonts w:cs="仿宋_GB2312" w:hint="eastAsia"/>
          <w:bCs/>
          <w:szCs w:val="32"/>
        </w:rPr>
        <w:t>（三）配合文化主管部门和其他有关部门开展非物质文化遗产保护工作，接受文化主管部门的业务指导和监督检查；</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rPr>
      </w:pPr>
      <w:r>
        <w:rPr>
          <w:rFonts w:cs="仿宋_GB2312" w:hint="eastAsia"/>
          <w:bCs/>
          <w:szCs w:val="32"/>
        </w:rPr>
        <w:t>（四）参与非物质文化遗产展示、交流、传播、培训等社会公益活动。</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 w:hint="eastAsia"/>
          <w:bCs/>
          <w:szCs w:val="32"/>
        </w:rPr>
      </w:pPr>
      <w:r>
        <w:rPr>
          <w:rFonts w:cs="黑体" w:hint="eastAsia" w:eastAsia="黑体"/>
          <w:szCs w:val="32"/>
        </w:rPr>
        <w:t>第二十四条　</w:t>
      </w:r>
      <w:r>
        <w:rPr>
          <w:rFonts w:cs="仿宋_GB2312" w:hint="eastAsia"/>
          <w:bCs/>
          <w:szCs w:val="32"/>
        </w:rPr>
        <w:t>文化主管部门可以根据需要，采取下列措施支持非物质文化遗产代表性项目的保护单位和代表性传承人开展传承、传播活动：</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 w:hint="eastAsia"/>
          <w:bCs/>
          <w:szCs w:val="32"/>
        </w:rPr>
      </w:pPr>
      <w:r>
        <w:rPr>
          <w:rFonts w:cs="仿宋_GB2312" w:hint="eastAsia"/>
          <w:szCs w:val="32"/>
        </w:rPr>
        <w:t>（一）提供必要的场所；</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rPr>
      </w:pPr>
      <w:r>
        <w:rPr>
          <w:rFonts w:cs="仿宋_GB2312" w:hint="eastAsia"/>
          <w:bCs/>
          <w:szCs w:val="32"/>
        </w:rPr>
        <w:t>（二）提供必要的保护补助费用；</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rPr>
      </w:pPr>
      <w:r>
        <w:rPr>
          <w:rFonts w:cs="仿宋_GB2312" w:hint="eastAsia"/>
          <w:bCs/>
          <w:szCs w:val="32"/>
        </w:rPr>
        <w:t>（三）</w:t>
      </w:r>
      <w:r>
        <w:rPr>
          <w:rFonts w:cs="仿宋_GB2312" w:hint="eastAsia"/>
          <w:szCs w:val="32"/>
        </w:rPr>
        <w:t>支持开展</w:t>
      </w:r>
      <w:r>
        <w:rPr>
          <w:rFonts w:cs="仿宋_GB2312" w:hint="eastAsia"/>
          <w:bCs/>
          <w:szCs w:val="32"/>
        </w:rPr>
        <w:t>知识和技艺传授、展示、讲学、学术研究和生产等活动；</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szCs w:val="32"/>
        </w:rPr>
      </w:pPr>
      <w:r>
        <w:rPr>
          <w:rFonts w:cs="仿宋_GB2312" w:hint="eastAsia"/>
          <w:szCs w:val="32"/>
        </w:rPr>
        <w:t>（四）组织开展非物质文化遗产培训、交流活动；</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szCs w:val="32"/>
        </w:rPr>
      </w:pPr>
      <w:r>
        <w:rPr>
          <w:rFonts w:cs="仿宋_GB2312" w:hint="eastAsia"/>
          <w:szCs w:val="32"/>
        </w:rPr>
        <w:t>（五）支持参与社会公益性活动；</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szCs w:val="32"/>
        </w:rPr>
      </w:pPr>
      <w:r>
        <w:rPr>
          <w:rFonts w:cs="仿宋_GB2312" w:hint="eastAsia"/>
          <w:szCs w:val="32"/>
        </w:rPr>
        <w:t>（六）支持开展传承、传播活动的其他措施。</w:t>
      </w:r>
    </w:p>
    <w:p>
      <w:pPr>
        <w:pStyle w:val="Normal"/>
        <w:keepNext w:val="false"/>
        <w:keepLines w:val="false"/>
        <w:pageBreakBefore w:val="false"/>
        <w:widowControl w:val="false"/>
        <w:tabs>
          <w:tab w:val="clear" w:pos="420"/>
          <w:tab w:val="left" w:pos="2530" w:leader="none"/>
        </w:tabs>
        <w:kinsoku w:val="true"/>
        <w:overflowPunct w:val="true"/>
        <w:autoSpaceDE w:val="true"/>
        <w:bidi w:val="0"/>
        <w:snapToGrid w:val="true"/>
        <w:spacing w:lineRule="atLeast" w:line="240"/>
        <w:ind w:firstLineChars="200" w:startChars="0" w:start="0" w:endChars="0" w:end="0"/>
        <w:textAlignment w:val="auto"/>
        <w:rPr>
          <w:rFonts w:cs="黑体" w:hint="eastAsia"/>
          <w:szCs w:val="32"/>
        </w:rPr>
      </w:pPr>
      <w:r>
        <w:rPr>
          <w:rFonts w:cs="黑体" w:hint="eastAsia" w:eastAsia="黑体"/>
          <w:szCs w:val="32"/>
        </w:rPr>
        <w:t>第二十五条</w:t>
      </w:r>
      <w:r>
        <w:rPr>
          <w:rFonts w:cs="仿宋_GB2312" w:hint="eastAsia" w:eastAsia="黑体"/>
          <w:bCs/>
          <w:szCs w:val="32"/>
        </w:rPr>
        <w:t>　</w:t>
      </w:r>
      <w:r>
        <w:rPr>
          <w:rFonts w:cs="仿宋_GB2312" w:hint="eastAsia"/>
          <w:bCs/>
          <w:szCs w:val="32"/>
        </w:rPr>
        <w:t>市和区人民政府及其有关部门应当根据非物质文化遗产存续状况和特点，实行分类保护，对急需保护或者具有鲜明地域特色的非物质文化遗产代表性项目，予以重点保护。</w:t>
      </w:r>
    </w:p>
    <w:p>
      <w:pPr>
        <w:pStyle w:val="Normal"/>
        <w:keepNext w:val="false"/>
        <w:keepLines w:val="false"/>
        <w:pageBreakBefore w:val="false"/>
        <w:widowControl w:val="false"/>
        <w:tabs>
          <w:tab w:val="clear" w:pos="420"/>
          <w:tab w:val="left" w:pos="2530" w:leader="none"/>
        </w:tabs>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rPr>
      </w:pPr>
      <w:r>
        <w:rPr>
          <w:rFonts w:cs="黑体" w:hint="eastAsia" w:eastAsia="黑体"/>
          <w:szCs w:val="32"/>
        </w:rPr>
        <w:t>第二十六条　</w:t>
      </w:r>
      <w:r>
        <w:rPr>
          <w:rFonts w:cs="仿宋_GB2312" w:hint="eastAsia"/>
          <w:bCs/>
          <w:szCs w:val="32"/>
        </w:rPr>
        <w:t>市和区人民政府及其有关部门应当根据国家传统工艺振兴等相关规定，对存续良好、具有一定市场潜力和发展优势的传统美术、传统技艺、传统医药等非物质文化遗产代表性项目进行生产性保护。</w:t>
      </w:r>
    </w:p>
    <w:p>
      <w:pPr>
        <w:pStyle w:val="Normal"/>
        <w:keepNext w:val="false"/>
        <w:keepLines w:val="false"/>
        <w:pageBreakBefore w:val="false"/>
        <w:widowControl w:val="false"/>
        <w:tabs>
          <w:tab w:val="clear" w:pos="420"/>
          <w:tab w:val="left" w:pos="2530" w:leader="none"/>
        </w:tabs>
        <w:kinsoku w:val="true"/>
        <w:overflowPunct w:val="true"/>
        <w:autoSpaceDE w:val="true"/>
        <w:bidi w:val="0"/>
        <w:snapToGrid w:val="true"/>
        <w:spacing w:lineRule="atLeast" w:line="240"/>
        <w:ind w:firstLineChars="200" w:startChars="0" w:start="0" w:endChars="0" w:end="0"/>
        <w:textAlignment w:val="auto"/>
        <w:rPr>
          <w:rFonts w:cs="仿宋_GB2312"/>
          <w:szCs w:val="32"/>
        </w:rPr>
      </w:pPr>
      <w:r>
        <w:rPr>
          <w:rFonts w:cs="仿宋_GB2312" w:hint="eastAsia"/>
          <w:szCs w:val="32"/>
        </w:rPr>
        <w:t>本市支持将中华老字号和津门老字号中符合条件的传统技艺申报为非物质文化遗产代表性项目；支持符合条件的非物质文化遗产代表性项目申报中华老字号和津门老字号，推动生产性保护。</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rPr>
      </w:pPr>
      <w:r>
        <w:rPr>
          <w:rFonts w:cs="黑体" w:hint="eastAsia" w:eastAsia="黑体"/>
          <w:szCs w:val="32"/>
        </w:rPr>
        <w:t>第二十七条　</w:t>
      </w:r>
      <w:r>
        <w:rPr>
          <w:rFonts w:cs="仿宋_GB2312" w:hint="eastAsia"/>
          <w:bCs/>
          <w:szCs w:val="32"/>
        </w:rPr>
        <w:t>对非物质文化遗产代表性项目集中、特色鲜明，形式和内涵保持完整的村镇、街区或者特定区域，文化主管部门可以制定专项保护规划，报本级人民政府批准后，实行区域性整体保护。</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rPr>
      </w:pPr>
      <w:r>
        <w:rPr>
          <w:rFonts w:cs="仿宋_GB2312" w:hint="eastAsia"/>
          <w:bCs/>
          <w:szCs w:val="32"/>
        </w:rPr>
        <w:t>实行区域性整体保护应当尊重当地居民的意愿，保护属于非物质文化遗产组成部分的实物及其依存的建（构）筑物、场所、遗址和遗迹。</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rPr>
      </w:pPr>
      <w:r>
        <w:rPr>
          <w:rFonts w:cs="仿宋_GB2312" w:hint="eastAsia"/>
          <w:bCs/>
          <w:szCs w:val="32"/>
        </w:rPr>
        <w:t>实行区域性整体保护的，应当设立非物质文化遗产展示场所。</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rPr>
      </w:pPr>
      <w:r>
        <w:rPr>
          <w:rFonts w:cs="仿宋_GB2312" w:hint="eastAsia"/>
          <w:bCs/>
          <w:szCs w:val="32"/>
        </w:rPr>
        <w:t>鼓励有条件的区域发展符合其特色的旅游活动，并从旅游门票收入中安排一定资金，用于区域内非物质文化遗产代表性项目的保护。</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rPr>
      </w:pPr>
      <w:r>
        <w:rPr>
          <w:rFonts w:cs="黑体" w:hint="eastAsia" w:eastAsia="黑体"/>
          <w:szCs w:val="32"/>
        </w:rPr>
        <w:t>第二十八条　</w:t>
      </w:r>
      <w:r>
        <w:rPr>
          <w:rFonts w:cs="仿宋_GB2312" w:hint="eastAsia"/>
          <w:bCs/>
          <w:szCs w:val="32"/>
        </w:rPr>
        <w:t>本市鼓励和支持发挥非物质文化遗产的特殊优势，在充分保护、合理利用的前提下，将非物质文化遗产转化为文化产品和文化服务。</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rPr>
      </w:pPr>
      <w:r>
        <w:rPr>
          <w:rFonts w:cs="仿宋_GB2312" w:hint="eastAsia"/>
          <w:bCs/>
          <w:szCs w:val="32"/>
        </w:rPr>
        <w:t>利用非物质文化遗产进行艺术创作、宣传出版、产品开发、旅游开发等活动，应当尊重其传统形式和文化内涵，不得进行歪曲、贬损、滥用和过度开发。</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 w:hint="eastAsia"/>
          <w:szCs w:val="32"/>
        </w:rPr>
      </w:pPr>
      <w:r>
        <w:rPr>
          <w:rFonts w:cs="黑体" w:hint="eastAsia" w:eastAsia="黑体"/>
          <w:szCs w:val="32"/>
        </w:rPr>
        <w:t>第二十九条</w:t>
      </w:r>
      <w:r>
        <w:rPr>
          <w:rFonts w:cs="仿宋_GB2312" w:hint="eastAsia"/>
          <w:szCs w:val="32"/>
        </w:rPr>
        <w:t>　</w:t>
      </w:r>
      <w:r>
        <w:rPr>
          <w:rFonts w:cs="仿宋" w:hint="eastAsia"/>
          <w:szCs w:val="32"/>
        </w:rPr>
        <w:t>本市鼓励和支持高等学校、研究机构与文化主管部门合作开展专题研究、学术交流、田野调查、信息</w:t>
      </w:r>
      <w:r>
        <w:rPr>
          <w:rFonts w:cs="仿宋"/>
          <w:szCs w:val="32"/>
        </w:rPr>
        <w:t>采集</w:t>
      </w:r>
      <w:r>
        <w:rPr>
          <w:rFonts w:cs="仿宋" w:hint="eastAsia"/>
          <w:szCs w:val="32"/>
        </w:rPr>
        <w:t>等，加强非物质文化遗产保护工作。</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
          <w:szCs w:val="32"/>
        </w:rPr>
      </w:pPr>
      <w:r>
        <w:rPr>
          <w:rFonts w:cs="仿宋" w:hint="eastAsia"/>
          <w:szCs w:val="32"/>
        </w:rPr>
        <w:t>教育、人力社保、文化等行政管理部门应当支持高等学校和中等职业学校开展非物质文化遗产相关学科和专业建设，推进产学研融合；加强非物质文化遗产职业教育和技能培训，推行现代学徒制，培养非物质文化遗产专业人才。</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jc w:val="center"/>
        <w:textAlignment w:val="auto"/>
        <w:rPr>
          <w:rFonts w:cs="黑体" w:hint="eastAsia"/>
          <w:sz w:val="28"/>
          <w:szCs w:val="28"/>
        </w:rPr>
      </w:pPr>
      <w:r>
        <w:rPr>
          <w:rFonts w:cs="黑体" w:hint="eastAsia"/>
          <w:sz w:val="28"/>
          <w:szCs w:val="28"/>
        </w:rPr>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jc w:val="center"/>
        <w:textAlignment w:val="auto"/>
        <w:rPr>
          <w:rFonts w:eastAsia="黑体" w:cs="黑体" w:hint="eastAsia"/>
          <w:szCs w:val="32"/>
        </w:rPr>
      </w:pPr>
      <w:r>
        <w:rPr>
          <w:rFonts w:cs="黑体" w:hint="eastAsia" w:eastAsia="黑体"/>
          <w:szCs w:val="32"/>
        </w:rPr>
        <w:t>第五章　传播与交流</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rPr>
      </w:pPr>
      <w:r>
        <w:rPr>
          <w:rFonts w:cs="黑体" w:hint="eastAsia" w:eastAsia="黑体"/>
          <w:szCs w:val="32"/>
        </w:rPr>
        <w:t>第三十条</w:t>
      </w:r>
      <w:r>
        <w:rPr>
          <w:rFonts w:cs="仿宋_GB2312" w:hint="eastAsia"/>
          <w:szCs w:val="32"/>
        </w:rPr>
        <w:t>　</w:t>
      </w:r>
      <w:r>
        <w:rPr>
          <w:rFonts w:cs="仿宋_GB2312" w:hint="eastAsia"/>
          <w:bCs/>
          <w:szCs w:val="32"/>
        </w:rPr>
        <w:t>市和区人民政府应当加强对非物质文化遗产保护工作的宣传，增强全社会保护非物质文化遗产的意识。</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rPr>
      </w:pPr>
      <w:r>
        <w:rPr>
          <w:rFonts w:cs="仿宋_GB2312" w:hint="eastAsia"/>
          <w:bCs/>
          <w:szCs w:val="32"/>
        </w:rPr>
        <w:t>文化主管部门及其他有关部门应当结合民间习俗、传统节庆、文化和自然遗产日活动等，宣传、展示非物质文化遗产。</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rPr>
      </w:pPr>
      <w:r>
        <w:rPr>
          <w:rFonts w:cs="黑体" w:hint="eastAsia" w:eastAsia="黑体"/>
          <w:szCs w:val="32"/>
        </w:rPr>
        <w:t>第三十一条　</w:t>
      </w:r>
      <w:r>
        <w:rPr>
          <w:rFonts w:cs="仿宋_GB2312" w:hint="eastAsia"/>
          <w:bCs/>
          <w:szCs w:val="32"/>
        </w:rPr>
        <w:t>公共图书馆、文化馆、博物馆、科技馆、美术馆、工人文化宫、青少年宫等公共文化机构，以及利用财政资金设立的文艺表演团体、演出场所等经营性文化单位，应当根据各自业务范围，宣传、展示非物质文化遗产代表性项目。</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rPr>
      </w:pPr>
      <w:r>
        <w:rPr>
          <w:rFonts w:cs="黑体" w:hint="eastAsia" w:eastAsia="黑体"/>
          <w:szCs w:val="32"/>
        </w:rPr>
        <w:t>第三十二条</w:t>
      </w:r>
      <w:r>
        <w:rPr>
          <w:rFonts w:cs="仿宋_GB2312" w:hint="eastAsia"/>
          <w:bCs/>
          <w:szCs w:val="32"/>
        </w:rPr>
        <w:t>　教育主管部门应当支持非物质文化遗产进校园活动，将非物质文化遗产知识融入相关课程。</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rPr>
      </w:pPr>
      <w:r>
        <w:rPr>
          <w:rFonts w:cs="仿宋_GB2312" w:hint="eastAsia"/>
          <w:bCs/>
          <w:szCs w:val="32"/>
        </w:rPr>
        <w:t>学校开展非物质文化遗产教育活动，可以邀请非物质文化遗产代表性项目的代表性传承人、保护单位参加，教育、文化主管部门应当给予支持。</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rPr>
      </w:pPr>
      <w:r>
        <w:rPr>
          <w:rFonts w:cs="仿宋_GB2312" w:hint="eastAsia"/>
          <w:bCs/>
          <w:szCs w:val="32"/>
        </w:rPr>
        <w:t>教育主管部门应当支持学校将非物质文化遗产代表性项目融入优秀传统文化特色学校建设。</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rPr>
      </w:pPr>
      <w:r>
        <w:rPr>
          <w:rFonts w:cs="黑体" w:hint="eastAsia" w:eastAsia="黑体"/>
          <w:szCs w:val="32"/>
        </w:rPr>
        <w:t>第三十三条　</w:t>
      </w:r>
      <w:r>
        <w:rPr>
          <w:rFonts w:cs="仿宋_GB2312" w:hint="eastAsia"/>
          <w:bCs/>
          <w:szCs w:val="32"/>
        </w:rPr>
        <w:t>报刊、广播、电视及</w:t>
      </w:r>
      <w:r>
        <w:rPr>
          <w:rFonts w:cs="仿宋_GB2312"/>
          <w:bCs/>
          <w:szCs w:val="32"/>
        </w:rPr>
        <w:t>网络</w:t>
      </w:r>
      <w:r>
        <w:rPr>
          <w:rFonts w:cs="仿宋_GB2312" w:hint="eastAsia"/>
          <w:bCs/>
          <w:szCs w:val="32"/>
        </w:rPr>
        <w:t>媒体应当通过专题、专栏和公益广告等形式，普及非物质文化遗产知识。</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szCs w:val="32"/>
        </w:rPr>
      </w:pPr>
      <w:r>
        <w:rPr>
          <w:rFonts w:cs="黑体" w:hint="eastAsia" w:eastAsia="黑体"/>
          <w:szCs w:val="32"/>
        </w:rPr>
        <w:t>第三十四条　</w:t>
      </w:r>
      <w:r>
        <w:rPr>
          <w:rFonts w:cs="仿宋_GB2312" w:hint="eastAsia"/>
          <w:szCs w:val="32"/>
        </w:rPr>
        <w:t>本市鼓励和支持公民、法人和其他组织依法设立展示、传承场所，宣传、展示非物质文化遗产代表性项目，开展非物质文化遗产代表性项目传承、传播等活动。</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szCs w:val="32"/>
        </w:rPr>
      </w:pPr>
      <w:r>
        <w:rPr>
          <w:rFonts w:cs="仿宋_GB2312" w:hint="eastAsia"/>
          <w:szCs w:val="32"/>
        </w:rPr>
        <w:t>本市鼓励、倡导公民、法人和其他组织整理、翻译、出版非物质文化遗产代表性项目的原始文献、典籍、资料等。</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szCs w:val="32"/>
        </w:rPr>
      </w:pPr>
      <w:r>
        <w:rPr>
          <w:rFonts w:ascii="黑体" w:hAnsi="黑体" w:cs="黑体" w:hint="eastAsia" w:eastAsia="黑体"/>
          <w:szCs w:val="32"/>
        </w:rPr>
        <w:t>第三十五条　</w:t>
      </w:r>
      <w:r>
        <w:rPr>
          <w:rFonts w:cs="仿宋_GB2312" w:hint="eastAsia"/>
          <w:szCs w:val="32"/>
        </w:rPr>
        <w:t>市和区人民政府及其有关部门应当支持社区将非物质文化遗产融入社区文化建设。</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szCs w:val="32"/>
        </w:rPr>
      </w:pPr>
      <w:r>
        <w:rPr>
          <w:rFonts w:cs="仿宋_GB2312" w:hint="eastAsia"/>
          <w:szCs w:val="32"/>
        </w:rPr>
        <w:t>鼓励有条件的基层综合性文化中心通过提供展示设施、设立工作室、组织活动、建立合作平台等方式，为非物质文化遗产的宣传、展示、交流等提供条件。</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szCs w:val="32"/>
        </w:rPr>
      </w:pPr>
      <w:r>
        <w:rPr>
          <w:rFonts w:cs="仿宋_GB2312" w:hint="eastAsia"/>
          <w:szCs w:val="32"/>
        </w:rPr>
        <w:t>鼓励项目保护单位在社区开展非物质文化遗产宣传、展示、交流等活动。</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rPr>
      </w:pPr>
      <w:r>
        <w:rPr>
          <w:rFonts w:cs="黑体" w:hint="eastAsia" w:eastAsia="黑体"/>
          <w:szCs w:val="32"/>
        </w:rPr>
        <w:t>第三十六条　</w:t>
      </w:r>
      <w:r>
        <w:rPr>
          <w:rFonts w:cs="仿宋_GB2312" w:hint="eastAsia"/>
          <w:bCs/>
          <w:szCs w:val="32"/>
        </w:rPr>
        <w:t>本市推动京津冀非物质文化遗产传承人才培养机制建设，开展京津冀三地传承人巡回讲习、展演、交流研讨等活动。</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bCs/>
          <w:szCs w:val="32"/>
        </w:rPr>
      </w:pPr>
      <w:r>
        <w:rPr>
          <w:rFonts w:cs="仿宋_GB2312" w:hint="eastAsia"/>
          <w:bCs/>
          <w:szCs w:val="32"/>
        </w:rPr>
        <w:t>本市推动大运河文化带建设，开展跨区域非物质文化遗产交流活动，培育知名文化活动品牌。</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bdr w:val="single" w:sz="4" w:space="0" w:color="000000"/>
        </w:rPr>
      </w:pPr>
      <w:r>
        <w:rPr>
          <w:rFonts w:cs="黑体" w:hint="eastAsia" w:eastAsia="黑体"/>
          <w:szCs w:val="32"/>
        </w:rPr>
        <w:t>第三十七条</w:t>
      </w:r>
      <w:r>
        <w:rPr>
          <w:rFonts w:hint="eastAsia" w:eastAsia="黑体"/>
          <w:bCs/>
          <w:szCs w:val="32"/>
        </w:rPr>
        <w:t>　</w:t>
      </w:r>
      <w:r>
        <w:rPr>
          <w:rFonts w:hint="eastAsia"/>
          <w:bCs/>
          <w:szCs w:val="32"/>
        </w:rPr>
        <w:t>本市</w:t>
      </w:r>
      <w:r>
        <w:rPr>
          <w:rFonts w:cs="仿宋_GB2312" w:hint="eastAsia"/>
          <w:bCs/>
          <w:szCs w:val="32"/>
        </w:rPr>
        <w:t>推动非物质文化遗产代表性项目保护单位、传承人群和行业组织开展国际交流合作，加强与“一带一路”沿线国家和地区非物质文化遗产保护的研究、交流与合作，创新合作模式，联合打造特色文化交流品牌。</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eastAsia="黑体" w:cs="仿宋_GB2312" w:hint="eastAsia"/>
          <w:bCs/>
          <w:szCs w:val="32"/>
        </w:rPr>
      </w:pPr>
      <w:r>
        <w:rPr>
          <w:rFonts w:cs="黑体" w:hint="eastAsia" w:eastAsia="黑体"/>
          <w:szCs w:val="32"/>
        </w:rPr>
        <w:t>第三十八条　</w:t>
      </w:r>
      <w:r>
        <w:rPr>
          <w:rFonts w:cs="仿宋_GB2312" w:hint="eastAsia"/>
          <w:bCs/>
          <w:szCs w:val="32"/>
        </w:rPr>
        <w:t>文化主管部门应当引导、扶持设立非物质文化遗产代表性项目保护示范基地，集中宣传、展示、传承、传播非物质文化遗产代表性项目，推进产学研合作，发挥示范、引领作用。</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eastAsia="黑体" w:cs="仿宋_GB2312" w:hint="eastAsia"/>
          <w:bCs/>
          <w:sz w:val="28"/>
          <w:szCs w:val="28"/>
        </w:rPr>
      </w:pPr>
      <w:r>
        <w:rPr>
          <w:rFonts w:eastAsia="黑体" w:cs="仿宋_GB2312" w:hint="eastAsia"/>
          <w:bCs/>
          <w:sz w:val="28"/>
          <w:szCs w:val="28"/>
        </w:rPr>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jc w:val="center"/>
        <w:textAlignment w:val="auto"/>
        <w:rPr>
          <w:rFonts w:eastAsia="黑体" w:cs="黑体" w:hint="eastAsia"/>
          <w:szCs w:val="32"/>
        </w:rPr>
      </w:pPr>
      <w:r>
        <w:rPr>
          <w:rFonts w:cs="黑体" w:hint="eastAsia" w:eastAsia="黑体"/>
          <w:szCs w:val="32"/>
        </w:rPr>
        <w:t>第六章　保障措施</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rPr>
      </w:pPr>
      <w:r>
        <w:rPr>
          <w:rFonts w:cs="黑体" w:hint="eastAsia" w:eastAsia="黑体"/>
          <w:szCs w:val="32"/>
        </w:rPr>
        <w:t>第三十九条</w:t>
      </w:r>
      <w:r>
        <w:rPr>
          <w:rFonts w:cs="仿宋_GB2312" w:hint="eastAsia" w:eastAsia="黑体"/>
          <w:bCs/>
          <w:szCs w:val="32"/>
        </w:rPr>
        <w:t>　</w:t>
      </w:r>
      <w:r>
        <w:rPr>
          <w:rFonts w:cs="仿宋_GB2312" w:hint="eastAsia"/>
          <w:bCs/>
          <w:szCs w:val="32"/>
        </w:rPr>
        <w:t>市和区人民政府应当将非物质文化遗产保护经费列入本级财政预算，并保持与经济发展整体水平和政府财力增长相适应。</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bdr w:val="single" w:sz="4" w:space="0" w:color="000000"/>
        </w:rPr>
      </w:pPr>
      <w:r>
        <w:rPr>
          <w:rFonts w:cs="黑体" w:hint="eastAsia" w:eastAsia="黑体"/>
          <w:szCs w:val="32"/>
        </w:rPr>
        <w:t>第四十条</w:t>
      </w:r>
      <w:r>
        <w:rPr>
          <w:rFonts w:cs="仿宋_GB2312" w:hint="eastAsia"/>
          <w:bCs/>
          <w:sz w:val="28"/>
          <w:szCs w:val="28"/>
        </w:rPr>
        <w:t>　</w:t>
      </w:r>
      <w:r>
        <w:rPr>
          <w:rFonts w:cs="仿宋_GB2312" w:hint="eastAsia"/>
          <w:bCs/>
          <w:szCs w:val="32"/>
        </w:rPr>
        <w:t>文化主管部门应当确定本级非物质文化遗产保护机构，合理配备工作人员，指导其开展非物质文化遗产的挖掘、整理、宣传、传播等工作。</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黑体" w:hint="eastAsia"/>
          <w:color w:val="FF0000"/>
          <w:szCs w:val="32"/>
        </w:rPr>
      </w:pPr>
      <w:r>
        <w:rPr>
          <w:rFonts w:cs="黑体" w:hint="eastAsia" w:eastAsia="黑体"/>
          <w:szCs w:val="32"/>
        </w:rPr>
        <w:t>第四十一条</w:t>
      </w:r>
      <w:r>
        <w:rPr>
          <w:rFonts w:cs="黑体" w:hint="eastAsia"/>
          <w:szCs w:val="32"/>
        </w:rPr>
        <w:t>　市和区人民政府应当加强非物质文化遗产展示、传承和交流场所建设，根据需要建设非物质文化遗产专题公共文化设施，或者在公共文化机构内设立专门展厅。</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eastAsia="黑体" w:cs="仿宋_GB2312" w:hint="eastAsia"/>
          <w:bCs/>
          <w:szCs w:val="32"/>
        </w:rPr>
      </w:pPr>
      <w:r>
        <w:rPr>
          <w:rFonts w:cs="黑体" w:hint="eastAsia" w:eastAsia="黑体"/>
          <w:szCs w:val="32"/>
        </w:rPr>
        <w:t>第四十二条　</w:t>
      </w:r>
      <w:r>
        <w:rPr>
          <w:rFonts w:hint="eastAsia"/>
          <w:szCs w:val="32"/>
        </w:rPr>
        <w:t>本市</w:t>
      </w:r>
      <w:r>
        <w:rPr>
          <w:rFonts w:cs="仿宋_GB2312" w:hint="eastAsia"/>
          <w:bCs/>
          <w:szCs w:val="32"/>
        </w:rPr>
        <w:t>鼓励和支持非物质文化遗产代表性项目的传承人、保护单位通过申请专利、注册商标、申报地理标志、登记版权等方式</w:t>
      </w:r>
      <w:r>
        <w:rPr>
          <w:rFonts w:ascii="黑体" w:hAnsi="黑体" w:cs="仿宋_GB2312" w:hint="eastAsia" w:eastAsia="黑体"/>
          <w:bCs/>
          <w:szCs w:val="32"/>
        </w:rPr>
        <w:t>，</w:t>
      </w:r>
      <w:r>
        <w:rPr>
          <w:rFonts w:cs="仿宋_GB2312" w:hint="eastAsia"/>
          <w:bCs/>
          <w:szCs w:val="32"/>
        </w:rPr>
        <w:t>对非物质文化遗产代表性项目进行知识产权保护。</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rPr>
      </w:pPr>
      <w:r>
        <w:rPr>
          <w:rFonts w:cs="黑体" w:hint="eastAsia" w:eastAsia="黑体"/>
          <w:szCs w:val="32"/>
        </w:rPr>
        <w:t>第四十三条　</w:t>
      </w:r>
      <w:r>
        <w:rPr>
          <w:rFonts w:cs="仿宋_GB2312" w:hint="eastAsia"/>
          <w:bCs/>
          <w:szCs w:val="32"/>
        </w:rPr>
        <w:t>本市鼓励公民、法人和其他组织通过捐赠非物质文化遗产相关资料、实物和保护资金等方式，支持非物质文化遗产保护工作。接受捐赠的单位应当建立健全登记入库、管理使用等制度，妥善管理和使用有关资料、物品和资金。</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rPr>
      </w:pPr>
      <w:r>
        <w:rPr>
          <w:rFonts w:cs="仿宋_GB2312" w:hint="eastAsia"/>
          <w:bCs/>
          <w:szCs w:val="32"/>
        </w:rPr>
        <w:t>本市鼓励志愿者、志愿服务组织开展与非物质文化遗产保护相关的志愿服务活动。</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rPr>
      </w:pPr>
      <w:r>
        <w:rPr>
          <w:rFonts w:cs="黑体" w:hint="eastAsia" w:eastAsia="黑体"/>
          <w:szCs w:val="32"/>
        </w:rPr>
        <w:t>第四十四条　</w:t>
      </w:r>
      <w:r>
        <w:rPr>
          <w:rFonts w:cs="仿宋_GB2312" w:hint="eastAsia"/>
          <w:bCs/>
          <w:szCs w:val="32"/>
        </w:rPr>
        <w:t>文化主管部门应当建立非物质文化遗产保护评估机制，组织对本级非物质文化遗产代表性项目保护单位开展保护工作情况和代表性传承人开展传承情况进行评估，并向社会公开评估结果。评估</w:t>
      </w:r>
      <w:r>
        <w:rPr>
          <w:rFonts w:cs="仿宋_GB2312"/>
          <w:bCs/>
          <w:szCs w:val="32"/>
        </w:rPr>
        <w:t>结果可以作为对保护单位和传承人表彰、奖励的依据。</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rPr>
      </w:pPr>
      <w:r>
        <w:rPr>
          <w:rFonts w:cs="仿宋_GB2312" w:hint="eastAsia"/>
          <w:bCs/>
          <w:szCs w:val="32"/>
        </w:rPr>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jc w:val="center"/>
        <w:textAlignment w:val="auto"/>
        <w:rPr>
          <w:rFonts w:eastAsia="黑体" w:cs="黑体" w:hint="eastAsia"/>
          <w:szCs w:val="32"/>
        </w:rPr>
      </w:pPr>
      <w:r>
        <w:rPr>
          <w:rFonts w:cs="黑体" w:hint="eastAsia" w:eastAsia="黑体"/>
          <w:szCs w:val="32"/>
        </w:rPr>
        <w:t>第七章　法律责任</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rPr>
      </w:pPr>
      <w:r>
        <w:rPr>
          <w:rFonts w:cs="黑体" w:hint="eastAsia" w:eastAsia="黑体"/>
          <w:szCs w:val="32"/>
        </w:rPr>
        <w:t>第四十五条</w:t>
      </w:r>
      <w:r>
        <w:rPr>
          <w:rFonts w:cs="仿宋_GB2312" w:hint="eastAsia"/>
          <w:bCs/>
          <w:szCs w:val="32"/>
        </w:rPr>
        <w:t>　违反本条例规定，《中华人民共和国非物质文化遗产法》及其他有关法律、行政法规已有处罚规定的，从其规定。</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rPr>
      </w:pPr>
      <w:r>
        <w:rPr>
          <w:rFonts w:cs="黑体" w:hint="eastAsia" w:eastAsia="黑体"/>
          <w:szCs w:val="32"/>
        </w:rPr>
        <w:t>第四十六条　</w:t>
      </w:r>
      <w:r>
        <w:rPr>
          <w:rFonts w:cs="仿宋_GB2312" w:hint="eastAsia"/>
          <w:bCs/>
          <w:szCs w:val="32"/>
        </w:rPr>
        <w:t>文化主管部门、其他有关部门及其工作人员违反本条例规定，有下列行为之一的，对直接负责的主管人员和其他直接责任人员依法给予处分；构成犯罪的，依法追究刑事责任：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rPr>
      </w:pPr>
      <w:r>
        <w:rPr>
          <w:rFonts w:cs="仿宋_GB2312" w:hint="eastAsia"/>
          <w:bCs/>
          <w:szCs w:val="32"/>
        </w:rPr>
        <w:t>（一）未按照本条例规定组织评审非物质文化遗产代表性项目、认定代表性传承人的；</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rPr>
      </w:pPr>
      <w:r>
        <w:rPr>
          <w:rFonts w:cs="仿宋_GB2312" w:hint="eastAsia"/>
          <w:bCs/>
          <w:szCs w:val="32"/>
        </w:rPr>
        <w:t>（二）挪用、挤占非物质文化遗产保护经费的；</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rPr>
      </w:pPr>
      <w:r>
        <w:rPr>
          <w:rFonts w:cs="仿宋_GB2312" w:hint="eastAsia"/>
          <w:bCs/>
          <w:szCs w:val="32"/>
        </w:rPr>
        <w:t>（三）</w:t>
      </w:r>
      <w:r>
        <w:rPr>
          <w:rFonts w:cs="宋体" w:hint="eastAsia"/>
          <w:kern w:val="0"/>
          <w:szCs w:val="32"/>
          <w:lang w:val="zh-CN"/>
        </w:rPr>
        <w:t>未履行</w:t>
      </w:r>
      <w:r>
        <w:rPr>
          <w:rFonts w:cs="仿宋_GB2312" w:hint="eastAsia"/>
          <w:bCs/>
          <w:szCs w:val="32"/>
        </w:rPr>
        <w:t>非物质文化遗产保护的其他</w:t>
      </w:r>
      <w:r>
        <w:rPr>
          <w:rFonts w:cs="宋体" w:hint="eastAsia"/>
          <w:kern w:val="0"/>
          <w:szCs w:val="32"/>
          <w:lang w:val="zh-CN"/>
        </w:rPr>
        <w:t>职责，并造成重大损失的</w:t>
      </w:r>
      <w:r>
        <w:rPr>
          <w:rFonts w:cs="仿宋_GB2312" w:hint="eastAsia"/>
          <w:bCs/>
          <w:szCs w:val="32"/>
        </w:rPr>
        <w:t>。</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hint="eastAsia"/>
          <w:szCs w:val="32"/>
        </w:rPr>
      </w:pPr>
      <w:r>
        <w:rPr>
          <w:rFonts w:cs="黑体" w:hint="eastAsia" w:eastAsia="黑体"/>
          <w:szCs w:val="32"/>
        </w:rPr>
        <w:t>第四十七条　</w:t>
      </w:r>
      <w:r>
        <w:rPr>
          <w:rFonts w:cs="仿宋_GB2312" w:hint="eastAsia"/>
          <w:bCs/>
          <w:szCs w:val="32"/>
        </w:rPr>
        <w:t>违反本条例第十条规定的，</w:t>
      </w:r>
      <w:r>
        <w:rPr>
          <w:rFonts w:hint="eastAsia"/>
          <w:szCs w:val="32"/>
        </w:rPr>
        <w:t>由有关部门依法处理；构成犯罪的，依法追究刑事责任。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rPr>
      </w:pPr>
      <w:r>
        <w:rPr>
          <w:rFonts w:cs="黑体" w:hint="eastAsia" w:eastAsia="黑体"/>
          <w:szCs w:val="32"/>
        </w:rPr>
        <w:t>第四十八条　</w:t>
      </w:r>
      <w:r>
        <w:rPr>
          <w:rFonts w:cs="仿宋_GB2312" w:hint="eastAsia"/>
          <w:bCs/>
          <w:szCs w:val="32"/>
        </w:rPr>
        <w:t>公民、法人和其他组织在申报非物质文化遗产代表性项目或者代表性传承人的过程中弄虚作假的，由文化主管部门取消其参评资格；已被评定、认定为非物质文化遗产代表性项目或者代表性传承人的，取消其资格。</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rPr>
      </w:pPr>
      <w:r>
        <w:rPr>
          <w:rFonts w:cs="黑体" w:hint="eastAsia" w:eastAsia="黑体"/>
          <w:szCs w:val="32"/>
        </w:rPr>
        <w:t>第四十九条　</w:t>
      </w:r>
      <w:r>
        <w:rPr>
          <w:rFonts w:cs="仿宋_GB2312" w:hint="eastAsia"/>
          <w:bCs/>
          <w:szCs w:val="32"/>
        </w:rPr>
        <w:t>非物质文化遗产代表性项目保护单位或者代表性传承人有下列行为之一的，文化主管部门应当责令其限期整改；逾期不改正的，可以变更其保护单位、取消代表性传承人资格：</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rPr>
      </w:pPr>
      <w:r>
        <w:rPr>
          <w:rFonts w:cs="仿宋_GB2312" w:hint="eastAsia"/>
          <w:bCs/>
          <w:szCs w:val="32"/>
        </w:rPr>
        <w:t>（一）无正当理由不履行义务的；</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rPr>
      </w:pPr>
      <w:r>
        <w:rPr>
          <w:rFonts w:cs="仿宋_GB2312" w:hint="eastAsia"/>
          <w:bCs/>
          <w:szCs w:val="32"/>
        </w:rPr>
        <w:t>（二）歪曲非物质文化遗产代表性项目内涵的；</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rPr>
      </w:pPr>
      <w:r>
        <w:rPr>
          <w:rFonts w:cs="仿宋_GB2312" w:hint="eastAsia"/>
          <w:bCs/>
          <w:szCs w:val="32"/>
        </w:rPr>
        <w:t>（三）贬损非物质文化遗产代表性项目价值的；</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rPr>
      </w:pPr>
      <w:r>
        <w:rPr>
          <w:rFonts w:cs="仿宋_GB2312" w:hint="eastAsia"/>
          <w:bCs/>
          <w:szCs w:val="32"/>
        </w:rPr>
        <w:t>（四）滥用非物质文化遗产代表性项目或者过度开发的。</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jc w:val="center"/>
        <w:textAlignment w:val="auto"/>
        <w:rPr>
          <w:rFonts w:cs="黑体" w:hint="eastAsia"/>
          <w:bCs/>
          <w:sz w:val="28"/>
          <w:szCs w:val="28"/>
        </w:rPr>
      </w:pPr>
      <w:r>
        <w:rPr>
          <w:rFonts w:cs="黑体" w:hint="eastAsia"/>
          <w:bCs/>
          <w:sz w:val="28"/>
          <w:szCs w:val="28"/>
        </w:rPr>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jc w:val="center"/>
        <w:textAlignment w:val="auto"/>
        <w:rPr>
          <w:rFonts w:eastAsia="黑体" w:cs="黑体" w:hint="eastAsia"/>
          <w:szCs w:val="32"/>
        </w:rPr>
      </w:pPr>
      <w:r>
        <w:rPr>
          <w:rFonts w:cs="黑体" w:hint="eastAsia" w:eastAsia="黑体"/>
          <w:szCs w:val="32"/>
        </w:rPr>
        <w:t>第八章　附　则</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rFonts w:cs="仿宋_GB2312" w:hint="eastAsia"/>
          <w:bCs/>
          <w:szCs w:val="32"/>
        </w:rPr>
      </w:pPr>
      <w:r>
        <w:rPr>
          <w:rFonts w:cs="黑体" w:hint="eastAsia" w:eastAsia="黑体"/>
          <w:szCs w:val="32"/>
        </w:rPr>
        <w:t>第五十条　</w:t>
      </w:r>
      <w:r>
        <w:rPr>
          <w:rFonts w:cs="仿宋_GB2312" w:hint="eastAsia"/>
          <w:bCs/>
          <w:szCs w:val="32"/>
        </w:rPr>
        <w:t>对传统医药、传统工艺美术等的保护，其他法律、行政法规另有规定的，依照其规定执行。</w:t>
      </w:r>
    </w:p>
    <w:p>
      <w:pPr>
        <w:pStyle w:val="Normal"/>
        <w:keepNext w:val="false"/>
        <w:keepLines w:val="false"/>
        <w:pageBreakBefore w:val="false"/>
        <w:widowControl w:val="false"/>
        <w:kinsoku w:val="true"/>
        <w:overflowPunct w:val="true"/>
        <w:autoSpaceDE w:val="true"/>
        <w:bidi w:val="0"/>
        <w:snapToGrid w:val="true"/>
        <w:spacing w:lineRule="atLeast" w:line="240"/>
        <w:ind w:firstLineChars="200" w:startChars="0" w:start="0" w:endChars="0" w:end="0"/>
        <w:textAlignment w:val="auto"/>
        <w:rPr/>
      </w:pPr>
      <w:r>
        <w:rPr>
          <w:rFonts w:cs="黑体" w:hint="eastAsia" w:eastAsia="黑体"/>
          <w:szCs w:val="32"/>
        </w:rPr>
        <w:t>第五十一条　</w:t>
      </w:r>
      <w:r>
        <w:rPr>
          <w:rFonts w:cs="仿宋_GB2312" w:hint="eastAsia"/>
          <w:bCs/>
          <w:szCs w:val="32"/>
        </w:rPr>
        <w:t>本条</w:t>
      </w:r>
      <w:r>
        <w:rPr>
          <w:rFonts w:ascii="仿宋_GB2312" w:hAnsi="仿宋_GB2312" w:cs="仿宋_GB2312" w:hint="eastAsia"/>
          <w:bCs/>
          <w:szCs w:val="32"/>
        </w:rPr>
        <w:t>例自</w:t>
      </w:r>
      <w:r>
        <w:rPr>
          <w:rFonts w:cs="仿宋_GB2312" w:hint="eastAsia" w:ascii="仿宋_GB2312" w:hAnsi="仿宋_GB2312"/>
          <w:bCs/>
          <w:szCs w:val="32"/>
        </w:rPr>
        <w:t>2019</w:t>
      </w:r>
      <w:r>
        <w:rPr>
          <w:rFonts w:ascii="仿宋_GB2312" w:hAnsi="仿宋_GB2312" w:cs="仿宋_GB2312" w:hint="eastAsia"/>
          <w:bCs/>
          <w:szCs w:val="32"/>
        </w:rPr>
        <w:t>年</w:t>
      </w:r>
      <w:r>
        <w:rPr>
          <w:rFonts w:cs="仿宋_GB2312" w:hint="eastAsia" w:ascii="仿宋_GB2312" w:hAnsi="仿宋_GB2312"/>
          <w:bCs/>
          <w:szCs w:val="32"/>
        </w:rPr>
        <w:t>1</w:t>
      </w:r>
      <w:r>
        <w:rPr>
          <w:rFonts w:ascii="仿宋_GB2312" w:hAnsi="仿宋_GB2312" w:cs="仿宋_GB2312" w:hint="eastAsia"/>
          <w:bCs/>
          <w:szCs w:val="32"/>
        </w:rPr>
        <w:t>月</w:t>
      </w:r>
      <w:r>
        <w:rPr>
          <w:rFonts w:cs="仿宋_GB2312" w:hint="eastAsia" w:ascii="仿宋_GB2312" w:hAnsi="仿宋_GB2312"/>
          <w:bCs/>
          <w:szCs w:val="32"/>
        </w:rPr>
        <w:t>1</w:t>
      </w:r>
      <w:r>
        <w:rPr>
          <w:rFonts w:ascii="仿宋_GB2312" w:hAnsi="仿宋_GB2312" w:cs="仿宋_GB2312" w:hint="eastAsia"/>
          <w:bCs/>
          <w:szCs w:val="32"/>
        </w:rPr>
        <w:t>日起施行。</w:t>
      </w:r>
    </w:p>
    <w:sectPr>
      <w:headerReference w:type="default" r:id="rId2"/>
      <w:footerReference w:type="default" r:id="rId3"/>
      <w:type w:val="nextPage"/>
      <w:pgSz w:w="11906" w:h="16838"/>
      <w:pgMar w:left="1531" w:right="1531" w:gutter="0" w:header="851" w:top="2098" w:footer="1134"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0" w:characterSet="windows-1252"/>
    <w:family w:val="swiss"/>
    <w:pitch w:val="default"/>
  </w:font>
  <w:font w:name="Tahoma">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仿宋_GB2312">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仿宋_GB2312" w:hAnsi="仿宋_GB2312" w:hint="eastAsia"/>
        <w:sz w:val="24"/>
        <w:szCs w:val="24"/>
      </w:rPr>
    </w:pPr>
    <w:r>
      <w:rPr>
        <w:rFonts w:hint="eastAsia" w:ascii="仿宋_GB2312" w:hAnsi="仿宋_GB2312"/>
        <w:sz w:val="24"/>
        <w:szCs w:val="24"/>
      </w:rPr>
      <w:fldChar w:fldCharType="begin"/>
    </w:r>
    <w:r>
      <w:rPr>
        <w:rFonts w:hint="eastAsia" w:ascii="仿宋_GB2312" w:hAnsi="仿宋_GB2312"/>
        <w:sz w:val="24"/>
        <w:szCs w:val="24"/>
      </w:rPr>
      <w:instrText xml:space="preserve"> PAGE </w:instrText>
    </w:r>
    <w:r>
      <w:rPr>
        <w:rFonts w:hint="eastAsia" w:ascii="仿宋_GB2312" w:hAnsi="仿宋_GB2312"/>
        <w:sz w:val="24"/>
        <w:szCs w:val="24"/>
      </w:rPr>
      <w:fldChar w:fldCharType="separate"/>
    </w:r>
    <w:r>
      <w:rPr>
        <w:rFonts w:hint="eastAsia" w:ascii="仿宋_GB2312" w:hAnsi="仿宋_GB2312"/>
        <w:sz w:val="24"/>
        <w:szCs w:val="24"/>
      </w:rPr>
      <w:t>15</w:t>
    </w:r>
    <w:r>
      <w:rPr>
        <w:rFonts w:hint="eastAsia" w:ascii="仿宋_GB2312" w:hAnsi="仿宋_GB2312"/>
        <w:sz w:val="24"/>
        <w:szCs w:val="24"/>
      </w:rPr>
      <w:fldChar w:fldCharType="end"/>
    </w:r>
  </w:p>
  <w:p>
    <w:pPr>
      <w:pStyle w:val="Footer"/>
      <w:ind w:firstLine="360" w:end="360"/>
      <w:rPr>
        <w:rFonts w:ascii="仿宋_GB2312" w:hAnsi="仿宋_GB2312" w:hint="eastAsia"/>
        <w:sz w:val="24"/>
        <w:szCs w:val="24"/>
      </w:rPr>
    </w:pPr>
    <w:r>
      <w:rPr>
        <w:rFonts w:hint="eastAsia" w:ascii="仿宋_GB2312" w:hAnsi="仿宋_GB2312"/>
        <w:sz w:val="24"/>
        <w:szCs w:val="24"/>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 w:cs="Arial"/>
      <w:b/>
      <w:bCs/>
      <w:szCs w:val="32"/>
    </w:rPr>
  </w:style>
  <w:style w:type="character" w:styleId="Style13">
    <w:name w:val="默认段落字体"/>
    <w:qFormat/>
    <w:rPr>
      <w:rFonts w:ascii="Tahoma" w:hAnsi="Tahoma" w:cs="Tahoma"/>
      <w:sz w:val="24"/>
      <w:szCs w:val="20"/>
    </w:rPr>
  </w:style>
  <w:style w:type="character" w:styleId="Strong">
    <w:name w:val="Strong"/>
    <w:qFormat/>
    <w:rPr>
      <w:b/>
      <w:bCs/>
    </w:rPr>
  </w:style>
  <w:style w:type="character" w:styleId="PageNumber">
    <w:name w:val="page number"/>
    <w:basedOn w:val="Style13"/>
    <w:rPr/>
  </w:style>
  <w:style w:type="character" w:styleId="Hyperlink">
    <w:name w:val="Hyperlink"/>
    <w:rPr>
      <w:color w:val="0000FF"/>
      <w:u w:val="single"/>
    </w:rPr>
  </w:style>
  <w:style w:type="character" w:styleId="apple-style-span">
    <w:name w:val="apple-style-span"/>
    <w:basedOn w:val="Style13"/>
    <w:qFormat/>
    <w:rPr/>
  </w:style>
  <w:style w:type="character" w:styleId="Char">
    <w:name w:val="正文文本 Char"/>
    <w:qFormat/>
    <w:rPr>
      <w:rFonts w:eastAsia="文星仿宋;宋体"/>
      <w:kern w:val="2"/>
      <w:sz w:val="32"/>
      <w:szCs w:val="24"/>
    </w:rPr>
  </w:style>
  <w:style w:type="character" w:styleId="Char1">
    <w:name w:val="页脚 Char"/>
    <w:qFormat/>
    <w:rPr>
      <w:rFonts w:eastAsia="宋体"/>
      <w:kern w:val="2"/>
      <w:sz w:val="18"/>
      <w:szCs w:val="18"/>
      <w:lang w:bidi="ar-SA"/>
    </w:rPr>
  </w:style>
  <w:style w:type="character" w:styleId="Char2">
    <w:name w:val="纯文本 Char"/>
    <w:qFormat/>
    <w:rPr>
      <w:rFonts w:ascii="宋体" w:hAnsi="宋体" w:eastAsia="宋体" w:cs="Courier New"/>
      <w:kern w:val="2"/>
      <w:sz w:val="21"/>
      <w:szCs w:val="21"/>
      <w:lang w:bidi="ar-SA"/>
    </w:rPr>
  </w:style>
  <w:style w:type="character" w:styleId="2Char">
    <w:name w:val="标题 2 Char"/>
    <w:qFormat/>
    <w:rPr>
      <w:rFonts w:ascii="Arial" w:hAnsi="Arial" w:eastAsia="黑体" w:cs="Arial"/>
      <w:b/>
      <w:bCs/>
      <w:kern w:val="2"/>
      <w:sz w:val="32"/>
      <w:szCs w:val="32"/>
      <w:lang w:bidi="ar-SA"/>
    </w:rPr>
  </w:style>
  <w:style w:type="character" w:styleId="1">
    <w:name w:val="页码1"/>
    <w:qFormat/>
    <w:rPr>
      <w:rFonts w:cs="Times New Roman"/>
    </w:rPr>
  </w:style>
  <w:style w:type="character" w:styleId="Char3">
    <w:name w:val="页眉 Char"/>
    <w:qFormat/>
    <w:rPr>
      <w:rFonts w:eastAsia="宋体"/>
      <w:kern w:val="2"/>
      <w:sz w:val="18"/>
      <w:szCs w:val="18"/>
      <w:lang w:bidi="ar-SA"/>
    </w:rPr>
  </w:style>
  <w:style w:type="character" w:styleId="CharChar1">
    <w:name w:val=" Char Char1"/>
    <w:qFormat/>
    <w:rPr>
      <w:rFonts w:eastAsia="宋体"/>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普通(网站)"/>
    <w:basedOn w:val="Normal"/>
    <w:qFormat/>
    <w:pPr>
      <w:widowControl/>
      <w:spacing w:before="280" w:after="280"/>
      <w:jc w:val="start"/>
    </w:pPr>
    <w:rPr>
      <w:rFonts w:ascii="宋体" w:hAnsi="宋体" w:cs="宋体"/>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eastAsia="宋体"/>
      <w:sz w:val="18"/>
      <w:szCs w:val="18"/>
    </w:rPr>
  </w:style>
  <w:style w:type="paragraph" w:styleId="2">
    <w:name w:val="正文文本缩进 2"/>
    <w:basedOn w:val="Normal"/>
    <w:qFormat/>
    <w:pPr>
      <w:spacing w:lineRule="auto" w:line="480" w:before="0" w:after="120"/>
      <w:ind w:firstLineChars="0" w:firstLine="0" w:startChars="200" w:endChars="0" w:end="0"/>
    </w:pPr>
    <w:rPr/>
  </w:style>
  <w:style w:type="paragraph" w:styleId="Footer">
    <w:name w:val="footer"/>
    <w:basedOn w:val="Normal"/>
    <w:pPr>
      <w:tabs>
        <w:tab w:val="clear" w:pos="420"/>
        <w:tab w:val="center" w:pos="4153" w:leader="none"/>
        <w:tab w:val="right" w:pos="8306" w:leader="none"/>
      </w:tabs>
      <w:snapToGrid w:val="false"/>
      <w:jc w:val="start"/>
    </w:pPr>
    <w:rPr>
      <w:rFonts w:eastAsia="宋体"/>
      <w:sz w:val="18"/>
      <w:szCs w:val="18"/>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color w:val="000000"/>
      <w:kern w:val="0"/>
      <w:sz w:val="24"/>
    </w:rPr>
  </w:style>
  <w:style w:type="paragraph" w:styleId="BodyTextIndent">
    <w:name w:val="Body Text Indent"/>
    <w:basedOn w:val="Normal"/>
    <w:pPr>
      <w:ind w:firstLineChars="225" w:startChars="0" w:start="0" w:endChars="0" w:end="0"/>
    </w:pPr>
    <w:rPr>
      <w:sz w:val="32"/>
      <w:szCs w:val="20"/>
    </w:rPr>
  </w:style>
  <w:style w:type="paragraph" w:styleId="Style15">
    <w:name w:val="批注框文本"/>
    <w:basedOn w:val="Normal"/>
    <w:qFormat/>
    <w:pPr/>
    <w:rPr>
      <w:sz w:val="18"/>
      <w:szCs w:val="18"/>
    </w:rPr>
  </w:style>
  <w:style w:type="paragraph" w:styleId="Style16">
    <w:name w:val="纯文本"/>
    <w:basedOn w:val="Normal"/>
    <w:qFormat/>
    <w:pPr/>
    <w:rPr>
      <w:rFonts w:ascii="宋体" w:hAnsi="宋体" w:eastAsia="宋体" w:cs="Courier New"/>
      <w:sz w:val="21"/>
      <w:szCs w:val="21"/>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7">
    <w:name w:val="列出段落"/>
    <w:basedOn w:val="Normal"/>
    <w:qFormat/>
    <w:pPr>
      <w:ind w:firstLineChars="200" w:startChars="0" w:start="0" w:endChars="0" w:end="0"/>
    </w:pPr>
    <w:rPr>
      <w:rFonts w:ascii="Calibri" w:hAnsi="Calibri" w:cs="Calibri"/>
      <w:szCs w:val="22"/>
    </w:rPr>
  </w:style>
  <w:style w:type="paragraph" w:styleId="Char4">
    <w:name w:val="Char"/>
    <w:basedOn w:val="Normal"/>
    <w:qFormat/>
    <w:pPr/>
    <w:rPr>
      <w:rFonts w:ascii="Tahoma" w:hAnsi="Tahoma" w:eastAsia="楷体_GB2312" w:cs="Tahoma"/>
      <w:sz w:val="24"/>
      <w:szCs w:val="20"/>
    </w:rPr>
  </w:style>
  <w:style w:type="paragraph" w:styleId="Char5">
    <w:name w:val=" Char"/>
    <w:basedOn w:val="Normal"/>
    <w:qFormat/>
    <w:pPr/>
    <w:rPr>
      <w:rFonts w:ascii="Tahoma" w:hAnsi="Tahoma" w:eastAsia="楷体_GB2312" w:cs="Tahoma"/>
      <w:sz w:val="24"/>
      <w:szCs w:val="20"/>
    </w:rPr>
  </w:style>
  <w:style w:type="paragraph" w:styleId="Style18">
    <w:name w:val="文件字号"/>
    <w:basedOn w:val="Normal"/>
    <w:qFormat/>
    <w:pPr/>
    <w:rPr>
      <w:rFonts w:ascii="仿宋_GB2312" w:hAnsi="仿宋_GB2312" w:eastAsia="仿宋_GB2312"/>
      <w:sz w:val="32"/>
    </w:rPr>
  </w:style>
  <w:style w:type="paragraph" w:styleId="Style19">
    <w:name w:val="_Style 1"/>
    <w:basedOn w:val="Normal"/>
    <w:qFormat/>
    <w:pPr/>
    <w:rPr/>
  </w:style>
  <w:style w:type="paragraph" w:styleId="Style41">
    <w:name w:val="_Style 4"/>
    <w:basedOn w:val="Normal"/>
    <w:qFormat/>
    <w:pPr/>
    <w:rPr>
      <w:rFonts w:eastAsia="仿宋_GB2312"/>
      <w:sz w:val="32"/>
    </w:rPr>
  </w:style>
  <w:style w:type="paragraph" w:styleId="11">
    <w:name w:val="普通(网站)1"/>
    <w:basedOn w:val="Normal"/>
    <w:qFormat/>
    <w:pPr>
      <w:widowControl/>
      <w:spacing w:before="280" w:after="280"/>
      <w:jc w:val="start"/>
    </w:pPr>
    <w:rPr>
      <w:rFonts w:ascii="宋体" w:hAnsi="宋体" w:cs="宋体"/>
      <w:color w:val="000000"/>
      <w:kern w:val="0"/>
      <w:sz w:val="24"/>
    </w:rPr>
  </w:style>
  <w:style w:type="paragraph" w:styleId="12">
    <w:name w:val="列出段落1"/>
    <w:basedOn w:val="Normal"/>
    <w:qFormat/>
    <w:pPr>
      <w:ind w:firstLineChars="200" w:startChars="0" w:start="0" w:endChars="0" w:end="0"/>
    </w:pPr>
    <w:rPr>
      <w:rFonts w:ascii="Calibri" w:hAnsi="Calibri" w:cs="Calibri"/>
      <w:szCs w:val="22"/>
    </w:rPr>
  </w:style>
  <w:style w:type="paragraph" w:styleId="Style101">
    <w:name w:val="_Style 10"/>
    <w:basedOn w:val="Normal"/>
    <w:qFormat/>
    <w:pPr>
      <w:spacing w:lineRule="auto" w:line="360"/>
      <w:ind w:firstLineChars="200" w:startChars="0" w:start="0" w:endChars="0" w:end="0"/>
    </w:pPr>
    <w:rPr>
      <w:rFonts w:ascii="Calibri" w:hAnsi="Calibri" w:cs="Calibri"/>
      <w:szCs w:val="22"/>
    </w:rPr>
  </w:style>
  <w:style w:type="paragraph" w:styleId="Style171">
    <w:name w:val="_Style 17"/>
    <w:basedOn w:val="Normal"/>
    <w:qFormat/>
    <w:pPr>
      <w:tabs>
        <w:tab w:val="clear" w:pos="420"/>
        <w:tab w:val="left" w:pos="4665" w:leader="none"/>
        <w:tab w:val="left" w:pos="8970" w:leader="none"/>
      </w:tabs>
      <w:ind w:firstLine="400" w:start="0" w:end="0"/>
    </w:pPr>
    <w:rPr>
      <w:rFonts w:ascii="Tahoma" w:hAnsi="Tahoma" w:cs="Tahoma"/>
      <w:sz w:val="24"/>
      <w:szCs w:val="20"/>
    </w:rPr>
  </w:style>
  <w:style w:type="paragraph" w:styleId="CharCharCharCharCharCharCharCharChar1CharCharCharCharCharCharChar">
    <w:name w:val="Char Char Char Char Char Char Char Char Char1 Char Char Char Char Char Char Char"/>
    <w:basedOn w:val="Normal"/>
    <w:qFormat/>
    <w:pPr>
      <w:spacing w:lineRule="auto" w:line="360"/>
      <w:ind w:firstLineChars="200" w:startChars="0" w:start="0" w:endChars="0" w:end="0"/>
    </w:pPr>
    <w:rPr>
      <w:rFonts w:ascii="宋体" w:hAnsi="宋体" w:eastAsia="仿宋_GB2312" w:cs="宋体"/>
      <w:sz w:val="24"/>
      <w:szCs w:val="32"/>
    </w:rPr>
  </w:style>
  <w:style w:type="paragraph" w:styleId="NormalWeb">
    <w:name w:val="Normal (Web)"/>
    <w:basedOn w:val="Normal"/>
    <w:qFormat/>
    <w:pPr>
      <w:widowControl/>
      <w:spacing w:lineRule="atLeast" w:line="360" w:before="280" w:after="280"/>
      <w:jc w:val="start"/>
      <w:textAlignment w:val="baseline"/>
    </w:pPr>
    <w:rPr>
      <w:rFonts w:ascii="宋体" w:hAnsi="宋体" w:cs="宋体"/>
      <w:kern w:val="0"/>
      <w:sz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2018-11-13T16:13:00Z</dcterms:created>
  <dc:creator>kobe</dc:creator>
  <dc:description/>
  <dc:language>en-US</dc:language>
  <cp:lastModifiedBy>tjrd</cp:lastModifiedBy>
  <cp:lastPrinted>2018-12-07T10:27:00Z</cp:lastPrinted>
  <dcterms:modified xsi:type="dcterms:W3CDTF">2018-12-27T14:58:40Z</dcterms:modified>
  <cp:revision>45</cp:revision>
  <dc:subject/>
  <dc:title>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我</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