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spacing w:lineRule="exact" w:line="720"/>
        <w:jc w:val="center"/>
        <w:textAlignment w:val="auto"/>
        <w:rPr>
          <w:rFonts w:ascii="宋体" w:hAnsi="宋体" w:eastAsia="宋体" w:cs="宋体" w:hint="eastAsia"/>
          <w:kern w:val="0"/>
          <w:sz w:val="44"/>
          <w:szCs w:val="44"/>
          <w:lang w:bidi="ar"/>
        </w:rPr>
      </w:pPr>
      <w:r>
        <w:rPr>
          <w:rFonts w:ascii="宋体" w:hAnsi="宋体" w:cs="宋体" w:hint="eastAsia" w:eastAsia="宋体"/>
          <w:kern w:val="0"/>
          <w:sz w:val="44"/>
          <w:szCs w:val="44"/>
          <w:lang w:bidi="ar"/>
        </w:rPr>
        <w:t>天津市人民代表大会常务委员会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spacing w:lineRule="exact" w:line="720"/>
        <w:jc w:val="center"/>
        <w:textAlignment w:val="auto"/>
        <w:rPr>
          <w:rFonts w:ascii="宋体" w:hAnsi="宋体" w:eastAsia="宋体" w:cs="宋体" w:hint="eastAsia"/>
          <w:kern w:val="0"/>
          <w:sz w:val="44"/>
          <w:szCs w:val="44"/>
          <w:lang w:bidi="ar"/>
        </w:rPr>
      </w:pPr>
      <w:r>
        <w:rPr>
          <w:rFonts w:ascii="宋体" w:hAnsi="宋体" w:cs="宋体" w:hint="eastAsia" w:eastAsia="宋体"/>
          <w:kern w:val="0"/>
          <w:sz w:val="44"/>
          <w:szCs w:val="44"/>
          <w:lang w:bidi="ar"/>
        </w:rPr>
        <w:t>关于废止《</w:t>
      </w:r>
      <w:hyperlink r:id="rId2">
        <w:r>
          <w:rPr>
            <w:rStyle w:val="Hyperlink"/>
            <w:rFonts w:ascii="宋体" w:hAnsi="宋体" w:cs="宋体" w:hint="eastAsia" w:eastAsia="宋体"/>
            <w:kern w:val="0"/>
            <w:sz w:val="44"/>
            <w:szCs w:val="44"/>
            <w:lang w:bidi="ar"/>
          </w:rPr>
          <w:t>天津市盐业管理条例</w:t>
        </w:r>
      </w:hyperlink>
      <w:r>
        <w:rPr>
          <w:rFonts w:ascii="宋体" w:hAnsi="宋体" w:cs="宋体" w:hint="eastAsia" w:eastAsia="宋体"/>
          <w:kern w:val="0"/>
          <w:sz w:val="44"/>
          <w:szCs w:val="44"/>
          <w:lang w:bidi="ar"/>
        </w:rPr>
        <w:t>》等五部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spacing w:lineRule="exact" w:line="720"/>
        <w:jc w:val="center"/>
        <w:textAlignment w:val="auto"/>
        <w:rPr>
          <w:rFonts w:ascii="宋体" w:hAnsi="宋体" w:eastAsia="宋体" w:cs="宋体" w:hint="eastAsia"/>
          <w:sz w:val="32"/>
          <w:szCs w:val="32"/>
        </w:rPr>
      </w:pPr>
      <w:r>
        <w:rPr>
          <w:rFonts w:ascii="宋体" w:hAnsi="宋体" w:cs="宋体" w:hint="eastAsia" w:eastAsia="宋体"/>
          <w:kern w:val="0"/>
          <w:sz w:val="44"/>
          <w:szCs w:val="44"/>
          <w:lang w:bidi="ar"/>
        </w:rPr>
        <w:t>地方性法规的决定</w:t>
      </w:r>
    </w:p>
    <w:p>
      <w:pPr>
        <w:pStyle w:val="2"/>
        <w:spacing w:lineRule="exact" w:line="400" w:before="0" w:after="0"/>
        <w:ind w:firstLineChars="0" w:firstLine="0" w:startChars="200" w:endChars="200"/>
        <w:contextualSpacing/>
        <w:rPr>
          <w:rFonts w:ascii="宋体" w:hAnsi="宋体" w:eastAsia="宋体" w:cs="Adobe 楷体 Std R;宋体" w:hint="eastAsia"/>
          <w:color w:val="000000"/>
          <w:sz w:val="32"/>
          <w:szCs w:val="32"/>
        </w:rPr>
      </w:pPr>
      <w:r>
        <w:rPr>
          <w:rFonts w:eastAsia="宋体" w:cs="Adobe 楷体 Std R;宋体" w:hint="eastAsia" w:ascii="宋体" w:hAnsi="宋体"/>
          <w:color w:val="000000"/>
          <w:sz w:val="32"/>
          <w:szCs w:val="32"/>
        </w:rPr>
      </w:r>
    </w:p>
    <w:p>
      <w:pPr>
        <w:pStyle w:val="2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60" w:before="0" w:after="0"/>
        <w:ind w:firstLineChars="200" w:startChars="0" w:start="0" w:endChars="0" w:end="0"/>
        <w:contextualSpacing/>
        <w:jc w:val="both"/>
        <w:textAlignment w:val="auto"/>
        <w:rPr>
          <w:rFonts w:cs="Adobe 楷体 Std R;宋体"/>
          <w:color w:val="000000"/>
        </w:rPr>
      </w:pPr>
      <w:r>
        <w:rPr>
          <w:rFonts w:cs="Adobe 楷体 Std R;宋体" w:hint="eastAsia"/>
          <w:color w:val="000000"/>
        </w:rPr>
        <w:t>（</w:t>
      </w:r>
      <w:r>
        <w:rPr>
          <w:rFonts w:cs="Adobe 楷体 Std R;宋体" w:hint="eastAsia"/>
          <w:color w:val="000000"/>
        </w:rPr>
        <w:t>2021</w:t>
      </w:r>
      <w:r>
        <w:rPr>
          <w:rFonts w:cs="Adobe 楷体 Std R;宋体" w:hint="eastAsia"/>
          <w:color w:val="000000"/>
        </w:rPr>
        <w:t>年</w:t>
      </w:r>
      <w:r>
        <w:rPr>
          <w:rFonts w:cs="Adobe 楷体 Std R;宋体" w:hint="eastAsia"/>
          <w:color w:val="000000"/>
        </w:rPr>
        <w:t>11</w:t>
      </w:r>
      <w:r>
        <w:rPr>
          <w:rFonts w:cs="Adobe 楷体 Std R;宋体" w:hint="eastAsia"/>
          <w:color w:val="000000"/>
        </w:rPr>
        <w:t>月</w:t>
      </w:r>
      <w:r>
        <w:rPr>
          <w:rFonts w:cs="Adobe 楷体 Std R;宋体" w:hint="eastAsia"/>
          <w:color w:val="000000"/>
        </w:rPr>
        <w:t>29</w:t>
      </w:r>
      <w:r>
        <w:rPr>
          <w:rFonts w:cs="Adobe 楷体 Std R;宋体" w:hint="eastAsia"/>
          <w:color w:val="000000"/>
        </w:rPr>
        <w:t>日天津市</w:t>
      </w:r>
      <w:r>
        <w:rPr>
          <w:rFonts w:cs="Adobe 楷体 Std R;宋体"/>
          <w:color w:val="000000"/>
        </w:rPr>
        <w:t>第十七届人民代表大会常务委员会第</w:t>
      </w:r>
      <w:r>
        <w:rPr>
          <w:rFonts w:cs="Adobe 楷体 Std R;宋体" w:hint="eastAsia"/>
          <w:color w:val="000000"/>
        </w:rPr>
        <w:t>三十</w:t>
      </w:r>
      <w:r>
        <w:rPr>
          <w:rFonts w:cs="Adobe 楷体 Std R;宋体"/>
          <w:color w:val="000000"/>
        </w:rPr>
        <w:t>次会议通过</w:t>
      </w:r>
      <w:r>
        <w:rPr>
          <w:rFonts w:cs="Adobe 楷体 Std R;宋体" w:hint="eastAsia"/>
          <w:color w:val="000000"/>
        </w:rPr>
        <w:t>）</w:t>
      </w:r>
    </w:p>
    <w:p>
      <w:pPr>
        <w:pStyle w:val="Normal"/>
        <w:keepNext w:val="false"/>
        <w:keepLines w:val="false"/>
        <w:widowControl/>
        <w:suppressLineNumbers w:val="0"/>
        <w:jc w:val="start"/>
        <w:rPr>
          <w:rFonts w:ascii="仿宋_GB2312" w:hAnsi="仿宋_GB2312" w:eastAsia="仿宋_GB2312" w:cs="仿宋_GB2312" w:hint="eastAsia"/>
          <w:color w:val="000000"/>
          <w:kern w:val="0"/>
          <w:sz w:val="32"/>
          <w:szCs w:val="32"/>
          <w:lang w:bidi="ar"/>
        </w:rPr>
      </w:pPr>
      <w:r>
        <w:rPr>
          <w:rFonts w:eastAsia="仿宋_GB2312" w:cs="仿宋_GB2312" w:hint="eastAsia" w:ascii="仿宋_GB2312" w:hAnsi="仿宋_GB2312"/>
          <w:color w:val="000000"/>
          <w:kern w:val="0"/>
          <w:sz w:val="32"/>
          <w:szCs w:val="32"/>
          <w:lang w:bidi="ar"/>
        </w:rPr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0"/>
          <w:sz w:val="32"/>
          <w:szCs w:val="32"/>
          <w:lang w:bidi="ar"/>
        </w:rPr>
      </w:pP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天津市第十七届人民代表大会常务委员会第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三十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次会议决定，废止下列地方性法规：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0"/>
          <w:sz w:val="32"/>
          <w:szCs w:val="32"/>
          <w:lang w:bidi="ar"/>
        </w:rPr>
      </w:pP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一、《天津市盐业管理条例》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(1997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10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22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日天津市第十二届人民代表大会常务委员会第三十六次会议通过</w:t>
      </w:r>
      <w:r>
        <w:rPr>
          <w:rFonts w:ascii="仿宋_GB2312" w:hAnsi="仿宋_GB2312" w:cs="仿宋_GB2312"/>
          <w:kern w:val="0"/>
          <w:sz w:val="32"/>
          <w:szCs w:val="32"/>
          <w:lang w:val="en" w:bidi="ar"/>
        </w:rPr>
        <w:t xml:space="preserve"> 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根据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2000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9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14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日天津市第十三届人民代表大会常务委员会第十九次会议《关于修改〈天津市盐业管理条例〉的决定》第一次修正</w:t>
      </w:r>
      <w:r>
        <w:rPr>
          <w:rFonts w:ascii="仿宋_GB2312" w:hAnsi="仿宋_GB2312" w:cs="仿宋_GB2312"/>
          <w:kern w:val="0"/>
          <w:sz w:val="32"/>
          <w:szCs w:val="32"/>
          <w:lang w:val="en" w:bidi="ar"/>
        </w:rPr>
        <w:t xml:space="preserve"> 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根据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2005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24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日天津市第十四届人民代表大会常务委员会第十八次会议《关于修改〈天津市盐业管理条例〉的决定》第二次修正</w:t>
      </w:r>
      <w:r>
        <w:rPr>
          <w:rFonts w:ascii="仿宋_GB2312" w:hAnsi="仿宋_GB2312" w:cs="仿宋_GB2312"/>
          <w:kern w:val="0"/>
          <w:sz w:val="32"/>
          <w:szCs w:val="32"/>
          <w:lang w:val="en" w:bidi="ar"/>
        </w:rPr>
        <w:t xml:space="preserve"> 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根据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2010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9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25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日天津市第十五届人民代表大会常务委员会第十九次会议《关于修改部分地方性法规的决定》第三次修正</w:t>
      </w:r>
      <w:r>
        <w:rPr>
          <w:rFonts w:ascii="仿宋_GB2312" w:hAnsi="仿宋_GB2312" w:cs="仿宋_GB2312"/>
          <w:kern w:val="0"/>
          <w:sz w:val="32"/>
          <w:szCs w:val="32"/>
          <w:lang w:val="en" w:bidi="ar"/>
        </w:rPr>
        <w:t xml:space="preserve"> 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根据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2013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9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24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日天津市第十六届人民代表大会常务委员会第四次会议《关于修改〈天津市盐业管理条例〉的决定》第四次修正</w:t>
      </w:r>
      <w:r>
        <w:rPr>
          <w:rFonts w:ascii="仿宋_GB2312" w:hAnsi="仿宋_GB2312" w:cs="仿宋_GB2312"/>
          <w:kern w:val="0"/>
          <w:sz w:val="32"/>
          <w:szCs w:val="32"/>
          <w:lang w:val="en" w:bidi="ar"/>
        </w:rPr>
        <w:t xml:space="preserve"> 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根据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2016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7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29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日天津市第十六届人民代表大会常务委员会第二十七次会议《关于修改部分地方性法规的决定》第五次修正</w:t>
      </w:r>
      <w:r>
        <w:rPr>
          <w:rFonts w:ascii="仿宋_GB2312" w:hAnsi="仿宋_GB2312" w:cs="仿宋_GB2312"/>
          <w:kern w:val="0"/>
          <w:sz w:val="32"/>
          <w:szCs w:val="32"/>
          <w:lang w:val="en" w:bidi="ar"/>
        </w:rPr>
        <w:t xml:space="preserve"> 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根据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2019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5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30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日天津市第十七届人民代表大会常务委员会第十一次会议《关于修改〈天津市实施《中华人民共和国城市居民委员会组织法》办法〉等十部地方性法规的决定》第六次修正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0"/>
          <w:sz w:val="32"/>
          <w:szCs w:val="32"/>
          <w:lang w:bidi="ar"/>
        </w:rPr>
      </w:pP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二、《</w:t>
      </w:r>
      <w:hyperlink r:id="rId3" w:tgtFrame="/home/tjrd/文档\\x/_blank">
        <w:r>
          <w:rPr>
            <w:rStyle w:val="Hyperlink"/>
            <w:rFonts w:ascii="仿宋_GB2312" w:hAnsi="仿宋_GB2312" w:cs="仿宋_GB2312" w:hint="eastAsia"/>
            <w:kern w:val="0"/>
            <w:sz w:val="32"/>
            <w:szCs w:val="32"/>
            <w:lang w:bidi="ar"/>
          </w:rPr>
          <w:t>天津市市场和质量监督管理若干规定</w:t>
        </w:r>
      </w:hyperlink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》（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2017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9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27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日天津市第十六届人民代表大会常务委员会第三十八次会议通过）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0"/>
          <w:sz w:val="32"/>
          <w:szCs w:val="32"/>
          <w:lang w:bidi="ar"/>
        </w:rPr>
      </w:pP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三、《天津市基本菜田保护管理条例》（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1996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1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10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日天津市第十二届人民代表大会常务委员会第二十一次会议通过</w:t>
      </w:r>
      <w:r>
        <w:rPr>
          <w:rFonts w:ascii="仿宋_GB2312" w:hAnsi="仿宋_GB2312" w:cs="仿宋_GB2312"/>
          <w:kern w:val="0"/>
          <w:sz w:val="32"/>
          <w:szCs w:val="32"/>
          <w:lang w:val="en" w:bidi="ar"/>
        </w:rPr>
        <w:t xml:space="preserve"> 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根据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2000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7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19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日天津市第十三届人民代表大会常务委员会第十八次会议《关于修改〈天津市基本菜田保护管理条例〉的决定》第一次修正</w:t>
      </w:r>
      <w:r>
        <w:rPr>
          <w:rFonts w:ascii="仿宋_GB2312" w:hAnsi="仿宋_GB2312" w:cs="仿宋_GB2312"/>
          <w:kern w:val="0"/>
          <w:sz w:val="32"/>
          <w:szCs w:val="32"/>
          <w:lang w:val="en" w:bidi="ar"/>
        </w:rPr>
        <w:t xml:space="preserve"> 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根据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2005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7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19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日天津市第十四届人民代表大会常务委员会第二十一次会议《关于修改〈天津市基本菜田保护管理条例〉的决定》第二次修正</w:t>
      </w:r>
      <w:r>
        <w:rPr>
          <w:rFonts w:ascii="仿宋_GB2312" w:hAnsi="仿宋_GB2312" w:cs="仿宋_GB2312"/>
          <w:kern w:val="0"/>
          <w:sz w:val="32"/>
          <w:szCs w:val="32"/>
          <w:lang w:val="en" w:bidi="ar"/>
        </w:rPr>
        <w:t xml:space="preserve"> 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根据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2010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9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25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日天津市第十五届人民代表大会常务委员会第十九次会议《关于修改部分地方性法规的决定》第三次修正）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0"/>
          <w:sz w:val="32"/>
          <w:szCs w:val="32"/>
          <w:lang w:bidi="ar"/>
        </w:rPr>
      </w:pP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四、《天津市农村集体经济承包合同管理条例》（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1993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4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27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日天津市第十一届人民代表大会常务委员会第四十三次会议通过</w:t>
      </w:r>
      <w:r>
        <w:rPr>
          <w:rFonts w:ascii="仿宋_GB2312" w:hAnsi="仿宋_GB2312" w:cs="仿宋_GB2312"/>
          <w:kern w:val="0"/>
          <w:sz w:val="32"/>
          <w:szCs w:val="32"/>
          <w:lang w:val="en" w:bidi="ar"/>
        </w:rPr>
        <w:t xml:space="preserve"> 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根据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2010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9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25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日天津市第十五届人民代表大会常务委员会第十九次会议《关于修改部分地方性法规的决定》修正）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0"/>
          <w:sz w:val="32"/>
          <w:szCs w:val="32"/>
          <w:lang w:bidi="ar"/>
        </w:rPr>
      </w:pP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五、《天津经济技术开发区土地管理规定》（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1985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7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20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日天津市第十届人民代表大会常务委员会第二十一次会议通过</w:t>
      </w:r>
      <w:r>
        <w:rPr>
          <w:rFonts w:ascii="仿宋_GB2312" w:hAnsi="仿宋_GB2312" w:cs="仿宋_GB2312"/>
          <w:kern w:val="0"/>
          <w:sz w:val="32"/>
          <w:szCs w:val="32"/>
          <w:lang w:val="en" w:bidi="ar"/>
        </w:rPr>
        <w:t xml:space="preserve"> 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根据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1993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3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  <w:lang w:bidi="ar"/>
        </w:rPr>
        <w:t>11</w:t>
      </w: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日天津市第十一届人民代表大会常务委员会第四十二次会议《关于修改〈天津经济技术开发区土地管理规定〉的决定》修正）</w:t>
      </w:r>
    </w:p>
    <w:p>
      <w:pPr>
        <w:pStyle w:val="Normal"/>
        <w:keepNext w:val="false"/>
        <w:keepLines w:val="false"/>
        <w:widowControl/>
        <w:suppressLineNumbers w:val="0"/>
        <w:jc w:val="both"/>
        <w:rPr>
          <w:rFonts w:ascii="仿宋_GB2312" w:hAnsi="仿宋_GB2312" w:cs="仿宋_GB2312" w:hint="eastAsia"/>
          <w:kern w:val="0"/>
          <w:sz w:val="32"/>
          <w:szCs w:val="32"/>
          <w:lang w:bidi="ar"/>
        </w:rPr>
      </w:pPr>
      <w:r>
        <w:rPr>
          <w:rFonts w:ascii="仿宋_GB2312" w:hAnsi="仿宋_GB2312" w:cs="仿宋_GB2312" w:hint="eastAsia"/>
          <w:kern w:val="0"/>
          <w:sz w:val="32"/>
          <w:szCs w:val="32"/>
          <w:lang w:bidi="ar"/>
        </w:rPr>
        <w:t>　　本决定自公布之日起施行。</w:t>
      </w:r>
    </w:p>
    <w:p>
      <w:pPr>
        <w:pStyle w:val="Normal"/>
        <w:widowControl/>
        <w:jc w:val="start"/>
        <w:rPr>
          <w:rFonts w:ascii="仿宋_GB2312" w:hAnsi="仿宋_GB2312" w:cs="仿宋_GB2312" w:hint="eastAsia"/>
          <w:kern w:val="0"/>
          <w:sz w:val="32"/>
          <w:szCs w:val="32"/>
          <w:lang w:bidi="ar"/>
        </w:rPr>
      </w:pPr>
      <w:r>
        <w:rPr>
          <w:rFonts w:cs="仿宋_GB2312" w:hint="eastAsia" w:ascii="仿宋_GB2312" w:hAnsi="仿宋_GB2312"/>
          <w:kern w:val="0"/>
          <w:sz w:val="32"/>
          <w:szCs w:val="32"/>
          <w:lang w:bidi="ar"/>
        </w:rPr>
      </w:r>
    </w:p>
    <w:sectPr>
      <w:footerReference w:type="default" r:id="rId4"/>
      <w:type w:val="nextPage"/>
      <w:pgSz w:w="11906" w:h="16838"/>
      <w:pgMar w:left="1531" w:right="1531" w:gutter="0" w:header="0" w:top="2098" w:footer="1134" w:bottom="1985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楷体_GB2312">
    <w:charset w:val="86"/>
    <w:family w:val="modern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仿宋_GB2312" w:hAnsi="仿宋_GB2312" w:eastAsia="仿宋_GB2312" w:cs="仿宋_GB2312" w:hint="eastAsia"/>
        <w:sz w:val="28"/>
        <w:szCs w:val="28"/>
      </w:rPr>
    </w:pPr>
    <w:r>
      <w:rPr>
        <w:rFonts w:eastAsia="仿宋_GB2312" w:cs="仿宋_GB2312" w:hint="eastAsia" w:ascii="仿宋_GB2312" w:hAnsi="仿宋_GB2312"/>
        <w:sz w:val="28"/>
        <w:szCs w:val="28"/>
      </w:rPr>
      <w:fldChar w:fldCharType="begin"/>
    </w:r>
    <w:r>
      <w:rPr>
        <w:rFonts w:eastAsia="仿宋_GB2312" w:cs="仿宋_GB2312" w:hint="eastAsia" w:ascii="仿宋_GB2312" w:hAnsi="仿宋_GB2312"/>
        <w:sz w:val="28"/>
        <w:szCs w:val="28"/>
      </w:rPr>
      <w:instrText xml:space="preserve"> PAGE </w:instrText>
    </w:r>
    <w:r>
      <w:rPr>
        <w:rFonts w:eastAsia="仿宋_GB2312" w:cs="仿宋_GB2312" w:hint="eastAsia" w:ascii="仿宋_GB2312" w:hAnsi="仿宋_GB2312"/>
        <w:sz w:val="28"/>
        <w:szCs w:val="28"/>
      </w:rPr>
      <w:fldChar w:fldCharType="separate"/>
    </w:r>
    <w:r>
      <w:rPr>
        <w:rFonts w:eastAsia="仿宋_GB2312" w:cs="仿宋_GB2312" w:hint="eastAsia" w:ascii="仿宋_GB2312" w:hAnsi="仿宋_GB2312"/>
        <w:sz w:val="28"/>
        <w:szCs w:val="28"/>
      </w:rPr>
      <w:t>3</w:t>
    </w:r>
    <w:r>
      <w:rPr>
        <w:rFonts w:eastAsia="仿宋_GB2312" w:cs="仿宋_GB2312" w:hint="eastAsia" w:ascii="仿宋_GB2312" w:hAnsi="仿宋_GB2312"/>
        <w:sz w:val="28"/>
        <w:szCs w:val="2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5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2"/>
      <w:lang w:bidi="ar-SA" w:val="en-US" w:eastAsia="zh-CN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before="280" w:after="280"/>
      <w:jc w:val="start"/>
      <w:outlineLvl w:val="1"/>
    </w:pPr>
    <w:rPr>
      <w:rFonts w:ascii="宋体" w:hAnsi="宋体" w:eastAsia="宋体" w:cs="宋体" w:hint="eastAsia"/>
      <w:b/>
      <w:kern w:val="0"/>
      <w:sz w:val="36"/>
      <w:szCs w:val="36"/>
      <w:lang w:bidi="ar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before="280" w:after="280"/>
      <w:jc w:val="start"/>
      <w:outlineLvl w:val="3"/>
    </w:pPr>
    <w:rPr>
      <w:rFonts w:ascii="宋体" w:hAnsi="宋体" w:eastAsia="宋体" w:cs="宋体" w:hint="eastAsia"/>
      <w:b/>
      <w:kern w:val="0"/>
      <w:sz w:val="24"/>
      <w:szCs w:val="24"/>
      <w:lang w:bidi="ar"/>
    </w:rPr>
  </w:style>
  <w:style w:type="character" w:styleId="Style12">
    <w:name w:val="默认段落字体"/>
    <w:qFormat/>
    <w:rPr/>
  </w:style>
  <w:style w:type="character" w:styleId="Hyperlink">
    <w:name w:val="Hyperlink"/>
    <w:basedOn w:val="Style12"/>
    <w:rPr>
      <w:color w:val="0000FF"/>
      <w:u w:val="single"/>
    </w:rPr>
  </w:style>
  <w:style w:type="character" w:styleId="Char">
    <w:name w:val="页脚 Char"/>
    <w:basedOn w:val="Style12"/>
    <w:qFormat/>
    <w:rPr>
      <w:rFonts w:ascii="Times New Roman" w:hAnsi="Times New Roman" w:eastAsia="仿宋_GB2312" w:cs="Times New Roman"/>
      <w:sz w:val="18"/>
      <w:szCs w:val="18"/>
    </w:rPr>
  </w:style>
  <w:style w:type="character" w:styleId="Char1">
    <w:name w:val="页眉 Char"/>
    <w:basedOn w:val="Style12"/>
    <w:qFormat/>
    <w:rPr>
      <w:rFonts w:ascii="Times New Roman" w:hAnsi="Times New Roman" w:eastAsia="仿宋_GB2312" w:cs="Times New Roman"/>
      <w:sz w:val="18"/>
      <w:szCs w:val="18"/>
    </w:rPr>
  </w:style>
  <w:style w:type="character" w:styleId="Char2">
    <w:name w:val="批注框文本 Char"/>
    <w:basedOn w:val="Style12"/>
    <w:qFormat/>
    <w:rPr>
      <w:rFonts w:ascii="Times New Roman" w:hAnsi="Times New Roman" w:eastAsia="仿宋_GB2312" w:cs="Times New Roman"/>
      <w:sz w:val="18"/>
      <w:szCs w:val="18"/>
    </w:rPr>
  </w:style>
  <w:style w:type="character" w:styleId="Strong">
    <w:name w:val="Strong"/>
    <w:basedOn w:val="Style12"/>
    <w:qFormat/>
    <w:rPr>
      <w:b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3">
    <w:name w:val="普通(网站)"/>
    <w:basedOn w:val="Normal"/>
    <w:qFormat/>
    <w:pPr>
      <w:spacing w:before="280" w:after="280"/>
      <w:ind w:hanging="0" w:start="0" w:end="0"/>
      <w:jc w:val="start"/>
    </w:pPr>
    <w:rPr>
      <w:kern w:val="0"/>
      <w:sz w:val="24"/>
      <w:lang w:bidi="ar"/>
    </w:rPr>
  </w:style>
  <w:style w:type="paragraph" w:styleId="2">
    <w:name w:val="标题2"/>
    <w:basedOn w:val="Style13"/>
    <w:qFormat/>
    <w:pPr>
      <w:snapToGrid w:val="false"/>
      <w:spacing w:before="280" w:after="280"/>
      <w:jc w:val="center"/>
    </w:pPr>
    <w:rPr>
      <w:rFonts w:ascii="楷体_GB2312" w:hAnsi="楷体_GB2312" w:eastAsia="楷体_GB2312" w:cs="宋体"/>
      <w:bCs/>
      <w:smallCaps/>
      <w:color w:val="000000"/>
      <w:sz w:val="32"/>
      <w:szCs w:val="32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4">
    <w:name w:val="批注框文本"/>
    <w:basedOn w:val="Normal"/>
    <w:qFormat/>
    <w:pPr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javascript:SLC(17253191)" TargetMode="External"/><Relationship Id="rId3" Type="http://schemas.openxmlformats.org/officeDocument/2006/relationships/hyperlink" Target="http://www.tjrd.gov.cn/flfg/system/2017/10/16/030009329.shtml" TargetMode="Externa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2019-05-23T13:02:00Z</dcterms:created>
  <dc:creator>dell</dc:creator>
  <dc:description/>
  <dc:language>en-US</dc:language>
  <cp:lastModifiedBy>陈莹</cp:lastModifiedBy>
  <cp:lastPrinted>2021-11-21T07:53:00Z</cp:lastPrinted>
  <dcterms:modified xsi:type="dcterms:W3CDTF">2021-12-07T00:33:22Z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62219D0859974B96B2355232359690E9</vt:lpwstr>
  </property>
  <property fmtid="{D5CDD505-2E9C-101B-9397-08002B2CF9AE}" pid="3" name="KSOProductBuildVer">
    <vt:lpwstr>2052-10.8.0.7149</vt:lpwstr>
  </property>
</Properties>
</file>