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仿宋_GB2312" w:hAnsi="仿宋_GB2312" w:hint="eastAsia"/>
          <w:szCs w:val="32"/>
        </w:rPr>
      </w:pPr>
      <w:r>
        <w:rPr>
          <w:rFonts w:hint="eastAsia" w:ascii="仿宋_GB2312" w:hAnsi="仿宋_GB2312"/>
          <w:szCs w:val="32"/>
        </w:rPr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天津市人民代表大会常务委员会</w:t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关于天津市资源税适用税率、计征方式及</w:t>
      </w:r>
    </w:p>
    <w:p>
      <w:pPr>
        <w:pStyle w:val="Normal"/>
        <w:spacing w:lineRule="exact" w:line="720"/>
        <w:jc w:val="center"/>
        <w:rPr>
          <w:rFonts w:ascii="宋体" w:hAnsi="宋体" w:eastAsia="宋体" w:cs="宋体" w:hint="eastAsia"/>
          <w:sz w:val="36"/>
          <w:szCs w:val="36"/>
        </w:rPr>
      </w:pPr>
      <w:r>
        <w:rPr>
          <w:rFonts w:ascii="宋体" w:hAnsi="宋体" w:cs="宋体" w:hint="eastAsia" w:eastAsia="宋体"/>
          <w:sz w:val="44"/>
          <w:szCs w:val="44"/>
        </w:rPr>
        <w:t>减征免征办法的决定</w:t>
      </w:r>
    </w:p>
    <w:p>
      <w:pPr>
        <w:pStyle w:val="2"/>
        <w:spacing w:lineRule="exact" w:line="400" w:before="0" w:after="0"/>
        <w:ind w:firstLineChars="0" w:firstLine="0" w:startChars="0" w:start="0" w:endChars="200"/>
        <w:contextualSpacing/>
        <w:jc w:val="both"/>
        <w:rPr>
          <w:rFonts w:ascii="宋体" w:hAnsi="宋体" w:eastAsia="宋体" w:cs="Adobe 楷体 Std R;楷体_GB2312" w:hint="eastAsia"/>
          <w:color w:val="000000"/>
          <w:sz w:val="36"/>
          <w:szCs w:val="36"/>
        </w:rPr>
      </w:pPr>
      <w:r>
        <w:rPr>
          <w:rFonts w:eastAsia="宋体" w:cs="Adobe 楷体 Std R;楷体_GB2312" w:hint="eastAsia" w:ascii="宋体" w:hAnsi="宋体"/>
          <w:color w:val="000000"/>
          <w:sz w:val="36"/>
          <w:szCs w:val="36"/>
        </w:rPr>
      </w:r>
    </w:p>
    <w:p>
      <w:pPr>
        <w:pStyle w:val="2"/>
        <w:spacing w:lineRule="exact" w:line="560" w:before="0" w:after="0"/>
        <w:ind w:firstLineChars="0" w:firstLine="0" w:startChars="200" w:endChars="200"/>
        <w:contextualSpacing/>
        <w:jc w:val="center"/>
        <w:rPr>
          <w:rFonts w:cs="Adobe 楷体 Std R;楷体_GB2312"/>
          <w:color w:val="000000"/>
        </w:rPr>
      </w:pPr>
      <w:r>
        <w:rPr>
          <w:rFonts w:cs="Adobe 楷体 Std R;楷体_GB2312" w:hint="eastAsia"/>
          <w:color w:val="000000"/>
        </w:rPr>
        <w:t>（</w:t>
      </w:r>
      <w:r>
        <w:rPr>
          <w:rFonts w:cs="Adobe 楷体 Std R;楷体_GB2312" w:hint="eastAsia"/>
          <w:color w:val="000000"/>
        </w:rPr>
        <w:t>2020</w:t>
      </w:r>
      <w:r>
        <w:rPr>
          <w:rFonts w:cs="Adobe 楷体 Std R;楷体_GB2312" w:hint="eastAsia"/>
          <w:color w:val="000000"/>
        </w:rPr>
        <w:t>年</w:t>
      </w:r>
      <w:r>
        <w:rPr>
          <w:rFonts w:cs="Adobe 楷体 Std R;楷体_GB2312" w:hint="eastAsia"/>
          <w:color w:val="000000"/>
        </w:rPr>
        <w:t>7</w:t>
      </w:r>
      <w:r>
        <w:rPr>
          <w:rFonts w:cs="Adobe 楷体 Std R;楷体_GB2312" w:hint="eastAsia"/>
          <w:color w:val="000000"/>
        </w:rPr>
        <w:t>月</w:t>
      </w:r>
      <w:r>
        <w:rPr>
          <w:rFonts w:cs="Adobe 楷体 Std R;楷体_GB2312"/>
          <w:color w:val="000000"/>
        </w:rPr>
        <w:t>29</w:t>
      </w:r>
      <w:r>
        <w:rPr>
          <w:rFonts w:cs="Adobe 楷体 Std R;楷体_GB2312" w:hint="eastAsia"/>
          <w:color w:val="000000"/>
        </w:rPr>
        <w:t>日天津市</w:t>
      </w:r>
      <w:r>
        <w:rPr>
          <w:rFonts w:cs="Adobe 楷体 Std R;楷体_GB2312"/>
          <w:color w:val="000000"/>
        </w:rPr>
        <w:t>第十七届人民代表大会</w:t>
      </w:r>
    </w:p>
    <w:p>
      <w:pPr>
        <w:pStyle w:val="2"/>
        <w:spacing w:lineRule="exact" w:line="560" w:before="0" w:after="0"/>
        <w:ind w:firstLineChars="0" w:firstLine="0" w:startChars="200" w:endChars="200"/>
        <w:contextualSpacing/>
        <w:jc w:val="center"/>
        <w:rPr>
          <w:rFonts w:cs="Adobe 楷体 Std R;楷体_GB2312"/>
          <w:color w:val="000000"/>
        </w:rPr>
      </w:pPr>
      <w:r>
        <w:rPr>
          <w:rFonts w:cs="Adobe 楷体 Std R;楷体_GB2312"/>
          <w:color w:val="000000"/>
        </w:rPr>
        <w:t>常务委员会第</w:t>
      </w:r>
      <w:r>
        <w:rPr>
          <w:rFonts w:cs="Adobe 楷体 Std R;楷体_GB2312" w:hint="eastAsia"/>
          <w:color w:val="000000"/>
        </w:rPr>
        <w:t>二十一</w:t>
      </w:r>
      <w:r>
        <w:rPr>
          <w:rFonts w:cs="Adobe 楷体 Std R;楷体_GB2312"/>
          <w:color w:val="000000"/>
        </w:rPr>
        <w:t>次会议通过</w:t>
      </w:r>
      <w:r>
        <w:rPr>
          <w:rFonts w:cs="Adobe 楷体 Std R;楷体_GB2312" w:hint="eastAsia"/>
          <w:color w:val="000000"/>
        </w:rPr>
        <w:t>）</w:t>
      </w:r>
    </w:p>
    <w:p>
      <w:pPr>
        <w:pStyle w:val="BodyText"/>
        <w:rPr>
          <w:rFonts w:cs="Adobe 楷体 Std R;楷体_GB2312"/>
          <w:color w:val="000000"/>
          <w:szCs w:val="32"/>
        </w:rPr>
      </w:pPr>
      <w:r>
        <w:rPr>
          <w:rFonts w:cs="Adobe 楷体 Std R;楷体_GB2312"/>
          <w:color w:val="000000"/>
          <w:szCs w:val="32"/>
        </w:rPr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为了促进资源节约集约利用，加强生态环境保护，根据《中华人民共和国资源税法》，结合本市实际，作如下决定：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一、在本市行政区域内开发应税资源的单位和个人，为资源税的纳税人，应当依照《中华人民共和国资源税法》和本决定缴纳资源税。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二、本决定对《中华人民共和国资源税法》中规定实行幅度税率的石灰岩、其他粘土、矿泉水、海盐、地热等本市应税资源适用税率、计征方式及减征免征办法作出具体规定。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三、石灰岩的征税对象为原矿，适用税率为百分之五，实行从价计征。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四、其他粘土的征税对象为原矿，适用税率为每立方米三元，实行从量计征。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五、矿泉水的适用税率为每立方米十元，实行从量计征。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六、海盐的适用税率为百分之五，实行从价计征。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七、地热的适用税率依照本决定所附《天津市地热资源税税率表》执行，实行从量计征。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八、纳税人开采或者生产应税产品过程中，因意外事故或者自然灾害等原因遭受重大损失的，本市可以根据其损失程度减征资源税，但减税额最高不超过其遭受重大损失当年的资源税应纳税额。</w:t>
      </w:r>
    </w:p>
    <w:p>
      <w:pPr>
        <w:pStyle w:val="BodyText"/>
        <w:spacing w:before="0" w:after="0"/>
        <w:ind w:firstLineChars="200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  <w:t>九、对</w:t>
      </w:r>
      <w:r>
        <w:rPr>
          <w:szCs w:val="32"/>
        </w:rPr>
        <w:t>取用地表水或者</w:t>
      </w:r>
      <w:r>
        <w:rPr>
          <w:rFonts w:hint="eastAsia"/>
          <w:szCs w:val="32"/>
        </w:rPr>
        <w:t>地下</w:t>
      </w:r>
      <w:r>
        <w:rPr>
          <w:szCs w:val="32"/>
        </w:rPr>
        <w:t>水</w:t>
      </w:r>
      <w:r>
        <w:rPr>
          <w:rFonts w:hint="eastAsia"/>
          <w:szCs w:val="32"/>
        </w:rPr>
        <w:t>的单位</w:t>
      </w:r>
      <w:r>
        <w:rPr>
          <w:szCs w:val="32"/>
        </w:rPr>
        <w:t>和个人</w:t>
      </w:r>
      <w:r>
        <w:rPr>
          <w:rFonts w:hint="eastAsia"/>
          <w:szCs w:val="32"/>
        </w:rPr>
        <w:t>征收</w:t>
      </w:r>
      <w:r>
        <w:rPr>
          <w:szCs w:val="32"/>
        </w:rPr>
        <w:t>水资源税，</w:t>
      </w:r>
      <w:r>
        <w:rPr>
          <w:rFonts w:hint="eastAsia"/>
          <w:szCs w:val="32"/>
        </w:rPr>
        <w:t>水资源税征收办法按照《中华人民共和国资源税法》和国务院相关规定执行。</w:t>
      </w:r>
    </w:p>
    <w:p>
      <w:pPr>
        <w:pStyle w:val="BodyText"/>
        <w:spacing w:before="0" w:after="0"/>
        <w:ind w:firstLineChars="200" w:startChars="0" w:start="0" w:endChars="0" w:end="0"/>
        <w:rPr>
          <w:rFonts w:ascii="仿宋_GB2312" w:hAnsi="仿宋_GB2312" w:hint="eastAsia"/>
          <w:szCs w:val="32"/>
        </w:rPr>
      </w:pPr>
      <w:r>
        <w:rPr>
          <w:rFonts w:ascii="仿宋_GB2312" w:hAnsi="仿宋_GB2312" w:hint="eastAsia"/>
          <w:szCs w:val="32"/>
        </w:rPr>
        <w:t>十、本决定自</w:t>
      </w:r>
      <w:r>
        <w:rPr>
          <w:rFonts w:ascii="仿宋_GB2312" w:hAnsi="仿宋_GB2312"/>
          <w:szCs w:val="32"/>
        </w:rPr>
        <w:t>2020</w:t>
      </w:r>
      <w:r>
        <w:rPr>
          <w:rFonts w:ascii="仿宋_GB2312" w:hAnsi="仿宋_GB2312" w:hint="eastAsia"/>
          <w:szCs w:val="32"/>
        </w:rPr>
        <w:t>年</w:t>
      </w:r>
      <w:r>
        <w:rPr>
          <w:rFonts w:ascii="仿宋_GB2312" w:hAnsi="仿宋_GB2312"/>
          <w:szCs w:val="32"/>
        </w:rPr>
        <w:t>9</w:t>
      </w:r>
      <w:r>
        <w:rPr>
          <w:rFonts w:ascii="仿宋_GB2312" w:hAnsi="仿宋_GB2312" w:hint="eastAsia"/>
          <w:szCs w:val="32"/>
        </w:rPr>
        <w:t>月</w:t>
      </w:r>
      <w:r>
        <w:rPr>
          <w:rFonts w:ascii="仿宋_GB2312" w:hAnsi="仿宋_GB2312"/>
          <w:szCs w:val="32"/>
        </w:rPr>
        <w:t>1</w:t>
      </w:r>
      <w:r>
        <w:rPr>
          <w:rFonts w:ascii="仿宋_GB2312" w:hAnsi="仿宋_GB2312" w:hint="eastAsia"/>
          <w:szCs w:val="32"/>
        </w:rPr>
        <w:t>日起施行。</w:t>
      </w:r>
    </w:p>
    <w:p>
      <w:pPr>
        <w:pStyle w:val="BodyText"/>
        <w:rPr>
          <w:rFonts w:ascii="仿宋_GB2312" w:hAnsi="仿宋_GB2312" w:hint="eastAsia"/>
          <w:szCs w:val="32"/>
        </w:rPr>
      </w:pPr>
      <w:r>
        <w:rPr>
          <w:rFonts w:hint="eastAsia" w:ascii="仿宋_GB2312" w:hAnsi="仿宋_GB2312"/>
          <w:szCs w:val="32"/>
        </w:rPr>
      </w:r>
    </w:p>
    <w:p>
      <w:pPr>
        <w:pStyle w:val="BodyText"/>
        <w:rPr>
          <w:szCs w:val="32"/>
        </w:rPr>
      </w:pPr>
      <w:r>
        <w:rPr>
          <w:szCs w:val="32"/>
        </w:rPr>
      </w:r>
    </w:p>
    <w:p>
      <w:pPr>
        <w:pStyle w:val="BodyText"/>
        <w:ind w:hangingChars="294" w:startChars="0" w:start="0" w:endChars="0" w:end="0"/>
        <w:rPr>
          <w:szCs w:val="32"/>
        </w:rPr>
      </w:pPr>
      <w:r>
        <w:rPr>
          <w:szCs w:val="32"/>
        </w:rPr>
      </w:r>
    </w:p>
    <w:p>
      <w:pPr>
        <w:pStyle w:val="BodyText"/>
        <w:ind w:hangingChars="294" w:startChars="0" w:start="0" w:endChars="0" w:end="0"/>
        <w:rPr>
          <w:szCs w:val="32"/>
        </w:rPr>
      </w:pPr>
      <w:r>
        <w:rPr>
          <w:szCs w:val="32"/>
        </w:rPr>
      </w:r>
    </w:p>
    <w:p>
      <w:pPr>
        <w:pStyle w:val="BodyText"/>
        <w:ind w:hangingChars="294" w:startChars="0" w:start="0" w:endChars="0" w:end="0"/>
        <w:rPr>
          <w:szCs w:val="32"/>
        </w:rPr>
      </w:pPr>
      <w:r>
        <w:rPr>
          <w:szCs w:val="32"/>
        </w:rPr>
      </w:r>
    </w:p>
    <w:p>
      <w:pPr>
        <w:pStyle w:val="BodyText"/>
        <w:ind w:hangingChars="294" w:startChars="0" w:start="0" w:endChars="0" w:end="0"/>
        <w:rPr>
          <w:szCs w:val="32"/>
        </w:rPr>
      </w:pPr>
      <w:r>
        <w:rPr>
          <w:szCs w:val="32"/>
        </w:rPr>
      </w:r>
    </w:p>
    <w:p>
      <w:pPr>
        <w:pStyle w:val="BodyText"/>
        <w:ind w:hangingChars="294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ind w:hangingChars="294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ind w:hangingChars="294" w:startChars="0" w:start="0" w:endChars="0" w:end="0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Normal"/>
        <w:tabs>
          <w:tab w:val="clear" w:pos="420"/>
          <w:tab w:val="left" w:pos="603" w:leader="none"/>
          <w:tab w:val="left" w:pos="7638" w:leader="none"/>
        </w:tabs>
        <w:snapToGrid w:val="false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tabs>
          <w:tab w:val="clear" w:pos="420"/>
          <w:tab w:val="left" w:pos="603" w:leader="none"/>
          <w:tab w:val="left" w:pos="7638" w:leader="none"/>
        </w:tabs>
        <w:snapToGrid w:val="false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tabs>
          <w:tab w:val="clear" w:pos="420"/>
          <w:tab w:val="left" w:pos="603" w:leader="none"/>
          <w:tab w:val="left" w:pos="7638" w:leader="none"/>
        </w:tabs>
        <w:snapToGrid w:val="false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天津市地热资源税税率表</w:t>
      </w:r>
    </w:p>
    <w:p>
      <w:pPr>
        <w:pStyle w:val="Normal"/>
        <w:tabs>
          <w:tab w:val="clear" w:pos="420"/>
          <w:tab w:val="left" w:pos="7920" w:leader="none"/>
        </w:tabs>
        <w:jc w:val="center"/>
        <w:rPr>
          <w:rFonts w:ascii="宋体" w:hAnsi="宋体" w:eastAsia="文星标宋;Arial Unicode MS" w:cs="宋体" w:hint="eastAsia"/>
          <w:sz w:val="44"/>
          <w:szCs w:val="32"/>
        </w:rPr>
      </w:pPr>
      <w:r>
        <w:rPr>
          <w:rFonts w:eastAsia="文星标宋;Arial Unicode MS" w:cs="宋体" w:hint="eastAsia" w:ascii="宋体" w:hAnsi="宋体"/>
          <w:sz w:val="44"/>
          <w:szCs w:val="32"/>
        </w:rPr>
      </w:r>
    </w:p>
    <w:p>
      <w:pPr>
        <w:pStyle w:val="Normal"/>
        <w:jc w:val="center"/>
        <w:rPr>
          <w:szCs w:val="32"/>
        </w:rPr>
      </w:pPr>
      <w:r>
        <w:rPr>
          <w:szCs w:val="32"/>
        </w:rPr>
        <w:t>（自</w:t>
      </w:r>
      <w:r>
        <w:rPr>
          <w:szCs w:val="32"/>
        </w:rPr>
        <w:t>2020</w:t>
      </w:r>
      <w:r>
        <w:rPr>
          <w:szCs w:val="32"/>
        </w:rPr>
        <w:t>年</w:t>
      </w:r>
      <w:r>
        <w:rPr>
          <w:szCs w:val="32"/>
        </w:rPr>
        <w:t>9</w:t>
      </w:r>
      <w:r>
        <w:rPr>
          <w:szCs w:val="32"/>
        </w:rPr>
        <w:t>月</w:t>
      </w:r>
      <w:r>
        <w:rPr>
          <w:szCs w:val="32"/>
        </w:rPr>
        <w:t>1</w:t>
      </w:r>
      <w:r>
        <w:rPr>
          <w:szCs w:val="32"/>
        </w:rPr>
        <w:t>日至</w:t>
      </w:r>
      <w:r>
        <w:rPr>
          <w:szCs w:val="32"/>
        </w:rPr>
        <w:t>2022</w:t>
      </w:r>
      <w:r>
        <w:rPr>
          <w:szCs w:val="32"/>
        </w:rPr>
        <w:t>年</w:t>
      </w:r>
      <w:r>
        <w:rPr>
          <w:szCs w:val="32"/>
        </w:rPr>
        <w:t>3</w:t>
      </w:r>
      <w:r>
        <w:rPr>
          <w:szCs w:val="32"/>
        </w:rPr>
        <w:t>月</w:t>
      </w:r>
      <w:r>
        <w:rPr>
          <w:szCs w:val="32"/>
        </w:rPr>
        <w:t>31</w:t>
      </w:r>
      <w:r>
        <w:rPr>
          <w:szCs w:val="32"/>
        </w:rPr>
        <w:t>日施行）</w:t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2"/>
        <w:gridCol w:w="2437"/>
        <w:gridCol w:w="2265"/>
        <w:gridCol w:w="2266"/>
      </w:tblGrid>
      <w:tr>
        <w:trPr>
          <w:trHeight w:val="567" w:hRule="atLeast"/>
        </w:trPr>
        <w:tc>
          <w:tcPr>
            <w:tcW w:w="20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7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一般用途</w:t>
            </w:r>
          </w:p>
        </w:tc>
        <w:tc>
          <w:tcPr>
            <w:tcW w:w="226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特殊用途</w:t>
            </w:r>
          </w:p>
        </w:tc>
      </w:tr>
      <w:tr>
        <w:trPr>
          <w:trHeight w:val="567" w:hRule="atLeast"/>
        </w:trPr>
        <w:tc>
          <w:tcPr>
            <w:tcW w:w="20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回灌量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未回灌量</w:t>
            </w:r>
          </w:p>
        </w:tc>
        <w:tc>
          <w:tcPr>
            <w:tcW w:w="226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</w:r>
          </w:p>
        </w:tc>
      </w:tr>
      <w:tr>
        <w:trPr>
          <w:trHeight w:val="567" w:hRule="atLeast"/>
        </w:trPr>
        <w:tc>
          <w:tcPr>
            <w:tcW w:w="2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税率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元</w:t>
            </w:r>
          </w:p>
        </w:tc>
      </w:tr>
    </w:tbl>
    <w:p>
      <w:pPr>
        <w:pStyle w:val="Normal"/>
        <w:ind w:firstLineChars="200" w:startChars="0" w:start="0" w:endChars="0" w:end="0"/>
        <w:jc w:val="center"/>
        <w:rPr>
          <w:szCs w:val="32"/>
        </w:rPr>
      </w:pPr>
      <w:r>
        <w:rPr>
          <w:szCs w:val="32"/>
        </w:rPr>
      </w:r>
    </w:p>
    <w:p>
      <w:pPr>
        <w:pStyle w:val="Normal"/>
        <w:jc w:val="center"/>
        <w:rPr>
          <w:szCs w:val="32"/>
        </w:rPr>
      </w:pPr>
      <w:r>
        <w:rPr>
          <w:szCs w:val="32"/>
        </w:rPr>
        <w:t>（自</w:t>
      </w:r>
      <w:r>
        <w:rPr>
          <w:szCs w:val="32"/>
        </w:rPr>
        <w:t>2022</w:t>
      </w:r>
      <w:r>
        <w:rPr>
          <w:szCs w:val="32"/>
        </w:rPr>
        <w:t>年</w:t>
      </w:r>
      <w:r>
        <w:rPr>
          <w:szCs w:val="32"/>
        </w:rPr>
        <w:t>4</w:t>
      </w:r>
      <w:r>
        <w:rPr>
          <w:szCs w:val="32"/>
        </w:rPr>
        <w:t>月</w:t>
      </w:r>
      <w:r>
        <w:rPr>
          <w:szCs w:val="32"/>
        </w:rPr>
        <w:t>1</w:t>
      </w:r>
      <w:r>
        <w:rPr>
          <w:szCs w:val="32"/>
        </w:rPr>
        <w:t>日起施行）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1"/>
        <w:gridCol w:w="2211"/>
        <w:gridCol w:w="2010"/>
        <w:gridCol w:w="2010"/>
      </w:tblGrid>
      <w:tr>
        <w:trPr>
          <w:trHeight w:val="567" w:hRule="atLeast"/>
        </w:trPr>
        <w:tc>
          <w:tcPr>
            <w:tcW w:w="28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</w:r>
          </w:p>
        </w:tc>
        <w:tc>
          <w:tcPr>
            <w:tcW w:w="42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一般用途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特殊用途</w:t>
            </w:r>
          </w:p>
        </w:tc>
      </w:tr>
      <w:tr>
        <w:trPr>
          <w:trHeight w:val="567" w:hRule="atLeast"/>
        </w:trPr>
        <w:tc>
          <w:tcPr>
            <w:tcW w:w="28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回灌量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未回灌量</w:t>
            </w:r>
          </w:p>
        </w:tc>
        <w:tc>
          <w:tcPr>
            <w:tcW w:w="20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</w:r>
          </w:p>
        </w:tc>
      </w:tr>
      <w:tr>
        <w:trPr>
          <w:trHeight w:val="567" w:hRule="atLeast"/>
        </w:trPr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税率</w:t>
            </w:r>
            <w:r>
              <w:rPr>
                <w:rFonts w:hint="eastAsia"/>
                <w:sz w:val="28"/>
                <w:szCs w:val="28"/>
              </w:rPr>
              <w:t>（</w:t>
            </w:r>
            <w:r>
              <w:rPr>
                <w:sz w:val="28"/>
                <w:szCs w:val="28"/>
              </w:rPr>
              <w:t>40</w:t>
            </w:r>
            <w:r>
              <w:rPr>
                <w:rFonts w:cs="宋体" w:hint="eastAsia"/>
                <w:sz w:val="28"/>
                <w:szCs w:val="28"/>
              </w:rPr>
              <w:t>℃</w:t>
            </w:r>
            <w:r>
              <w:rPr>
                <w:rFonts w:cs="仿宋_GB2312" w:ascii="仿宋_GB2312" w:hAnsi="仿宋_GB2312"/>
                <w:sz w:val="28"/>
                <w:szCs w:val="28"/>
              </w:rPr>
              <w:t>≤</w:t>
            </w:r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＜</w:t>
            </w:r>
            <w:r>
              <w:rPr>
                <w:sz w:val="28"/>
                <w:szCs w:val="28"/>
              </w:rPr>
              <w:t>60</w:t>
            </w:r>
            <w:r>
              <w:rPr>
                <w:rFonts w:cs="宋体" w:hint="eastAsia"/>
                <w:sz w:val="28"/>
                <w:szCs w:val="28"/>
              </w:rPr>
              <w:t>℃</w:t>
            </w:r>
            <w:r>
              <w:rPr>
                <w:rFonts w:cs="宋体" w:hint="eastAsia"/>
                <w:sz w:val="28"/>
                <w:szCs w:val="28"/>
              </w:rPr>
              <w:t>）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1.2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rFonts w:hint="eastAsia"/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元</w:t>
            </w:r>
          </w:p>
        </w:tc>
      </w:tr>
      <w:tr>
        <w:trPr>
          <w:trHeight w:val="567" w:hRule="atLeast"/>
        </w:trPr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税率</w:t>
            </w:r>
            <w:r>
              <w:rPr>
                <w:rFonts w:hint="eastAsia"/>
                <w:sz w:val="28"/>
                <w:szCs w:val="28"/>
              </w:rPr>
              <w:t>（</w:t>
            </w:r>
            <w:r>
              <w:rPr>
                <w:sz w:val="28"/>
                <w:szCs w:val="28"/>
              </w:rPr>
              <w:t>60</w:t>
            </w:r>
            <w:r>
              <w:rPr>
                <w:rFonts w:cs="宋体" w:hint="eastAsia"/>
                <w:sz w:val="28"/>
                <w:szCs w:val="28"/>
              </w:rPr>
              <w:t>℃</w:t>
            </w:r>
            <w:r>
              <w:rPr>
                <w:rFonts w:cs="仿宋_GB2312" w:ascii="仿宋_GB2312" w:hAnsi="仿宋_GB2312"/>
                <w:sz w:val="28"/>
                <w:szCs w:val="28"/>
              </w:rPr>
              <w:t>≤</w:t>
            </w:r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＜</w:t>
            </w:r>
            <w:r>
              <w:rPr>
                <w:sz w:val="28"/>
                <w:szCs w:val="28"/>
              </w:rPr>
              <w:t>80</w:t>
            </w:r>
            <w:r>
              <w:rPr>
                <w:rFonts w:cs="宋体" w:hint="eastAsia"/>
                <w:sz w:val="28"/>
                <w:szCs w:val="28"/>
              </w:rPr>
              <w:t>℃</w:t>
            </w:r>
            <w:r>
              <w:rPr>
                <w:rFonts w:cs="宋体" w:hint="eastAsia"/>
                <w:sz w:val="28"/>
                <w:szCs w:val="28"/>
              </w:rPr>
              <w:t>）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1.6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rFonts w:hint="eastAsia"/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67" w:hRule="atLeast"/>
        </w:trPr>
        <w:tc>
          <w:tcPr>
            <w:tcW w:w="2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税率</w:t>
            </w:r>
            <w:r>
              <w:rPr>
                <w:rFonts w:hint="eastAsia"/>
                <w:sz w:val="28"/>
                <w:szCs w:val="28"/>
              </w:rPr>
              <w:t>（</w:t>
            </w:r>
            <w:r>
              <w:rPr>
                <w:sz w:val="28"/>
                <w:szCs w:val="28"/>
              </w:rPr>
              <w:t>T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cs="仿宋_GB2312" w:ascii="仿宋_GB2312" w:hAnsi="仿宋_GB2312"/>
                <w:sz w:val="28"/>
                <w:szCs w:val="28"/>
              </w:rPr>
              <w:t>≥</w:t>
            </w:r>
            <w:r>
              <w:rPr>
                <w:sz w:val="28"/>
                <w:szCs w:val="28"/>
              </w:rPr>
              <w:t>80</w:t>
            </w:r>
            <w:r>
              <w:rPr>
                <w:rFonts w:cs="宋体" w:hint="eastAsia"/>
                <w:sz w:val="28"/>
                <w:szCs w:val="28"/>
              </w:rPr>
              <w:t>℃</w:t>
            </w:r>
            <w:r>
              <w:rPr>
                <w:rFonts w:cs="宋体" w:hint="eastAsia"/>
                <w:sz w:val="28"/>
                <w:szCs w:val="28"/>
              </w:rPr>
              <w:t>）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每立方米</w:t>
            </w:r>
            <w:r>
              <w:rPr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元</w:t>
            </w:r>
          </w:p>
        </w:tc>
        <w:tc>
          <w:tcPr>
            <w:tcW w:w="20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420"/>
          <w:tab w:val="left" w:pos="7920" w:leader="none"/>
        </w:tabs>
        <w:ind w:firstLineChars="196" w:startChars="0" w:start="0" w:endChars="0" w:end="0"/>
        <w:rPr>
          <w:rFonts w:eastAsia="文星标宋;Arial Unicode MS" w:hint="eastAsia"/>
          <w:szCs w:val="32"/>
        </w:rPr>
      </w:pPr>
      <w:r>
        <w:rPr>
          <w:szCs w:val="32"/>
        </w:rPr>
        <w:t>注：</w:t>
      </w:r>
      <w:r>
        <w:rPr>
          <w:szCs w:val="32"/>
        </w:rPr>
        <w:t>T</w:t>
      </w:r>
      <w:r>
        <w:rPr>
          <w:szCs w:val="32"/>
        </w:rPr>
        <w:t>指出水温度</w:t>
      </w:r>
      <w:r>
        <w:rPr>
          <w:rFonts w:hint="eastAsia"/>
          <w:szCs w:val="32"/>
        </w:rPr>
        <w:t>。</w:t>
      </w:r>
    </w:p>
    <w:p>
      <w:pPr>
        <w:pStyle w:val="BodyText"/>
        <w:ind w:hangingChars="294" w:startChars="0" w:start="0" w:endChars="0" w:end="0"/>
        <w:rPr>
          <w:rFonts w:eastAsia="文星标宋;Arial Unicode MS" w:hint="eastAsia"/>
          <w:szCs w:val="32"/>
        </w:rPr>
      </w:pPr>
      <w:r>
        <w:rPr>
          <w:rFonts w:eastAsia="文星标宋;Arial Unicode MS" w:hint="eastAsia"/>
          <w:szCs w:val="32"/>
        </w:rPr>
      </w:r>
    </w:p>
    <w:p>
      <w:pPr>
        <w:pStyle w:val="BodyText"/>
        <w:snapToGrid w:val="false"/>
        <w:ind w:hangingChars="294" w:startChars="0" w:start="0" w:endChars="0" w:end="0"/>
        <w:jc w:val="center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snapToGrid w:val="false"/>
        <w:ind w:hangingChars="294" w:startChars="0" w:start="0" w:endChars="0" w:end="0"/>
        <w:jc w:val="center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snapToGrid w:val="false"/>
        <w:ind w:hangingChars="294" w:startChars="0" w:start="0" w:endChars="0" w:end="0"/>
        <w:jc w:val="center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snapToGrid w:val="false"/>
        <w:ind w:hangingChars="294" w:startChars="0" w:start="0" w:endChars="0" w:end="0"/>
        <w:jc w:val="center"/>
        <w:rPr>
          <w:rFonts w:hint="eastAsia"/>
          <w:szCs w:val="32"/>
        </w:rPr>
      </w:pPr>
      <w:r>
        <w:rPr>
          <w:rFonts w:hint="eastAsia"/>
          <w:szCs w:val="32"/>
        </w:rPr>
      </w:r>
    </w:p>
    <w:p>
      <w:pPr>
        <w:pStyle w:val="BodyText"/>
        <w:spacing w:before="0" w:after="0"/>
        <w:rPr>
          <w:rFonts w:hint="eastAsia"/>
          <w:szCs w:val="32"/>
        </w:rPr>
      </w:pPr>
      <w:r>
        <w:rPr>
          <w:rFonts w:hint="eastAsia"/>
          <w:szCs w:val="32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992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楷体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9535" cy="20447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05pt;height:16.1pt;mso-wrap-distance-left:0pt;mso-wrap-distance-right:0pt;mso-wrap-distance-top:0pt;mso-wrap-distance-bottom:0pt;margin-top:0.05pt;mso-position-vertical-relative:text;margin-left:217.6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2CharChar">
    <w:name w:val="标题2 Char Char"/>
    <w:qFormat/>
    <w:rPr>
      <w:rFonts w:ascii="楷体_GB2312" w:hAnsi="楷体_GB2312" w:eastAsia="楷体_GB2312" w:cs="宋体"/>
      <w:bCs/>
      <w:smallCaps/>
      <w:color w:val="000000"/>
      <w:kern w:val="2"/>
      <w:sz w:val="32"/>
      <w:szCs w:val="32"/>
    </w:rPr>
  </w:style>
  <w:style w:type="character" w:styleId="PageNumber">
    <w:name w:val="page number"/>
    <w:basedOn w:val="Style14"/>
    <w:rPr/>
  </w:style>
  <w:style w:type="character" w:styleId="Char">
    <w:name w:val="正文文本 Char"/>
    <w:qFormat/>
    <w:rPr>
      <w:rFonts w:eastAsia="仿宋_GB2312"/>
      <w:kern w:val="2"/>
      <w:sz w:val="32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rFonts w:ascii="仿宋_GB2312" w:hAnsi="仿宋_GB2312"/>
    </w:rPr>
  </w:style>
  <w:style w:type="paragraph" w:styleId="Style15">
    <w:name w:val="普通(网站)"/>
    <w:basedOn w:val="Normal"/>
    <w:qFormat/>
    <w:pPr/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Style17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2">
    <w:name w:val="标题2"/>
    <w:basedOn w:val="Style15"/>
    <w:qFormat/>
    <w:pPr>
      <w:snapToGrid w:val="false"/>
      <w:spacing w:before="280" w:after="280"/>
      <w:jc w:val="center"/>
    </w:pPr>
    <w:rPr>
      <w:rFonts w:ascii="楷体_GB2312" w:hAnsi="楷体_GB2312" w:eastAsia="楷体_GB2312" w:cs="宋体"/>
      <w:bCs/>
      <w:smallCaps/>
      <w:color w:val="00000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2015-09-29T00:40:00Z</dcterms:created>
  <dc:creator>微软用户</dc:creator>
  <dc:description/>
  <dc:language>en-US</dc:language>
  <cp:lastModifiedBy>tjrd</cp:lastModifiedBy>
  <cp:lastPrinted>2015-09-29T22:20:00Z</cp:lastPrinted>
  <dcterms:modified xsi:type="dcterms:W3CDTF">2020-08-10T09:22:25Z</dcterms:modified>
  <cp:revision>54</cp:revision>
  <dc:subject/>
  <dc:title>在“以史为鉴、感悟人生”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