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 w:before="0" w:after="0"/>
        <w:ind w:firstLine="285" w:end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Adobe 仿宋 Std R;仿宋_GB2312" w:cs="Adobe 仿宋 Std R;仿宋_GB2312" w:hint="eastAsia" w:ascii="Adobe 仿宋 Std R;仿宋_GB2312" w:hAnsi="Adobe 仿宋 Std R;仿宋_GB2312"/>
          <w:szCs w:val="32"/>
        </w:rPr>
        <w:t xml:space="preserve">  </w:t>
      </w:r>
    </w:p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天津市国防教育条例</w:t>
      </w:r>
    </w:p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</w:p>
    <w:p>
      <w:pPr>
        <w:pStyle w:val="Normal"/>
        <w:snapToGrid w:val="false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Adobe 仿宋 Std R;仿宋_GB2312"/>
          <w:szCs w:val="32"/>
        </w:rPr>
      </w:pPr>
      <w:r>
        <w:rPr>
          <w:rFonts w:ascii="楷体_GB2312" w:hAnsi="楷体_GB2312" w:cs="Adobe 仿宋 Std R;仿宋_GB2312" w:hint="eastAsia" w:eastAsia="楷体_GB2312"/>
          <w:szCs w:val="32"/>
        </w:rPr>
        <w:t>（</w:t>
      </w:r>
      <w:r>
        <w:rPr>
          <w:rFonts w:eastAsia="楷体_GB2312" w:cs="Adobe 仿宋 Std R;仿宋_GB2312" w:hint="eastAsia" w:ascii="楷体_GB2312" w:hAnsi="楷体_GB2312"/>
          <w:szCs w:val="32"/>
        </w:rPr>
        <w:t>1991</w:t>
      </w:r>
      <w:r>
        <w:rPr>
          <w:rFonts w:ascii="楷体_GB2312" w:hAnsi="楷体_GB2312" w:cs="Adobe 仿宋 Std R;仿宋_GB2312" w:hint="eastAsia" w:eastAsia="楷体_GB2312"/>
          <w:szCs w:val="32"/>
        </w:rPr>
        <w:t>年</w:t>
      </w:r>
      <w:r>
        <w:rPr>
          <w:rFonts w:eastAsia="楷体_GB2312" w:cs="Adobe 仿宋 Std R;仿宋_GB2312" w:hint="eastAsia" w:ascii="楷体_GB2312" w:hAnsi="楷体_GB2312"/>
          <w:szCs w:val="32"/>
        </w:rPr>
        <w:t>1</w:t>
      </w:r>
      <w:r>
        <w:rPr>
          <w:rFonts w:ascii="楷体_GB2312" w:hAnsi="楷体_GB2312" w:cs="Adobe 仿宋 Std R;仿宋_GB2312" w:hint="eastAsia" w:eastAsia="楷体_GB2312"/>
          <w:szCs w:val="32"/>
        </w:rPr>
        <w:t>月</w:t>
      </w:r>
      <w:r>
        <w:rPr>
          <w:rFonts w:eastAsia="楷体_GB2312" w:cs="Adobe 仿宋 Std R;仿宋_GB2312" w:hint="eastAsia" w:ascii="楷体_GB2312" w:hAnsi="楷体_GB2312"/>
          <w:szCs w:val="32"/>
        </w:rPr>
        <w:t>29</w:t>
      </w:r>
      <w:r>
        <w:rPr>
          <w:rFonts w:ascii="楷体_GB2312" w:hAnsi="楷体_GB2312" w:cs="Adobe 仿宋 Std R;仿宋_GB2312" w:hint="eastAsia" w:eastAsia="楷体_GB2312"/>
          <w:szCs w:val="32"/>
        </w:rPr>
        <w:t>日天津市第十一届人民代表大会常务委员会第二十三次会议通过）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/>
          <w:bCs/>
          <w:smallCaps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黑体" w:cs="Adobe 仿宋 Std R;仿宋_GB2312" w:hint="eastAsia" w:ascii="黑体" w:hAnsi="黑体"/>
          <w:bCs/>
          <w:smallCaps/>
          <w:szCs w:val="32"/>
        </w:rPr>
        <w:t xml:space="preserve">    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为增强公民的国防观念，振奋民族精神，促进国防建设、经济建设和社会主义精神文明建设，根据宪法、法律的有关规定，结合本市实际情况，制定本条例。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　第二条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本条例所称国防教育，是指对公民进行以爱国主义为核心的国防观念、国防知识和启发公民依法履行保卫祖国以及其他国防义务的教育。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国防教育的内容，包括国防理论、国防历史、国防法制、国防常识、军事训练、国防体育和形势教育等。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开展国防教育是全社会的共同责任。接受国防教育是公民依法享有的权利和应尽的义务。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国防教育应当坚持经常教育和集中教育相结合、重点教育和普及教育相结合、理论教育和行为教育相结合的原则，面向全民，长期坚持。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本条例适用于本市行政区域的国家机关、武装力量、社会团体、企业事业单位、居民委员会、村民委员会以及年满六周岁以上的公民。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市和区、县设立国防教育委员会，具体组织领导国防教育工作。国防教育委员会由有关方面负责人组成。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　</w:t>
      </w:r>
      <w:r>
        <w:rPr>
          <w:rFonts w:ascii="仿宋_GB2312" w:hAnsi="仿宋_GB2312" w:cs="Adobe 仿宋 Std R;仿宋_GB2312" w:hint="eastAsia"/>
          <w:szCs w:val="32"/>
        </w:rPr>
        <w:t>国防教育委员会的职责：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　（一）宣传、贯彻有关国防教育的法律、法规和政策；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（二）制订并组织实施本行政区域的国防教育计划；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（三）研究解决本行政区域国防教育的重大问题；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（四）协调有关部门在国防教育工作中的关系；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（五）检查、监督本条例的执行情况；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（六）确定国防教育的教材和对各类人员的教育内容。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第八条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市和区、县国防教育委员会指定有关部门为其办事机构，负责国防教育的日常工作。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下列人员为接受国防教育的重点对象：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（一）国家机关、社会团体、企业事业单位的负责人；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（二）高等学校、高中、中等专业学校、中等技工学校以及职业学校的学生；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（三）现役军人、民兵、预备役人员。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各级国防教育委员会和各部门、各单位，要在每年建军节、春节前后，开展集中性的国防教育活动，并结合征兵工作或者其他工作，开展多种形式的国防教育活动。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国家机关、武装力量、社会团体、企业事业单位，应当把国防教育纳入干部政治理论学习以及职工思想政治教育计划，通过各种形式进行经常性的国防教育。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　</w:t>
      </w:r>
      <w:r>
        <w:rPr>
          <w:rFonts w:ascii="仿宋_GB2312" w:hAnsi="仿宋_GB2312" w:cs="Adobe 仿宋 Std R;仿宋_GB2312" w:hint="eastAsia"/>
          <w:szCs w:val="32"/>
        </w:rPr>
        <w:t>各级人民政府应当把国防教育纳入社区文化建设规划。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各级各类学校应当把国防教育列入教学计划。高等学校、高中、中等专业学校、中等技工学校以及职业学校，通过开设国防教育课、组织实施军事训练等形式进行国防教育；初中和小学结合教学和课外活动进行国防教育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人民武装部门和预备役部队应当结合军事训练、政治教育和组织整顿等工作，对民兵、预备役人员进行国防教育。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居民委员会、村民委员会应当结合征兵、拥军优属等工作和重大节日活动，对居民、村民进行国防教育。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新闻、出版、广播、电视和其他文化宣传部门，应当利用报刊和其他出版物、广播、电视、文学艺术等形式以及各种文化场所，做好国防教育工作。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国防教育的教员从下列人员中选聘：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（一）各部门、各单位的负责人、离退休人员、政治工作人员以及中等以上学校的教员；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（二）人民武装人员、复员转业军人和民兵、预备役人员中能够担任国防教育工作的人员；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（三）现役军人、军事院校的教员。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各级国防教育委员会应当采取措施，培养、培训国防教育师资。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国防教育委员会每年开展集中性国防教育的经费，由各级人民政府安排。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各部门、各单位经常性的国防教育经费，由本部门、本单位开支。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民兵组织和预备役部队在法律和政策允许的范围内取得的合法收入，可以补充国防教育经费。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第十八条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在国防教育中做出显著成绩的单位和个人，由各级国防教育委员会给予表彰或者物质奖励。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拒不组织国防教育的单位负责人，由其上级主管部门给予批评教育，责令改正；情节严重的，给予行政处分。拒不接受国防教育的重点教育对象，由其所在单位给予批评教育；经教育不改的，给予行政处分。</w:t>
      </w:r>
    </w:p>
    <w:p>
      <w:pPr>
        <w:pStyle w:val="Normal"/>
        <w:snapToGrid w:val="false"/>
        <w:spacing w:lineRule="exact" w:line="560" w:before="0" w:after="0"/>
        <w:ind w:firstLine="285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本条例自公布之日起施行。</w:t>
      </w:r>
    </w:p>
    <w:p>
      <w:pPr>
        <w:pStyle w:val="Normal"/>
        <w:snapToGrid w:val="false"/>
        <w:spacing w:lineRule="exact" w:line="560" w:before="0" w:after="0"/>
        <w:ind w:firstLine="285" w:end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eastAsia="Adobe 仿宋 Std R;仿宋_GB2312" w:cs="Arial"/>
          <w:szCs w:val="32"/>
        </w:rPr>
      </w:pPr>
      <w:r>
        <w:rPr>
          <w:rFonts w:eastAsia="Adobe 仿宋 Std R;仿宋_GB2312" w:cs="Arial" w:ascii="仿宋_GB2312" w:hAnsi="仿宋_GB231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modern"/>
    <w:pitch w:val="default"/>
  </w:font>
  <w:font w:name="文星仿宋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华文宋体">
    <w:charset w:val="86"/>
    <w:family w:val="auto"/>
    <w:pitch w:val="default"/>
  </w:font>
  <w:font w:name="黑体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  <w:font w:name="Adobe 仿宋 Std R">
    <w:altName w:val="仿宋_GB2312"/>
    <w:charset w:val="86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PageNumber">
    <w:name w:val="page number"/>
    <w:basedOn w:val="Style14"/>
    <w:rPr/>
  </w:style>
  <w:style w:type="character" w:styleId="Strong">
    <w:name w:val="Strong"/>
    <w:basedOn w:val="Style14"/>
    <w:qFormat/>
    <w:rPr>
      <w:b/>
      <w:bCs/>
    </w:rPr>
  </w:style>
  <w:style w:type="character" w:styleId="Char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Char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2CharChar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"/>
    <w:qFormat/>
    <w:rPr/>
  </w:style>
  <w:style w:type="character" w:styleId="2CharChar1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">
    <w:name w:val="标题2 Char"/>
    <w:basedOn w:val="Char1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2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3CharChar1">
    <w:name w:val="标题3 Char Char"/>
    <w:basedOn w:val="Char2"/>
    <w:qFormat/>
    <w:rPr>
      <w:rFonts w:ascii="黑体" w:hAnsi="黑体" w:eastAsia="黑体" w:cs="宋体"/>
      <w:sz w:val="32"/>
      <w:szCs w:val="32"/>
    </w:rPr>
  </w:style>
  <w:style w:type="character" w:styleId="2CharChar2">
    <w:name w:val="标题2 Char Char"/>
    <w:basedOn w:val="Char1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1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Char12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1Char">
    <w:name w:val="标题1 Char"/>
    <w:basedOn w:val="Char1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13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3"/>
    <w:qFormat/>
    <w:rPr>
      <w:rFonts w:ascii="黑体" w:hAnsi="黑体" w:eastAsia="黑体" w:cs="宋体"/>
      <w:sz w:val="32"/>
      <w:szCs w:val="32"/>
    </w:rPr>
  </w:style>
  <w:style w:type="character" w:styleId="Char14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2Char1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3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Char4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1CharChar">
    <w:name w:val="样式1 Char Char"/>
    <w:basedOn w:val="Char2"/>
    <w:qFormat/>
    <w:rPr>
      <w:rFonts w:ascii="楷体_GB2312" w:hAnsi="楷体_GB2312" w:eastAsia="楷体_GB2312" w:cs="宋体"/>
      <w:sz w:val="32"/>
      <w:szCs w:val="32"/>
    </w:rPr>
  </w:style>
  <w:style w:type="character" w:styleId="Char5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1">
    <w:name w:val="页眉 Char Char"/>
    <w:basedOn w:val="Style14"/>
    <w:qFormat/>
    <w:rPr>
      <w:kern w:val="2"/>
      <w:sz w:val="18"/>
      <w:szCs w:val="18"/>
    </w:rPr>
  </w:style>
  <w:style w:type="character" w:styleId="CharChar2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6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2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3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3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7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1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1Char1">
    <w:name w:val="样式1 Char"/>
    <w:basedOn w:val="Char13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7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Style18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样式1"/>
    <w:basedOn w:val="Style17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11">
    <w:name w:val="标题1"/>
    <w:basedOn w:val="Style15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5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7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23">
    <w:name w:val="标题2"/>
    <w:basedOn w:val="Style15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2016-12-28T16:23:36Z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