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60" w:before="0" w:after="0"/>
        <w:contextualSpacing/>
        <w:rPr>
          <w:rFonts w:ascii="仿宋_GB2312" w:hAnsi="仿宋_GB2312" w:cs="Arial" w:hint="eastAsia"/>
          <w:color w:val="000000"/>
          <w:szCs w:val="32"/>
        </w:rPr>
      </w:pPr>
      <w:r>
        <w:rPr>
          <w:rFonts w:cs="Arial" w:hint="eastAsia" w:ascii="仿宋_GB2312" w:hAnsi="仿宋_GB2312"/>
          <w:color w:val="000000"/>
          <w:szCs w:val="32"/>
        </w:rPr>
      </w:r>
    </w:p>
    <w:p>
      <w:pPr>
        <w:pStyle w:val="Normal"/>
        <w:spacing w:lineRule="exact" w:line="560" w:before="0" w:after="0"/>
        <w:contextualSpacing/>
        <w:rPr>
          <w:rFonts w:ascii="仿宋_GB2312" w:hAnsi="仿宋_GB2312" w:cs="Arial" w:hint="eastAsia"/>
          <w:color w:val="000000"/>
          <w:szCs w:val="32"/>
        </w:rPr>
      </w:pPr>
      <w:r>
        <w:rPr>
          <w:rFonts w:cs="Arial" w:hint="eastAsia" w:ascii="仿宋_GB2312" w:hAnsi="仿宋_GB2312"/>
          <w:color w:val="000000"/>
          <w:szCs w:val="32"/>
        </w:rPr>
      </w:r>
    </w:p>
    <w:p>
      <w:pPr>
        <w:pStyle w:val="Normal"/>
        <w:spacing w:lineRule="exact" w:line="560" w:before="0" w:after="0"/>
        <w:contextualSpacing/>
        <w:jc w:val="center"/>
        <w:rPr>
          <w:rFonts w:ascii="宋体" w:hAnsi="宋体" w:eastAsia="宋体" w:cs="Arial"/>
          <w:color w:val="000000"/>
          <w:sz w:val="44"/>
          <w:szCs w:val="44"/>
        </w:rPr>
      </w:pPr>
      <w:r>
        <w:rPr>
          <w:rFonts w:ascii="宋体" w:hAnsi="宋体" w:cs="Arial" w:hint="eastAsia" w:eastAsia="宋体"/>
          <w:color w:val="000000"/>
          <w:sz w:val="44"/>
          <w:szCs w:val="44"/>
        </w:rPr>
        <w:t>天津市实施《中华人民</w:t>
      </w:r>
    </w:p>
    <w:p>
      <w:pPr>
        <w:pStyle w:val="Normal"/>
        <w:spacing w:lineRule="exact" w:line="560" w:before="0" w:after="0"/>
        <w:contextualSpacing/>
        <w:jc w:val="center"/>
        <w:rPr>
          <w:rFonts w:ascii="宋体" w:hAnsi="宋体" w:eastAsia="宋体" w:cs="Arial"/>
          <w:color w:val="000000"/>
          <w:sz w:val="44"/>
          <w:szCs w:val="44"/>
        </w:rPr>
      </w:pPr>
      <w:r>
        <w:rPr>
          <w:rFonts w:ascii="宋体" w:hAnsi="宋体" w:cs="Arial" w:hint="eastAsia" w:eastAsia="宋体"/>
          <w:color w:val="000000"/>
          <w:sz w:val="44"/>
          <w:szCs w:val="44"/>
        </w:rPr>
        <w:t>共和国国防动员法》办法</w:t>
      </w:r>
    </w:p>
    <w:p>
      <w:pPr>
        <w:pStyle w:val="Normal"/>
        <w:spacing w:lineRule="exact" w:line="560" w:before="0" w:after="0"/>
        <w:contextualSpacing/>
        <w:rPr>
          <w:rFonts w:ascii="仿宋_GB2312" w:hAnsi="仿宋_GB2312" w:cs="Arial"/>
          <w:color w:val="000000"/>
          <w:szCs w:val="32"/>
        </w:rPr>
      </w:pPr>
      <w:r>
        <w:rPr>
          <w:rFonts w:cs="Arial" w:ascii="仿宋_GB2312" w:hAnsi="仿宋_GB2312"/>
          <w:color w:val="000000"/>
          <w:szCs w:val="32"/>
        </w:rPr>
        <w:t xml:space="preserve"> </w:t>
      </w:r>
    </w:p>
    <w:p>
      <w:pPr>
        <w:pStyle w:val="Normal"/>
        <w:spacing w:lineRule="exact" w:line="560" w:before="0" w:after="0"/>
        <w:ind w:firstLineChars="0" w:firstLine="0" w:startChars="200" w:endChars="200"/>
        <w:contextualSpacing/>
        <w:rPr>
          <w:rFonts w:ascii="楷体_GB2312" w:hAnsi="楷体_GB2312" w:eastAsia="楷体_GB2312" w:cs="Arial"/>
          <w:color w:val="000000"/>
          <w:szCs w:val="32"/>
        </w:rPr>
      </w:pPr>
      <w:r>
        <w:rPr>
          <w:rFonts w:eastAsia="楷体_GB2312" w:cs="Arial" w:hint="eastAsia" w:ascii="楷体_GB2312" w:hAnsi="楷体_GB2312"/>
          <w:color w:val="000000"/>
          <w:szCs w:val="32"/>
        </w:rPr>
        <w:t>(2014</w:t>
      </w:r>
      <w:r>
        <w:rPr>
          <w:rFonts w:ascii="楷体_GB2312" w:hAnsi="楷体_GB2312" w:cs="Arial" w:hint="eastAsia" w:eastAsia="楷体_GB2312"/>
          <w:color w:val="000000"/>
          <w:szCs w:val="32"/>
        </w:rPr>
        <w:t>年</w:t>
      </w:r>
      <w:r>
        <w:rPr>
          <w:rFonts w:eastAsia="楷体_GB2312" w:cs="Arial" w:hint="eastAsia" w:ascii="楷体_GB2312" w:hAnsi="楷体_GB2312"/>
          <w:color w:val="000000"/>
          <w:szCs w:val="32"/>
        </w:rPr>
        <w:t>12</w:t>
      </w:r>
      <w:r>
        <w:rPr>
          <w:rFonts w:ascii="楷体_GB2312" w:hAnsi="楷体_GB2312" w:cs="Arial" w:hint="eastAsia" w:eastAsia="楷体_GB2312"/>
          <w:color w:val="000000"/>
          <w:szCs w:val="32"/>
        </w:rPr>
        <w:t>月</w:t>
      </w:r>
      <w:r>
        <w:rPr>
          <w:rFonts w:eastAsia="楷体_GB2312" w:cs="Arial" w:hint="eastAsia" w:ascii="楷体_GB2312" w:hAnsi="楷体_GB2312"/>
          <w:color w:val="000000"/>
          <w:szCs w:val="32"/>
        </w:rPr>
        <w:t>23</w:t>
      </w:r>
      <w:r>
        <w:rPr>
          <w:rFonts w:ascii="楷体_GB2312" w:hAnsi="楷体_GB2312" w:cs="Arial" w:hint="eastAsia" w:eastAsia="楷体_GB2312"/>
          <w:color w:val="000000"/>
          <w:szCs w:val="32"/>
        </w:rPr>
        <w:t>日天津市第十六届人民代表大会常务委员会第十五次会议通过</w:t>
      </w:r>
      <w:r>
        <w:rPr>
          <w:rFonts w:eastAsia="楷体_GB2312" w:cs="Arial" w:hint="eastAsia" w:ascii="楷体_GB2312" w:hAnsi="楷体_GB2312"/>
          <w:color w:val="000000"/>
          <w:szCs w:val="32"/>
        </w:rPr>
        <w:t>)</w:t>
      </w:r>
    </w:p>
    <w:p>
      <w:pPr>
        <w:pStyle w:val="Style19"/>
        <w:snapToGrid w:val="false"/>
        <w:spacing w:lineRule="exact" w:line="560" w:before="0" w:after="0"/>
        <w:contextualSpacing/>
        <w:jc w:val="center"/>
        <w:rPr>
          <w:rFonts w:ascii="楷体_GB2312" w:hAnsi="楷体_GB2312" w:eastAsia="楷体_GB2312" w:cs="宋体"/>
          <w:color w:val="000000"/>
          <w:szCs w:val="32"/>
        </w:rPr>
      </w:pPr>
      <w:r>
        <w:rPr>
          <w:rFonts w:eastAsia="楷体_GB2312" w:cs="宋体" w:ascii="楷体_GB2312" w:hAnsi="楷体_GB2312"/>
          <w:color w:val="000000"/>
          <w:szCs w:val="32"/>
        </w:rPr>
      </w:r>
    </w:p>
    <w:p>
      <w:pPr>
        <w:pStyle w:val="Style19"/>
        <w:snapToGrid w:val="false"/>
        <w:spacing w:lineRule="exact" w:line="560" w:before="0" w:after="0"/>
        <w:contextualSpacing/>
        <w:jc w:val="center"/>
        <w:rPr>
          <w:rFonts w:ascii="楷体_GB2312" w:hAnsi="楷体_GB2312" w:eastAsia="楷体_GB2312" w:cs="宋体"/>
          <w:szCs w:val="32"/>
        </w:rPr>
      </w:pPr>
      <w:r>
        <w:rPr>
          <w:rFonts w:ascii="楷体_GB2312" w:hAnsi="楷体_GB2312" w:cs="宋体" w:hint="eastAsia" w:eastAsia="楷体_GB2312"/>
          <w:szCs w:val="32"/>
        </w:rPr>
        <w:t>目  录</w:t>
      </w:r>
    </w:p>
    <w:p>
      <w:pPr>
        <w:pStyle w:val="Style19"/>
        <w:tabs>
          <w:tab w:val="clear" w:pos="420"/>
          <w:tab w:val="center" w:pos="4738" w:leader="none"/>
        </w:tabs>
        <w:snapToGrid w:val="false"/>
        <w:spacing w:lineRule="exact" w:line="560" w:before="0" w:after="0"/>
        <w:ind w:firstLineChars="0" w:firstLine="0" w:startChars="200" w:endChars="0" w:end="0"/>
        <w:contextualSpacing/>
        <w:rPr>
          <w:rFonts w:ascii="楷体_GB2312" w:hAnsi="楷体_GB2312" w:eastAsia="楷体_GB2312" w:cs="宋体"/>
          <w:szCs w:val="32"/>
        </w:rPr>
      </w:pPr>
      <w:r>
        <w:rPr>
          <w:rFonts w:ascii="楷体_GB2312" w:hAnsi="楷体_GB2312" w:cs="宋体" w:hint="eastAsia" w:eastAsia="楷体_GB2312"/>
          <w:szCs w:val="32"/>
        </w:rPr>
        <w:t>第一章  总则</w:t>
      </w:r>
      <w:r>
        <w:rPr>
          <w:rFonts w:eastAsia="楷体_GB2312" w:cs="宋体" w:ascii="楷体_GB2312" w:hAnsi="楷体_GB2312"/>
          <w:szCs w:val="32"/>
        </w:rPr>
        <w:tab/>
      </w:r>
    </w:p>
    <w:p>
      <w:pPr>
        <w:pStyle w:val="zhangcxsplast"/>
        <w:snapToGrid w:val="false"/>
        <w:spacing w:lineRule="exact" w:line="560" w:before="0" w:after="0"/>
        <w:ind w:firstLineChars="200" w:startChars="0" w:start="0" w:endChars="0" w:end="0"/>
        <w:contextualSpacing/>
        <w:rPr>
          <w:rFonts w:ascii="楷体_GB2312" w:hAnsi="楷体_GB2312" w:eastAsia="楷体_GB2312" w:cs="Adobe 仿宋 Std R;仿宋_GB2312"/>
          <w:kern w:val="2"/>
          <w:sz w:val="32"/>
          <w:szCs w:val="32"/>
        </w:rPr>
      </w:pPr>
      <w:r>
        <w:rPr>
          <w:rFonts w:ascii="楷体_GB2312" w:hAnsi="楷体_GB2312" w:cs="Adobe 仿宋 Std R;仿宋_GB2312" w:hint="eastAsia" w:eastAsia="楷体_GB2312"/>
          <w:kern w:val="2"/>
          <w:sz w:val="32"/>
          <w:szCs w:val="32"/>
        </w:rPr>
        <w:t>第二章  组织领导机构及其职权</w:t>
      </w:r>
    </w:p>
    <w:p>
      <w:pPr>
        <w:pStyle w:val="Style19"/>
        <w:snapToGrid w:val="false"/>
        <w:spacing w:lineRule="exact" w:line="560" w:before="0" w:after="0"/>
        <w:ind w:firstLineChars="0" w:firstLine="0" w:startChars="200" w:endChars="0" w:end="0"/>
        <w:contextualSpacing/>
        <w:rPr>
          <w:rFonts w:ascii="楷体_GB2312" w:hAnsi="楷体_GB2312" w:eastAsia="楷体_GB2312" w:cs="宋体"/>
          <w:szCs w:val="32"/>
        </w:rPr>
      </w:pPr>
      <w:r>
        <w:rPr>
          <w:rFonts w:ascii="楷体_GB2312" w:hAnsi="楷体_GB2312" w:cs="宋体" w:hint="eastAsia" w:eastAsia="楷体_GB2312"/>
          <w:szCs w:val="32"/>
        </w:rPr>
        <w:t>第三章  国防动员计划、实施预案与潜力统计调查</w:t>
      </w:r>
    </w:p>
    <w:p>
      <w:pPr>
        <w:pStyle w:val="Style19"/>
        <w:snapToGrid w:val="false"/>
        <w:spacing w:lineRule="exact" w:line="560" w:before="0" w:after="0"/>
        <w:ind w:firstLineChars="0" w:firstLine="0" w:startChars="200" w:endChars="0" w:end="0"/>
        <w:contextualSpacing/>
        <w:rPr>
          <w:rFonts w:ascii="楷体_GB2312" w:hAnsi="楷体_GB2312" w:eastAsia="楷体_GB2312" w:cs="宋体"/>
          <w:szCs w:val="32"/>
        </w:rPr>
      </w:pPr>
      <w:r>
        <w:rPr>
          <w:rFonts w:ascii="楷体_GB2312" w:hAnsi="楷体_GB2312" w:cs="宋体" w:hint="eastAsia" w:eastAsia="楷体_GB2312"/>
          <w:szCs w:val="32"/>
        </w:rPr>
        <w:t>第四章  与国防密切相关的重要建设项目、产品和设施</w:t>
      </w:r>
    </w:p>
    <w:p>
      <w:pPr>
        <w:pStyle w:val="Style19"/>
        <w:snapToGrid w:val="false"/>
        <w:spacing w:lineRule="exact" w:line="560" w:before="0" w:after="0"/>
        <w:ind w:firstLineChars="0" w:firstLine="0" w:startChars="200" w:endChars="0" w:end="0"/>
        <w:contextualSpacing/>
        <w:rPr>
          <w:rFonts w:ascii="楷体_GB2312" w:hAnsi="楷体_GB2312" w:eastAsia="楷体_GB2312" w:cs="宋体"/>
          <w:szCs w:val="32"/>
        </w:rPr>
      </w:pPr>
      <w:r>
        <w:rPr>
          <w:rFonts w:ascii="楷体_GB2312" w:hAnsi="楷体_GB2312" w:cs="宋体" w:hint="eastAsia" w:eastAsia="楷体_GB2312"/>
          <w:szCs w:val="32"/>
        </w:rPr>
        <w:t>第五章  预备役人员的储备与征召</w:t>
      </w:r>
    </w:p>
    <w:p>
      <w:pPr>
        <w:pStyle w:val="Style19"/>
        <w:snapToGrid w:val="false"/>
        <w:spacing w:lineRule="exact" w:line="560" w:before="0" w:after="0"/>
        <w:ind w:firstLineChars="0" w:firstLine="0" w:startChars="200" w:endChars="0" w:end="0"/>
        <w:contextualSpacing/>
        <w:rPr>
          <w:rFonts w:ascii="楷体_GB2312" w:hAnsi="楷体_GB2312" w:eastAsia="楷体_GB2312" w:cs="宋体"/>
          <w:szCs w:val="32"/>
        </w:rPr>
      </w:pPr>
      <w:r>
        <w:rPr>
          <w:rFonts w:ascii="楷体_GB2312" w:hAnsi="楷体_GB2312" w:cs="宋体" w:hint="eastAsia" w:eastAsia="楷体_GB2312"/>
          <w:szCs w:val="32"/>
        </w:rPr>
        <w:t>第六章  战略物资储备</w:t>
      </w:r>
    </w:p>
    <w:p>
      <w:pPr>
        <w:pStyle w:val="Style19"/>
        <w:snapToGrid w:val="false"/>
        <w:spacing w:lineRule="exact" w:line="560" w:before="0" w:after="0"/>
        <w:ind w:firstLineChars="0" w:firstLine="0" w:startChars="200" w:endChars="0" w:end="0"/>
        <w:contextualSpacing/>
        <w:rPr>
          <w:rFonts w:ascii="楷体_GB2312" w:hAnsi="楷体_GB2312" w:eastAsia="楷体_GB2312" w:cs="宋体" w:hint="eastAsia"/>
          <w:szCs w:val="32"/>
        </w:rPr>
      </w:pPr>
      <w:r>
        <w:rPr>
          <w:rFonts w:ascii="楷体_GB2312" w:hAnsi="楷体_GB2312" w:cs="宋体" w:hint="eastAsia" w:eastAsia="楷体_GB2312"/>
          <w:szCs w:val="32"/>
        </w:rPr>
        <w:t>第七章  军品科研、生产与维修保障</w:t>
      </w:r>
    </w:p>
    <w:p>
      <w:pPr>
        <w:pStyle w:val="Style19"/>
        <w:snapToGrid w:val="false"/>
        <w:spacing w:lineRule="exact" w:line="560" w:before="0" w:after="0"/>
        <w:ind w:firstLineChars="0" w:firstLine="0" w:startChars="200" w:endChars="0" w:end="0"/>
        <w:contextualSpacing/>
        <w:rPr>
          <w:rFonts w:ascii="楷体_GB2312" w:hAnsi="楷体_GB2312" w:eastAsia="楷体_GB2312" w:cs="宋体" w:hint="eastAsia"/>
          <w:szCs w:val="32"/>
        </w:rPr>
      </w:pPr>
      <w:r>
        <w:rPr>
          <w:rFonts w:ascii="楷体_GB2312" w:hAnsi="楷体_GB2312" w:cs="宋体" w:hint="eastAsia" w:eastAsia="楷体_GB2312"/>
          <w:szCs w:val="32"/>
        </w:rPr>
        <w:t>第八章  战争灾害的预防与救助</w:t>
      </w:r>
    </w:p>
    <w:p>
      <w:pPr>
        <w:pStyle w:val="Style19"/>
        <w:snapToGrid w:val="false"/>
        <w:spacing w:lineRule="exact" w:line="560" w:before="0" w:after="0"/>
        <w:ind w:firstLineChars="0" w:firstLine="0" w:startChars="200" w:endChars="0" w:end="0"/>
        <w:contextualSpacing/>
        <w:rPr>
          <w:rFonts w:ascii="楷体_GB2312" w:hAnsi="楷体_GB2312" w:eastAsia="楷体_GB2312" w:cs="宋体" w:hint="eastAsia"/>
          <w:szCs w:val="32"/>
        </w:rPr>
      </w:pPr>
      <w:r>
        <w:rPr>
          <w:rFonts w:ascii="楷体_GB2312" w:hAnsi="楷体_GB2312" w:cs="宋体" w:hint="eastAsia" w:eastAsia="楷体_GB2312"/>
          <w:szCs w:val="32"/>
        </w:rPr>
        <w:t>第九章  国防勤务</w:t>
      </w:r>
    </w:p>
    <w:p>
      <w:pPr>
        <w:pStyle w:val="Style19"/>
        <w:snapToGrid w:val="false"/>
        <w:spacing w:lineRule="exact" w:line="560" w:before="0" w:after="0"/>
        <w:ind w:firstLineChars="0" w:firstLine="0" w:startChars="200" w:endChars="0" w:end="0"/>
        <w:contextualSpacing/>
        <w:rPr>
          <w:rFonts w:ascii="楷体_GB2312" w:hAnsi="楷体_GB2312" w:eastAsia="楷体_GB2312" w:cs="宋体" w:hint="eastAsia"/>
          <w:szCs w:val="32"/>
        </w:rPr>
      </w:pPr>
      <w:r>
        <w:rPr>
          <w:rFonts w:ascii="楷体_GB2312" w:hAnsi="楷体_GB2312" w:cs="宋体" w:hint="eastAsia" w:eastAsia="楷体_GB2312"/>
          <w:szCs w:val="32"/>
        </w:rPr>
        <w:t>第十章  民用资源的征用与补偿</w:t>
      </w:r>
    </w:p>
    <w:p>
      <w:pPr>
        <w:pStyle w:val="Style19"/>
        <w:snapToGrid w:val="false"/>
        <w:spacing w:lineRule="exact" w:line="560" w:before="0" w:after="0"/>
        <w:ind w:firstLineChars="0" w:firstLine="0" w:startChars="200" w:endChars="0" w:end="0"/>
        <w:contextualSpacing/>
        <w:rPr>
          <w:rFonts w:ascii="楷体_GB2312" w:hAnsi="楷体_GB2312" w:eastAsia="楷体_GB2312" w:cs="宋体" w:hint="eastAsia"/>
          <w:szCs w:val="32"/>
        </w:rPr>
      </w:pPr>
      <w:r>
        <w:rPr>
          <w:rFonts w:ascii="楷体_GB2312" w:hAnsi="楷体_GB2312" w:cs="宋体" w:hint="eastAsia" w:eastAsia="楷体_GB2312"/>
          <w:szCs w:val="32"/>
        </w:rPr>
        <w:t>第十一章  宣传教育</w:t>
      </w:r>
    </w:p>
    <w:p>
      <w:pPr>
        <w:pStyle w:val="Style19"/>
        <w:snapToGrid w:val="false"/>
        <w:spacing w:lineRule="exact" w:line="560" w:before="0" w:after="0"/>
        <w:ind w:firstLineChars="0" w:firstLine="0" w:startChars="200" w:endChars="0" w:end="0"/>
        <w:contextualSpacing/>
        <w:rPr>
          <w:rFonts w:ascii="楷体_GB2312" w:hAnsi="楷体_GB2312" w:eastAsia="楷体_GB2312" w:cs="宋体" w:hint="eastAsia"/>
          <w:szCs w:val="32"/>
        </w:rPr>
      </w:pPr>
      <w:r>
        <w:rPr>
          <w:rFonts w:ascii="楷体_GB2312" w:hAnsi="楷体_GB2312" w:cs="宋体" w:hint="eastAsia" w:eastAsia="楷体_GB2312"/>
          <w:szCs w:val="32"/>
        </w:rPr>
        <w:t>第十二章  特别措施</w:t>
      </w:r>
    </w:p>
    <w:p>
      <w:pPr>
        <w:pStyle w:val="Style19"/>
        <w:snapToGrid w:val="false"/>
        <w:spacing w:lineRule="exact" w:line="560" w:before="0" w:after="0"/>
        <w:ind w:firstLineChars="0" w:firstLine="0" w:startChars="200" w:endChars="0" w:end="0"/>
        <w:contextualSpacing/>
        <w:rPr>
          <w:rFonts w:ascii="楷体_GB2312" w:hAnsi="楷体_GB2312" w:eastAsia="楷体_GB2312" w:cs="宋体" w:hint="eastAsia"/>
          <w:szCs w:val="32"/>
        </w:rPr>
      </w:pPr>
      <w:r>
        <w:rPr>
          <w:rFonts w:ascii="楷体_GB2312" w:hAnsi="楷体_GB2312" w:cs="宋体" w:hint="eastAsia" w:eastAsia="楷体_GB2312"/>
          <w:szCs w:val="32"/>
        </w:rPr>
        <w:t>第十三章  法律责任</w:t>
      </w:r>
    </w:p>
    <w:p>
      <w:pPr>
        <w:pStyle w:val="Style19"/>
        <w:snapToGrid w:val="false"/>
        <w:spacing w:lineRule="exact" w:line="560" w:before="0" w:after="0"/>
        <w:ind w:firstLineChars="0" w:firstLine="0" w:startChars="200" w:endChars="0" w:end="0"/>
        <w:contextualSpacing/>
        <w:rPr>
          <w:rFonts w:ascii="楷体_GB2312" w:hAnsi="楷体_GB2312" w:eastAsia="楷体_GB2312" w:cs="宋体"/>
          <w:szCs w:val="32"/>
        </w:rPr>
      </w:pPr>
      <w:r>
        <w:rPr>
          <w:rFonts w:ascii="楷体_GB2312" w:hAnsi="楷体_GB2312" w:cs="宋体" w:hint="eastAsia" w:eastAsia="楷体_GB2312"/>
          <w:szCs w:val="32"/>
        </w:rPr>
        <w:t>第十四章  附则</w:t>
      </w:r>
    </w:p>
    <w:p>
      <w:pPr>
        <w:pStyle w:val="Normal"/>
        <w:spacing w:lineRule="exact" w:line="560" w:before="0" w:after="0"/>
        <w:contextualSpacing/>
        <w:rPr>
          <w:rFonts w:ascii="仿宋_GB2312" w:hAnsi="仿宋_GB2312" w:eastAsia="楷体_GB2312" w:cs="Arial"/>
          <w:color w:val="000000"/>
          <w:szCs w:val="32"/>
        </w:rPr>
      </w:pPr>
      <w:r>
        <w:rPr>
          <w:rFonts w:eastAsia="楷体_GB2312" w:cs="Arial" w:ascii="仿宋_GB2312" w:hAnsi="仿宋_GB2312"/>
          <w:color w:val="000000"/>
          <w:szCs w:val="32"/>
        </w:rPr>
      </w:r>
    </w:p>
    <w:p>
      <w:pPr>
        <w:pStyle w:val="Normal"/>
        <w:spacing w:lineRule="exact" w:line="560" w:before="0" w:after="0"/>
        <w:contextualSpacing/>
        <w:jc w:val="center"/>
        <w:rPr>
          <w:rFonts w:ascii="黑体" w:hAnsi="黑体" w:eastAsia="黑体" w:cs="Arial"/>
          <w:color w:val="000000"/>
          <w:szCs w:val="32"/>
        </w:rPr>
      </w:pPr>
      <w:r>
        <w:rPr>
          <w:rFonts w:ascii="黑体" w:hAnsi="黑体" w:cs="Arial" w:hint="eastAsia" w:eastAsia="黑体"/>
          <w:color w:val="000000"/>
          <w:szCs w:val="32"/>
        </w:rPr>
        <w:t>第一章  总则</w:t>
      </w:r>
    </w:p>
    <w:p>
      <w:pPr>
        <w:pStyle w:val="Normal"/>
        <w:spacing w:lineRule="exact" w:line="560" w:before="0" w:after="0"/>
        <w:contextualSpacing/>
        <w:jc w:val="center"/>
        <w:rPr>
          <w:rFonts w:ascii="黑体" w:hAnsi="黑体" w:eastAsia="黑体" w:cs="Arial"/>
          <w:color w:val="000000"/>
          <w:szCs w:val="32"/>
        </w:rPr>
      </w:pPr>
      <w:r>
        <w:rPr>
          <w:rFonts w:eastAsia="黑体" w:cs="Arial" w:ascii="黑体" w:hAnsi="黑体"/>
          <w:color w:val="000000"/>
          <w:szCs w:val="32"/>
        </w:rPr>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w:t>
      </w:r>
      <w:r>
        <w:rPr>
          <w:rFonts w:ascii="黑体" w:hAnsi="黑体" w:cs="Arial" w:hint="eastAsia" w:eastAsia="黑体"/>
          <w:color w:val="000000"/>
          <w:szCs w:val="32"/>
        </w:rPr>
        <w:t>第一条</w:t>
      </w:r>
      <w:r>
        <w:rPr>
          <w:rFonts w:ascii="仿宋_GB2312" w:hAnsi="仿宋_GB2312" w:cs="Arial" w:hint="eastAsia"/>
          <w:color w:val="000000"/>
          <w:szCs w:val="32"/>
        </w:rPr>
        <w:t xml:space="preserve">  为了贯彻实施《中华人民共和国国防动员法》，加强国防建设，增强国防动员力量，保障国防动员工作顺利进行，结合本市实际情况，制定本办法。</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w:t>
      </w:r>
      <w:r>
        <w:rPr>
          <w:rFonts w:ascii="黑体" w:hAnsi="黑体" w:cs="Arial" w:hint="eastAsia" w:eastAsia="黑体"/>
          <w:color w:val="000000"/>
          <w:szCs w:val="32"/>
        </w:rPr>
        <w:t>第二条</w:t>
      </w:r>
      <w:r>
        <w:rPr>
          <w:rFonts w:ascii="仿宋_GB2312" w:hAnsi="仿宋_GB2312" w:cs="Arial" w:hint="eastAsia"/>
          <w:color w:val="000000"/>
          <w:szCs w:val="32"/>
        </w:rPr>
        <w:t xml:space="preserve">  本市国防动员的准备、实施以及相关活动，适用本办法。</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w:t>
      </w:r>
      <w:r>
        <w:rPr>
          <w:rFonts w:ascii="黑体" w:hAnsi="黑体" w:cs="Arial" w:hint="eastAsia" w:eastAsia="黑体"/>
          <w:color w:val="000000"/>
          <w:szCs w:val="32"/>
        </w:rPr>
        <w:t xml:space="preserve">第三条 </w:t>
      </w:r>
      <w:r>
        <w:rPr>
          <w:rFonts w:ascii="仿宋_GB2312" w:hAnsi="仿宋_GB2312" w:cs="Arial" w:hint="eastAsia"/>
          <w:color w:val="000000"/>
          <w:szCs w:val="32"/>
        </w:rPr>
        <w:t xml:space="preserve"> 国防动员坚持平战结合、军民结合、寓军于民的方针，遵循统一领导、全民参与、长期准备、重点建设、统筹兼顾、有序高效的原则。</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w:t>
      </w:r>
      <w:r>
        <w:rPr>
          <w:rFonts w:ascii="黑体" w:hAnsi="黑体" w:cs="Arial" w:hint="eastAsia" w:eastAsia="黑体"/>
          <w:color w:val="000000"/>
          <w:szCs w:val="32"/>
        </w:rPr>
        <w:t>第四条</w:t>
      </w:r>
      <w:r>
        <w:rPr>
          <w:rFonts w:ascii="仿宋_GB2312" w:hAnsi="仿宋_GB2312" w:cs="Arial" w:hint="eastAsia"/>
          <w:color w:val="000000"/>
          <w:szCs w:val="32"/>
        </w:rPr>
        <w:t xml:space="preserve">  市和区县人民政府应当将国防动员工作纳入国民经济和社会发展规划。国防动员所需经费按照事权划分的原则纳入本级财政预算。</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国防动员临时性重大活动所需专项经费，由市和区县财政予以保证。</w:t>
      </w:r>
    </w:p>
    <w:p>
      <w:pPr>
        <w:pStyle w:val="Normal"/>
        <w:spacing w:lineRule="exact" w:line="560" w:before="0" w:after="0"/>
        <w:ind w:firstLine="645" w:end="0"/>
        <w:contextualSpacing/>
        <w:rPr>
          <w:rFonts w:ascii="仿宋_GB2312" w:hAnsi="仿宋_GB2312" w:cs="Arial"/>
          <w:color w:val="000000"/>
          <w:szCs w:val="32"/>
        </w:rPr>
      </w:pPr>
      <w:r>
        <w:rPr>
          <w:rFonts w:ascii="黑体" w:hAnsi="黑体" w:cs="Arial" w:hint="eastAsia" w:eastAsia="黑体"/>
          <w:color w:val="000000"/>
          <w:szCs w:val="32"/>
        </w:rPr>
        <w:t>第五条</w:t>
      </w:r>
      <w:r>
        <w:rPr>
          <w:rFonts w:ascii="仿宋_GB2312" w:hAnsi="仿宋_GB2312" w:cs="Arial" w:hint="eastAsia"/>
          <w:color w:val="000000"/>
          <w:szCs w:val="32"/>
        </w:rPr>
        <w:t xml:space="preserve">  鼓励企业事业单位、社会团体、其他组织和公民为国防动员活动提供支持和协助。</w:t>
      </w:r>
    </w:p>
    <w:p>
      <w:pPr>
        <w:pStyle w:val="Normal"/>
        <w:spacing w:lineRule="exact" w:line="560" w:before="0" w:after="0"/>
        <w:ind w:firstLine="645" w:end="0"/>
        <w:contextualSpacing/>
        <w:rPr>
          <w:rFonts w:ascii="仿宋_GB2312" w:hAnsi="仿宋_GB2312" w:cs="Arial"/>
          <w:color w:val="000000"/>
          <w:szCs w:val="32"/>
        </w:rPr>
      </w:pPr>
      <w:r>
        <w:rPr>
          <w:rFonts w:cs="Arial" w:ascii="仿宋_GB2312" w:hAnsi="仿宋_GB2312"/>
          <w:color w:val="000000"/>
          <w:szCs w:val="32"/>
        </w:rPr>
      </w:r>
    </w:p>
    <w:p>
      <w:pPr>
        <w:pStyle w:val="Normal"/>
        <w:spacing w:lineRule="exact" w:line="560" w:before="0" w:after="0"/>
        <w:contextualSpacing/>
        <w:jc w:val="center"/>
        <w:rPr>
          <w:rFonts w:ascii="黑体" w:hAnsi="黑体" w:eastAsia="黑体" w:cs="Arial"/>
          <w:color w:val="000000"/>
          <w:szCs w:val="32"/>
        </w:rPr>
      </w:pPr>
      <w:r>
        <w:rPr>
          <w:rFonts w:ascii="黑体" w:hAnsi="黑体" w:cs="Arial" w:hint="eastAsia" w:eastAsia="黑体"/>
          <w:color w:val="000000"/>
          <w:szCs w:val="32"/>
        </w:rPr>
        <w:t>第二章  组织领导机构及其职权</w:t>
      </w:r>
    </w:p>
    <w:p>
      <w:pPr>
        <w:pStyle w:val="Normal"/>
        <w:spacing w:lineRule="exact" w:line="560" w:before="0" w:after="0"/>
        <w:contextualSpacing/>
        <w:jc w:val="center"/>
        <w:rPr>
          <w:rFonts w:ascii="黑体" w:hAnsi="黑体" w:eastAsia="黑体" w:cs="Arial"/>
          <w:color w:val="000000"/>
          <w:szCs w:val="32"/>
        </w:rPr>
      </w:pPr>
      <w:r>
        <w:rPr>
          <w:rFonts w:eastAsia="黑体" w:cs="Arial" w:ascii="黑体" w:hAnsi="黑体"/>
          <w:color w:val="000000"/>
          <w:szCs w:val="32"/>
        </w:rPr>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w:t>
      </w:r>
      <w:r>
        <w:rPr>
          <w:rFonts w:ascii="黑体" w:hAnsi="黑体" w:cs="Arial" w:hint="eastAsia" w:eastAsia="黑体"/>
          <w:color w:val="000000"/>
          <w:szCs w:val="32"/>
        </w:rPr>
        <w:t>第六条</w:t>
      </w:r>
      <w:r>
        <w:rPr>
          <w:rFonts w:ascii="仿宋_GB2312" w:hAnsi="仿宋_GB2312" w:cs="Arial" w:hint="eastAsia"/>
          <w:color w:val="000000"/>
          <w:szCs w:val="32"/>
        </w:rPr>
        <w:t xml:space="preserve">  市人民政府和天津警备区领导本市的国防动员工作。</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w:t>
      </w:r>
      <w:r>
        <w:rPr>
          <w:rFonts w:ascii="黑体" w:hAnsi="黑体" w:cs="Arial" w:hint="eastAsia" w:eastAsia="黑体"/>
          <w:color w:val="000000"/>
          <w:szCs w:val="32"/>
        </w:rPr>
        <w:t>第七条</w:t>
      </w:r>
      <w:r>
        <w:rPr>
          <w:rFonts w:ascii="仿宋_GB2312" w:hAnsi="仿宋_GB2312" w:cs="Arial" w:hint="eastAsia"/>
          <w:color w:val="000000"/>
          <w:szCs w:val="32"/>
        </w:rPr>
        <w:t xml:space="preserve">  市和区县国防动员委员会在上级国防动员委员会、本级人民政府和同级军事机关的领导下，负责组织、指导、协调本行政区域内国防动员工作。</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市和区县国防动员委员会成员单位在本级国防动员委员会的统一组织、指导、协调下，负责具体承办国防动员工作。</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w:t>
      </w:r>
      <w:r>
        <w:rPr>
          <w:rFonts w:ascii="黑体" w:hAnsi="黑体" w:cs="Arial" w:hint="eastAsia" w:eastAsia="黑体"/>
          <w:color w:val="000000"/>
          <w:szCs w:val="32"/>
        </w:rPr>
        <w:t>第八条</w:t>
      </w:r>
      <w:r>
        <w:rPr>
          <w:rFonts w:ascii="仿宋_GB2312" w:hAnsi="仿宋_GB2312" w:cs="Arial" w:hint="eastAsia"/>
          <w:color w:val="000000"/>
          <w:szCs w:val="32"/>
        </w:rPr>
        <w:t xml:space="preserve">  市和区县国防动员委员会办事机构，承担本级国防动员委员会的日常工作。</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w:t>
      </w:r>
      <w:r>
        <w:rPr>
          <w:rFonts w:ascii="黑体" w:hAnsi="黑体" w:cs="Arial" w:hint="eastAsia" w:eastAsia="黑体"/>
          <w:color w:val="000000"/>
          <w:szCs w:val="32"/>
        </w:rPr>
        <w:t>第九条</w:t>
      </w:r>
      <w:r>
        <w:rPr>
          <w:rFonts w:ascii="仿宋_GB2312" w:hAnsi="仿宋_GB2312" w:cs="Arial" w:hint="eastAsia"/>
          <w:color w:val="000000"/>
          <w:szCs w:val="32"/>
        </w:rPr>
        <w:t xml:space="preserve">  乡镇人民政府、街道办事处，在区县国防动员委员会的指导下，完成相应的国防动员任务。</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w:t>
      </w:r>
      <w:r>
        <w:rPr>
          <w:rFonts w:ascii="黑体" w:hAnsi="黑体" w:cs="Arial" w:hint="eastAsia" w:eastAsia="黑体"/>
          <w:color w:val="000000"/>
          <w:szCs w:val="32"/>
        </w:rPr>
        <w:t>第十条</w:t>
      </w:r>
      <w:r>
        <w:rPr>
          <w:rFonts w:ascii="仿宋_GB2312" w:hAnsi="仿宋_GB2312" w:cs="Arial" w:hint="eastAsia"/>
          <w:color w:val="000000"/>
          <w:szCs w:val="32"/>
        </w:rPr>
        <w:t xml:space="preserve">  市和区县国防动员委员会在履行支援保障战争职能的同时，积极参加突发事件预防和处置工作。</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市和区县国防动员委员会办事机构，应当根据担负的应急任务，建立与本级政府应急机制相衔接的日常联系、协调会商、信息共享、通用物资联合储备保障等制度，组织国防动员专业应急力量参加应急救援和处置工作。</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军事机关和政府有关部门应当加强突发事件信息的沟通交流，建立健全分级对应的信息共享机制。</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国防动员专业应急力量，应当将应急处置和救援课目列入训练内容，依照有关法律、法规以及上级命令，参加突发事件的应急救援和处置工作。</w:t>
      </w:r>
    </w:p>
    <w:p>
      <w:pPr>
        <w:pStyle w:val="Normal"/>
        <w:spacing w:lineRule="exact" w:line="560" w:before="0" w:after="0"/>
        <w:ind w:firstLine="645" w:end="0"/>
        <w:contextualSpacing/>
        <w:rPr>
          <w:rFonts w:ascii="仿宋_GB2312" w:hAnsi="仿宋_GB2312" w:cs="Arial"/>
          <w:color w:val="000000"/>
          <w:szCs w:val="32"/>
        </w:rPr>
      </w:pPr>
      <w:r>
        <w:rPr>
          <w:rFonts w:ascii="黑体" w:hAnsi="黑体" w:cs="Arial" w:hint="eastAsia" w:eastAsia="黑体"/>
          <w:color w:val="000000"/>
          <w:szCs w:val="32"/>
        </w:rPr>
        <w:t>第十一条</w:t>
      </w:r>
      <w:r>
        <w:rPr>
          <w:rFonts w:ascii="仿宋_GB2312" w:hAnsi="仿宋_GB2312" w:cs="Arial" w:hint="eastAsia"/>
          <w:color w:val="000000"/>
          <w:szCs w:val="32"/>
        </w:rPr>
        <w:t xml:space="preserve">  市和区县国防动员委员会办事机构、成员单位应当加强制度建设，建立健全工作运行制度、会议制度、工作联系制度等。</w:t>
      </w:r>
    </w:p>
    <w:p>
      <w:pPr>
        <w:pStyle w:val="Normal"/>
        <w:spacing w:lineRule="exact" w:line="560" w:before="0" w:after="0"/>
        <w:ind w:firstLine="645" w:end="0"/>
        <w:contextualSpacing/>
        <w:rPr>
          <w:rFonts w:ascii="仿宋_GB2312" w:hAnsi="仿宋_GB2312" w:cs="Arial"/>
          <w:color w:val="000000"/>
          <w:szCs w:val="32"/>
        </w:rPr>
      </w:pPr>
      <w:r>
        <w:rPr>
          <w:rFonts w:cs="Arial" w:ascii="仿宋_GB2312" w:hAnsi="仿宋_GB2312"/>
          <w:color w:val="000000"/>
          <w:szCs w:val="32"/>
        </w:rPr>
      </w:r>
    </w:p>
    <w:p>
      <w:pPr>
        <w:pStyle w:val="Normal"/>
        <w:spacing w:lineRule="exact" w:line="560" w:before="0" w:after="0"/>
        <w:contextualSpacing/>
        <w:jc w:val="center"/>
        <w:rPr>
          <w:rFonts w:ascii="黑体" w:hAnsi="黑体" w:eastAsia="黑体" w:cs="Arial"/>
          <w:color w:val="000000"/>
          <w:szCs w:val="32"/>
        </w:rPr>
      </w:pPr>
      <w:r>
        <w:rPr>
          <w:rFonts w:ascii="黑体" w:hAnsi="黑体" w:cs="Arial" w:hint="eastAsia" w:eastAsia="黑体"/>
          <w:color w:val="000000"/>
          <w:szCs w:val="32"/>
        </w:rPr>
        <w:t>第三章  国防动员计划、实施预案与潜力统计调查</w:t>
      </w:r>
    </w:p>
    <w:p>
      <w:pPr>
        <w:pStyle w:val="Normal"/>
        <w:spacing w:lineRule="exact" w:line="560" w:before="0" w:after="0"/>
        <w:contextualSpacing/>
        <w:jc w:val="center"/>
        <w:rPr>
          <w:rFonts w:ascii="黑体" w:hAnsi="黑体" w:eastAsia="黑体" w:cs="Arial"/>
          <w:color w:val="000000"/>
          <w:szCs w:val="32"/>
        </w:rPr>
      </w:pPr>
      <w:r>
        <w:rPr>
          <w:rFonts w:eastAsia="黑体" w:cs="Arial" w:ascii="黑体" w:hAnsi="黑体"/>
          <w:color w:val="000000"/>
          <w:szCs w:val="32"/>
        </w:rPr>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w:t>
      </w:r>
      <w:r>
        <w:rPr>
          <w:rFonts w:ascii="黑体" w:hAnsi="黑体" w:cs="Arial" w:hint="eastAsia" w:eastAsia="黑体"/>
          <w:color w:val="000000"/>
          <w:szCs w:val="32"/>
        </w:rPr>
        <w:t>第十二条</w:t>
      </w:r>
      <w:r>
        <w:rPr>
          <w:rFonts w:ascii="仿宋_GB2312" w:hAnsi="仿宋_GB2312" w:cs="Arial" w:hint="eastAsia"/>
          <w:color w:val="000000"/>
          <w:szCs w:val="32"/>
        </w:rPr>
        <w:t xml:space="preserve">  国防动员总体计划和国防动员总体实施预案，由市和区县国防动员委员会组织编制，报同级人民政府、军事机关审批后，报上一级国防动员委员会备案。</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国防动员专项计划和国防动员专项实施预案，由市和区县国防动员委员会办事机构编制，报同级国防动员委员会审批后实施，并报上一级国防动员委员会办事机构备案。</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w:t>
      </w:r>
      <w:r>
        <w:rPr>
          <w:rFonts w:ascii="黑体" w:hAnsi="黑体" w:cs="Arial" w:hint="eastAsia" w:eastAsia="黑体"/>
          <w:color w:val="000000"/>
          <w:szCs w:val="32"/>
        </w:rPr>
        <w:t>第十三条</w:t>
      </w:r>
      <w:r>
        <w:rPr>
          <w:rFonts w:ascii="仿宋_GB2312" w:hAnsi="仿宋_GB2312" w:cs="Arial" w:hint="eastAsia"/>
          <w:color w:val="000000"/>
          <w:szCs w:val="32"/>
        </w:rPr>
        <w:t xml:space="preserve">  市和区县国防动员委员会，定期组织国防动员工作综合检查。根据工作需要，市和区县国防动员委员会办事机构组织国防动员工作专项检查。</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w:t>
      </w:r>
      <w:r>
        <w:rPr>
          <w:rFonts w:ascii="黑体" w:hAnsi="黑体" w:cs="Arial" w:hint="eastAsia" w:eastAsia="黑体"/>
          <w:color w:val="000000"/>
          <w:szCs w:val="32"/>
        </w:rPr>
        <w:t>第十四条</w:t>
      </w:r>
      <w:r>
        <w:rPr>
          <w:rFonts w:ascii="仿宋_GB2312" w:hAnsi="仿宋_GB2312" w:cs="Arial" w:hint="eastAsia"/>
          <w:color w:val="000000"/>
          <w:szCs w:val="32"/>
        </w:rPr>
        <w:t xml:space="preserve">  市和区县国防动员委员会，应当根据国防动员实施预案，按计划组织国防动员演练。</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国防动员演练可以专门进行，也可以结合军队演习和应急演练进行。</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市和区县国防动员委员会，应当组织任务单位、保障对象进行供需对接训练。</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军队有关部门应当将国防动员实施预案纳入战备计划，按照职责组织实施。</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w:t>
      </w:r>
      <w:r>
        <w:rPr>
          <w:rFonts w:ascii="黑体" w:hAnsi="黑体" w:cs="Arial" w:hint="eastAsia" w:eastAsia="黑体"/>
          <w:color w:val="000000"/>
          <w:szCs w:val="32"/>
        </w:rPr>
        <w:t>第十五条</w:t>
      </w:r>
      <w:r>
        <w:rPr>
          <w:rFonts w:ascii="仿宋_GB2312" w:hAnsi="仿宋_GB2312" w:cs="Arial" w:hint="eastAsia"/>
          <w:color w:val="000000"/>
          <w:szCs w:val="32"/>
        </w:rPr>
        <w:t xml:space="preserve">  市和区县人民政府统计机构和有关部门，应当根据国防动员需要，准确及时地向本级国防动员委员会的办事机构提供有关统计资料。提供的统计资料不能满足需要时，国防动员委员会办事机构可以依法组织开展国防动员潜力专项统计调查。</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国防动员潜力统计调查应当采用信息化手段，使用统一的表格、软件系统和指标体系。</w:t>
      </w:r>
    </w:p>
    <w:p>
      <w:pPr>
        <w:pStyle w:val="Normal"/>
        <w:spacing w:lineRule="exact" w:line="560" w:before="0" w:after="0"/>
        <w:ind w:firstLine="630" w:end="0"/>
        <w:contextualSpacing/>
        <w:rPr>
          <w:rFonts w:ascii="仿宋_GB2312" w:hAnsi="仿宋_GB2312" w:cs="Arial"/>
          <w:color w:val="000000"/>
          <w:szCs w:val="32"/>
        </w:rPr>
      </w:pPr>
      <w:r>
        <w:rPr>
          <w:rFonts w:ascii="仿宋_GB2312" w:hAnsi="仿宋_GB2312" w:cs="Arial" w:hint="eastAsia"/>
          <w:color w:val="000000"/>
          <w:szCs w:val="32"/>
        </w:rPr>
        <w:t>单位和个人应当按照国家有关规定，配合做好国防动员潜力调查工作，提供国防动员潜力数据资料。</w:t>
      </w:r>
    </w:p>
    <w:p>
      <w:pPr>
        <w:pStyle w:val="Normal"/>
        <w:spacing w:lineRule="exact" w:line="560" w:before="0" w:after="0"/>
        <w:ind w:firstLine="630" w:end="0"/>
        <w:contextualSpacing/>
        <w:rPr>
          <w:rFonts w:ascii="仿宋_GB2312" w:hAnsi="仿宋_GB2312" w:cs="Arial"/>
          <w:color w:val="000000"/>
          <w:szCs w:val="32"/>
        </w:rPr>
      </w:pPr>
      <w:r>
        <w:rPr>
          <w:rFonts w:cs="Arial" w:ascii="仿宋_GB2312" w:hAnsi="仿宋_GB2312"/>
          <w:color w:val="000000"/>
          <w:szCs w:val="32"/>
        </w:rPr>
      </w:r>
    </w:p>
    <w:p>
      <w:pPr>
        <w:pStyle w:val="Normal"/>
        <w:spacing w:lineRule="exact" w:line="560" w:before="0" w:after="0"/>
        <w:contextualSpacing/>
        <w:jc w:val="center"/>
        <w:rPr>
          <w:rFonts w:ascii="黑体" w:hAnsi="黑体" w:eastAsia="黑体" w:cs="Arial"/>
          <w:color w:val="000000"/>
          <w:szCs w:val="32"/>
        </w:rPr>
      </w:pPr>
      <w:r>
        <w:rPr>
          <w:rFonts w:ascii="黑体" w:hAnsi="黑体" w:cs="Arial" w:hint="eastAsia" w:eastAsia="黑体"/>
          <w:color w:val="000000"/>
          <w:szCs w:val="32"/>
        </w:rPr>
        <w:t>第四章  与国防密切相关的重要建设项目、产品和设施</w:t>
      </w:r>
    </w:p>
    <w:p>
      <w:pPr>
        <w:pStyle w:val="Normal"/>
        <w:spacing w:lineRule="exact" w:line="560" w:before="0" w:after="0"/>
        <w:contextualSpacing/>
        <w:jc w:val="center"/>
        <w:rPr>
          <w:rFonts w:ascii="黑体" w:hAnsi="黑体" w:eastAsia="黑体" w:cs="Arial"/>
          <w:color w:val="000000"/>
          <w:szCs w:val="32"/>
        </w:rPr>
      </w:pPr>
      <w:r>
        <w:rPr>
          <w:rFonts w:eastAsia="黑体" w:cs="Arial" w:ascii="黑体" w:hAnsi="黑体"/>
          <w:color w:val="000000"/>
          <w:szCs w:val="32"/>
        </w:rPr>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w:t>
      </w:r>
      <w:r>
        <w:rPr>
          <w:rFonts w:ascii="黑体" w:hAnsi="黑体" w:cs="Arial" w:hint="eastAsia" w:eastAsia="黑体"/>
          <w:color w:val="000000"/>
          <w:szCs w:val="32"/>
        </w:rPr>
        <w:t>第十六条</w:t>
      </w:r>
      <w:r>
        <w:rPr>
          <w:rFonts w:ascii="仿宋_GB2312" w:hAnsi="仿宋_GB2312" w:cs="Arial" w:hint="eastAsia"/>
          <w:color w:val="000000"/>
          <w:szCs w:val="32"/>
        </w:rPr>
        <w:t xml:space="preserve">  列入与国防密切相关的建设项目和重要产品目录的交通运输、水利、信息产业、能源等建设项目和大型船舶、铁路机车、民用飞机、民用卫星、重要移动通信终端等重要产品，应当符合国防需要。</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在目录中的建设项目审批、核准和重要产品设计定型时，市和区县人民政府有关部门应当征求军队有关部门的意见。</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w:t>
      </w:r>
      <w:r>
        <w:rPr>
          <w:rFonts w:ascii="黑体" w:hAnsi="黑体" w:cs="Arial" w:hint="eastAsia" w:eastAsia="黑体"/>
          <w:color w:val="000000"/>
          <w:szCs w:val="32"/>
        </w:rPr>
        <w:t>第十七条</w:t>
      </w:r>
      <w:r>
        <w:rPr>
          <w:rFonts w:ascii="仿宋_GB2312" w:hAnsi="仿宋_GB2312" w:cs="Arial" w:hint="eastAsia"/>
          <w:color w:val="000000"/>
          <w:szCs w:val="32"/>
        </w:rPr>
        <w:t xml:space="preserve">  市和区县人民政府有关部门，应当建立健全列入目录的重要建设项目和重要产品的监督、检查、验收等制度，督促有关单位落实。</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w:t>
      </w:r>
      <w:r>
        <w:rPr>
          <w:rFonts w:ascii="黑体" w:hAnsi="黑体" w:cs="Arial" w:hint="eastAsia" w:eastAsia="黑体"/>
          <w:color w:val="000000"/>
          <w:szCs w:val="32"/>
        </w:rPr>
        <w:t>第十八条</w:t>
      </w:r>
      <w:r>
        <w:rPr>
          <w:rFonts w:ascii="仿宋_GB2312" w:hAnsi="仿宋_GB2312" w:cs="Arial" w:hint="eastAsia"/>
          <w:color w:val="000000"/>
          <w:szCs w:val="32"/>
        </w:rPr>
        <w:t xml:space="preserve">  市和区县人民政府对承担列入目录的重要建设项目和重要产品研究、开发、制造的企业事业单位，依照有关法律、行政法规和国家有关规定，给予补贴或者其他政策优惠。</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w:t>
      </w:r>
      <w:r>
        <w:rPr>
          <w:rFonts w:ascii="黑体" w:hAnsi="黑体" w:cs="Arial" w:hint="eastAsia" w:eastAsia="黑体"/>
          <w:color w:val="000000"/>
          <w:szCs w:val="32"/>
        </w:rPr>
        <w:t>第十九条</w:t>
      </w:r>
      <w:r>
        <w:rPr>
          <w:rFonts w:ascii="仿宋_GB2312" w:hAnsi="仿宋_GB2312" w:cs="Arial" w:hint="eastAsia"/>
          <w:color w:val="000000"/>
          <w:szCs w:val="32"/>
        </w:rPr>
        <w:t xml:space="preserve">  与国防密切相关设施的管理单位，应当加强设施的维护管理，采取措施，保障设施功能完整、有效，不得擅自改变其用途或者作报废处理。</w:t>
      </w:r>
    </w:p>
    <w:p>
      <w:pPr>
        <w:pStyle w:val="Normal"/>
        <w:spacing w:lineRule="exact" w:line="560" w:before="0" w:after="0"/>
        <w:ind w:firstLine="630" w:end="0"/>
        <w:contextualSpacing/>
        <w:rPr>
          <w:rFonts w:ascii="仿宋_GB2312" w:hAnsi="仿宋_GB2312" w:cs="Arial"/>
          <w:color w:val="000000"/>
          <w:szCs w:val="32"/>
        </w:rPr>
      </w:pPr>
      <w:r>
        <w:rPr>
          <w:rFonts w:ascii="仿宋_GB2312" w:hAnsi="仿宋_GB2312" w:cs="Arial" w:hint="eastAsia"/>
          <w:color w:val="000000"/>
          <w:szCs w:val="32"/>
        </w:rPr>
        <w:t>任何组织和个人不得破坏、危害与国防密切相关的设施。</w:t>
      </w:r>
    </w:p>
    <w:p>
      <w:pPr>
        <w:pStyle w:val="Normal"/>
        <w:spacing w:lineRule="exact" w:line="560" w:before="0" w:after="0"/>
        <w:ind w:firstLine="630" w:end="0"/>
        <w:contextualSpacing/>
        <w:rPr>
          <w:rFonts w:ascii="仿宋_GB2312" w:hAnsi="仿宋_GB2312" w:cs="Arial"/>
          <w:color w:val="000000"/>
          <w:szCs w:val="32"/>
        </w:rPr>
      </w:pPr>
      <w:r>
        <w:rPr>
          <w:rFonts w:cs="Arial" w:ascii="仿宋_GB2312" w:hAnsi="仿宋_GB2312"/>
          <w:color w:val="000000"/>
          <w:szCs w:val="32"/>
        </w:rPr>
      </w:r>
    </w:p>
    <w:p>
      <w:pPr>
        <w:pStyle w:val="Normal"/>
        <w:spacing w:lineRule="exact" w:line="560" w:before="0" w:after="0"/>
        <w:contextualSpacing/>
        <w:jc w:val="center"/>
        <w:rPr>
          <w:rFonts w:ascii="黑体" w:hAnsi="黑体" w:eastAsia="黑体" w:cs="Arial"/>
          <w:color w:val="000000"/>
          <w:szCs w:val="32"/>
        </w:rPr>
      </w:pPr>
      <w:r>
        <w:rPr>
          <w:rFonts w:ascii="黑体" w:hAnsi="黑体" w:cs="Arial" w:hint="eastAsia" w:eastAsia="黑体"/>
          <w:color w:val="000000"/>
          <w:szCs w:val="32"/>
        </w:rPr>
        <w:t>第五章  预备役人员的储备与征召</w:t>
      </w:r>
    </w:p>
    <w:p>
      <w:pPr>
        <w:pStyle w:val="Normal"/>
        <w:spacing w:lineRule="exact" w:line="560" w:before="0" w:after="0"/>
        <w:contextualSpacing/>
        <w:jc w:val="center"/>
        <w:rPr>
          <w:rFonts w:ascii="黑体" w:hAnsi="黑体" w:eastAsia="黑体" w:cs="Arial"/>
          <w:color w:val="000000"/>
          <w:szCs w:val="32"/>
        </w:rPr>
      </w:pPr>
      <w:r>
        <w:rPr>
          <w:rFonts w:eastAsia="黑体" w:cs="Arial" w:ascii="黑体" w:hAnsi="黑体"/>
          <w:color w:val="000000"/>
          <w:szCs w:val="32"/>
        </w:rPr>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w:t>
      </w:r>
      <w:r>
        <w:rPr>
          <w:rFonts w:ascii="黑体" w:hAnsi="黑体" w:cs="Arial" w:hint="eastAsia" w:eastAsia="黑体"/>
          <w:color w:val="000000"/>
          <w:szCs w:val="32"/>
        </w:rPr>
        <w:t>第二十条</w:t>
      </w:r>
      <w:r>
        <w:rPr>
          <w:rFonts w:ascii="仿宋_GB2312" w:hAnsi="仿宋_GB2312" w:cs="Arial" w:hint="eastAsia"/>
          <w:color w:val="000000"/>
          <w:szCs w:val="32"/>
        </w:rPr>
        <w:t xml:space="preserve">  市和区县人民政府兵役机关，负责组织本行政区域预备役人员的储备工作。</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市和区县人民政府应当完善预备役人员储备的相关制度，按照规定提供训练场地、装备器材、物资经费等方面的支持和保障。</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w:t>
      </w:r>
      <w:r>
        <w:rPr>
          <w:rFonts w:ascii="黑体" w:hAnsi="黑体" w:cs="Arial" w:hint="eastAsia" w:eastAsia="黑体"/>
          <w:color w:val="000000"/>
          <w:szCs w:val="32"/>
        </w:rPr>
        <w:t>第二十一条</w:t>
      </w:r>
      <w:r>
        <w:rPr>
          <w:rFonts w:ascii="仿宋_GB2312" w:hAnsi="仿宋_GB2312" w:cs="Arial" w:hint="eastAsia"/>
          <w:color w:val="000000"/>
          <w:szCs w:val="32"/>
        </w:rPr>
        <w:t xml:space="preserve">  乡镇人民政府、街道办事处和预备役人员所在单位，负责预备役人员的日常管理；预备役人员在训练和执行任务时，由组织和执行任务的单位负责管理。</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民兵应急分队成员、民兵干部、预备役部队预编人员外出六个月以上的，基干民兵外出一年以上的，应将其调整到普通民兵组织。</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w:t>
      </w:r>
      <w:r>
        <w:rPr>
          <w:rFonts w:ascii="黑体" w:hAnsi="黑体" w:cs="Arial" w:hint="eastAsia" w:eastAsia="黑体"/>
          <w:color w:val="000000"/>
          <w:szCs w:val="32"/>
        </w:rPr>
        <w:t>第二十二条</w:t>
      </w:r>
      <w:r>
        <w:rPr>
          <w:rFonts w:ascii="仿宋_GB2312" w:hAnsi="仿宋_GB2312" w:cs="Arial" w:hint="eastAsia"/>
          <w:color w:val="000000"/>
          <w:szCs w:val="32"/>
        </w:rPr>
        <w:t xml:space="preserve">  预备役人员参加军事演习、军事训练、抢险救灾、战备执勤、大型活动安全保卫等任务时，所在单位应当为其提供条件，并保障相关福利待遇。</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从事交通运输的单位和个人，应当优先运送执行任务的人员。</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w:t>
      </w:r>
      <w:r>
        <w:rPr>
          <w:rFonts w:ascii="黑体" w:hAnsi="黑体" w:cs="Arial" w:hint="eastAsia" w:eastAsia="黑体"/>
          <w:color w:val="000000"/>
          <w:szCs w:val="32"/>
        </w:rPr>
        <w:t>第二十三条</w:t>
      </w:r>
      <w:r>
        <w:rPr>
          <w:rFonts w:ascii="仿宋_GB2312" w:hAnsi="仿宋_GB2312" w:cs="Arial" w:hint="eastAsia"/>
          <w:color w:val="000000"/>
          <w:szCs w:val="32"/>
        </w:rPr>
        <w:t xml:space="preserve">  预备役师</w:t>
      </w:r>
      <w:r>
        <w:rPr>
          <w:rFonts w:cs="Arial" w:hint="eastAsia" w:ascii="仿宋_GB2312" w:hAnsi="仿宋_GB2312"/>
          <w:color w:val="000000"/>
          <w:szCs w:val="32"/>
        </w:rPr>
        <w:t>(</w:t>
      </w:r>
      <w:r>
        <w:rPr>
          <w:rFonts w:ascii="仿宋_GB2312" w:hAnsi="仿宋_GB2312" w:cs="Arial" w:hint="eastAsia"/>
          <w:color w:val="000000"/>
          <w:szCs w:val="32"/>
        </w:rPr>
        <w:t>团</w:t>
      </w:r>
      <w:r>
        <w:rPr>
          <w:rFonts w:cs="Arial" w:hint="eastAsia" w:ascii="仿宋_GB2312" w:hAnsi="仿宋_GB2312"/>
          <w:color w:val="000000"/>
          <w:szCs w:val="32"/>
        </w:rPr>
        <w:t>)</w:t>
      </w:r>
      <w:r>
        <w:rPr>
          <w:rFonts w:ascii="仿宋_GB2312" w:hAnsi="仿宋_GB2312" w:cs="Arial" w:hint="eastAsia"/>
          <w:color w:val="000000"/>
          <w:szCs w:val="32"/>
        </w:rPr>
        <w:t>和兵役机关应当按照规定组织预备役人员训练演练。</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民兵、预备役部队人员必须依法参加军事训练，完成年度军事训练任务。</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w:t>
      </w:r>
      <w:r>
        <w:rPr>
          <w:rFonts w:ascii="黑体" w:hAnsi="黑体" w:cs="Arial" w:hint="eastAsia" w:eastAsia="黑体"/>
          <w:color w:val="000000"/>
          <w:szCs w:val="32"/>
        </w:rPr>
        <w:t xml:space="preserve">第二十四条 </w:t>
      </w:r>
      <w:r>
        <w:rPr>
          <w:rFonts w:ascii="仿宋_GB2312" w:hAnsi="仿宋_GB2312" w:cs="Arial" w:hint="eastAsia"/>
          <w:color w:val="000000"/>
          <w:szCs w:val="32"/>
        </w:rPr>
        <w:t xml:space="preserve"> 国家决定实施国防动员后，市和区县人民政府兵役机关应当根据上级命令，迅速向被征召的预备役人员下达征召通知，同时通知其所在单位；对外出务工的预备役人员，应当通知其务工所在地的兵役机关。</w:t>
      </w:r>
    </w:p>
    <w:p>
      <w:pPr>
        <w:pStyle w:val="Normal"/>
        <w:spacing w:lineRule="exact" w:line="560" w:before="0" w:after="0"/>
        <w:ind w:firstLine="630" w:end="0"/>
        <w:contextualSpacing/>
        <w:rPr>
          <w:rFonts w:ascii="仿宋_GB2312" w:hAnsi="仿宋_GB2312" w:cs="Arial"/>
          <w:color w:val="000000"/>
          <w:szCs w:val="32"/>
        </w:rPr>
      </w:pPr>
      <w:r>
        <w:rPr>
          <w:rFonts w:ascii="仿宋_GB2312" w:hAnsi="仿宋_GB2312" w:cs="Arial" w:hint="eastAsia"/>
          <w:color w:val="000000"/>
          <w:szCs w:val="32"/>
        </w:rPr>
        <w:t>接到征召通知的预备役人员应当按照通知要求，准时到指定地点报到。</w:t>
      </w:r>
    </w:p>
    <w:p>
      <w:pPr>
        <w:pStyle w:val="Normal"/>
        <w:spacing w:lineRule="exact" w:line="560" w:before="0" w:after="0"/>
        <w:ind w:firstLine="630" w:end="0"/>
        <w:contextualSpacing/>
        <w:rPr>
          <w:rFonts w:ascii="仿宋_GB2312" w:hAnsi="仿宋_GB2312" w:cs="Arial"/>
          <w:color w:val="000000"/>
          <w:szCs w:val="32"/>
        </w:rPr>
      </w:pPr>
      <w:r>
        <w:rPr>
          <w:rFonts w:cs="Arial" w:ascii="仿宋_GB2312" w:hAnsi="仿宋_GB2312"/>
          <w:color w:val="000000"/>
          <w:szCs w:val="32"/>
        </w:rPr>
      </w:r>
    </w:p>
    <w:p>
      <w:pPr>
        <w:pStyle w:val="Normal"/>
        <w:spacing w:lineRule="exact" w:line="560" w:before="0" w:after="0"/>
        <w:contextualSpacing/>
        <w:jc w:val="center"/>
        <w:rPr>
          <w:rFonts w:ascii="黑体" w:hAnsi="黑体" w:eastAsia="黑体" w:cs="Arial"/>
          <w:color w:val="000000"/>
          <w:szCs w:val="32"/>
        </w:rPr>
      </w:pPr>
      <w:r>
        <w:rPr>
          <w:rFonts w:ascii="黑体" w:hAnsi="黑体" w:cs="Arial" w:hint="eastAsia" w:eastAsia="黑体"/>
          <w:color w:val="000000"/>
          <w:szCs w:val="32"/>
        </w:rPr>
        <w:t>第六章  战略物资储备</w:t>
      </w:r>
    </w:p>
    <w:p>
      <w:pPr>
        <w:pStyle w:val="Normal"/>
        <w:spacing w:lineRule="exact" w:line="560" w:before="0" w:after="0"/>
        <w:contextualSpacing/>
        <w:jc w:val="center"/>
        <w:rPr>
          <w:rFonts w:ascii="黑体" w:hAnsi="黑体" w:eastAsia="黑体" w:cs="Arial"/>
          <w:color w:val="000000"/>
          <w:szCs w:val="32"/>
        </w:rPr>
      </w:pPr>
      <w:r>
        <w:rPr>
          <w:rFonts w:eastAsia="黑体" w:cs="Arial" w:ascii="黑体" w:hAnsi="黑体"/>
          <w:color w:val="000000"/>
          <w:szCs w:val="32"/>
        </w:rPr>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w:t>
      </w:r>
      <w:r>
        <w:rPr>
          <w:rFonts w:ascii="黑体" w:hAnsi="黑体" w:cs="Arial" w:hint="eastAsia" w:eastAsia="黑体"/>
          <w:color w:val="000000"/>
          <w:szCs w:val="32"/>
        </w:rPr>
        <w:t xml:space="preserve">第二十五条 </w:t>
      </w:r>
      <w:r>
        <w:rPr>
          <w:rFonts w:ascii="仿宋_GB2312" w:hAnsi="仿宋_GB2312" w:cs="Arial" w:hint="eastAsia"/>
          <w:color w:val="000000"/>
          <w:szCs w:val="32"/>
        </w:rPr>
        <w:t xml:space="preserve"> 市和区县人民政府，应当按照国家规定完成战略物资储备任务。</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w:t>
      </w:r>
      <w:r>
        <w:rPr>
          <w:rFonts w:ascii="黑体" w:hAnsi="黑体" w:cs="Arial" w:hint="eastAsia" w:eastAsia="黑体"/>
          <w:color w:val="000000"/>
          <w:szCs w:val="32"/>
        </w:rPr>
        <w:t xml:space="preserve">第二十六条 </w:t>
      </w:r>
      <w:r>
        <w:rPr>
          <w:rFonts w:ascii="仿宋_GB2312" w:hAnsi="仿宋_GB2312" w:cs="Arial" w:hint="eastAsia"/>
          <w:color w:val="000000"/>
          <w:szCs w:val="32"/>
        </w:rPr>
        <w:t xml:space="preserve"> 承担战略物资储备任务的单位，应当按照有关规定储备物资。</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战略物资储备应当安全储存、方便调用、定期更换、及时有效，保障国防动员的需要和调度。</w:t>
      </w:r>
    </w:p>
    <w:p>
      <w:pPr>
        <w:pStyle w:val="Normal"/>
        <w:spacing w:lineRule="exact" w:line="560" w:before="0" w:after="0"/>
        <w:ind w:firstLine="645" w:end="0"/>
        <w:contextualSpacing/>
        <w:rPr>
          <w:rFonts w:ascii="仿宋_GB2312" w:hAnsi="仿宋_GB2312" w:cs="Arial"/>
          <w:color w:val="000000"/>
          <w:szCs w:val="32"/>
        </w:rPr>
      </w:pPr>
      <w:r>
        <w:rPr>
          <w:rFonts w:ascii="黑体" w:hAnsi="黑体" w:cs="Arial" w:hint="eastAsia" w:eastAsia="黑体"/>
          <w:color w:val="000000"/>
          <w:szCs w:val="32"/>
        </w:rPr>
        <w:t xml:space="preserve">第二十七条 </w:t>
      </w:r>
      <w:r>
        <w:rPr>
          <w:rFonts w:ascii="仿宋_GB2312" w:hAnsi="仿宋_GB2312" w:cs="Arial" w:hint="eastAsia"/>
          <w:color w:val="000000"/>
          <w:szCs w:val="32"/>
        </w:rPr>
        <w:t xml:space="preserve"> 承担战略物资储备任务的单位，依法享受国家规定的补贴和其他政策优惠。</w:t>
      </w:r>
    </w:p>
    <w:p>
      <w:pPr>
        <w:pStyle w:val="Normal"/>
        <w:spacing w:lineRule="exact" w:line="560" w:before="0" w:after="0"/>
        <w:ind w:firstLine="645" w:end="0"/>
        <w:contextualSpacing/>
        <w:rPr>
          <w:rFonts w:ascii="仿宋_GB2312" w:hAnsi="仿宋_GB2312" w:cs="Arial"/>
          <w:color w:val="000000"/>
          <w:szCs w:val="32"/>
        </w:rPr>
      </w:pPr>
      <w:r>
        <w:rPr>
          <w:rFonts w:cs="Arial" w:ascii="仿宋_GB2312" w:hAnsi="仿宋_GB2312"/>
          <w:color w:val="000000"/>
          <w:szCs w:val="32"/>
        </w:rPr>
      </w:r>
    </w:p>
    <w:p>
      <w:pPr>
        <w:pStyle w:val="Normal"/>
        <w:spacing w:lineRule="exact" w:line="560" w:before="0" w:after="0"/>
        <w:contextualSpacing/>
        <w:jc w:val="center"/>
        <w:rPr>
          <w:rFonts w:ascii="黑体" w:hAnsi="黑体" w:eastAsia="黑体" w:cs="Arial"/>
          <w:color w:val="000000"/>
          <w:szCs w:val="32"/>
        </w:rPr>
      </w:pPr>
      <w:r>
        <w:rPr>
          <w:rFonts w:ascii="黑体" w:hAnsi="黑体" w:cs="Arial" w:hint="eastAsia" w:eastAsia="黑体"/>
          <w:color w:val="000000"/>
          <w:szCs w:val="32"/>
        </w:rPr>
        <w:t>第七章  军品科研、生产与维修保障</w:t>
      </w:r>
    </w:p>
    <w:p>
      <w:pPr>
        <w:pStyle w:val="Normal"/>
        <w:spacing w:lineRule="exact" w:line="560" w:before="0" w:after="0"/>
        <w:contextualSpacing/>
        <w:jc w:val="center"/>
        <w:rPr>
          <w:rFonts w:ascii="黑体" w:hAnsi="黑体" w:eastAsia="黑体" w:cs="Arial"/>
          <w:color w:val="000000"/>
          <w:szCs w:val="32"/>
        </w:rPr>
      </w:pPr>
      <w:r>
        <w:rPr>
          <w:rFonts w:eastAsia="黑体" w:cs="Arial" w:ascii="黑体" w:hAnsi="黑体"/>
          <w:color w:val="000000"/>
          <w:szCs w:val="32"/>
        </w:rPr>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w:t>
      </w:r>
      <w:r>
        <w:rPr>
          <w:rFonts w:ascii="黑体" w:hAnsi="黑体" w:cs="Arial" w:hint="eastAsia" w:eastAsia="黑体"/>
          <w:color w:val="000000"/>
          <w:szCs w:val="32"/>
        </w:rPr>
        <w:t>第二十八条</w:t>
      </w:r>
      <w:r>
        <w:rPr>
          <w:rFonts w:ascii="仿宋_GB2312" w:hAnsi="仿宋_GB2312" w:cs="Arial" w:hint="eastAsia"/>
          <w:color w:val="000000"/>
          <w:szCs w:val="32"/>
        </w:rPr>
        <w:t xml:space="preserve">  市和区县人民政府应当支持帮助军民两用技术开发和军民结合服务平台建设，推动军民结合产业化发展。</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市和区县人民政府应当鼓励与支持民营企业参加军品科研、生产与维修保障。</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w:t>
      </w:r>
      <w:r>
        <w:rPr>
          <w:rFonts w:ascii="黑体" w:hAnsi="黑体" w:cs="Arial" w:hint="eastAsia" w:eastAsia="黑体"/>
          <w:color w:val="000000"/>
          <w:szCs w:val="32"/>
        </w:rPr>
        <w:t xml:space="preserve">第二十九条 </w:t>
      </w:r>
      <w:r>
        <w:rPr>
          <w:rFonts w:ascii="仿宋_GB2312" w:hAnsi="仿宋_GB2312" w:cs="Arial" w:hint="eastAsia"/>
          <w:color w:val="000000"/>
          <w:szCs w:val="32"/>
        </w:rPr>
        <w:t xml:space="preserve"> 本市行政区域内承担转产、扩大生产军品和维修保障任务的企业事业单位，应当根据所担负的国防动员任务，做好战时转产、扩大生产各项准备。接到市国防动员委员会命令后，应当按照军事订货合同和转产、扩大生产要求，按时交付订货，协助军队完成维修保障任务。</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因承担转产、扩大生产军品任务造成直接经济损失的企业事业单位，应当得到补偿。</w:t>
      </w:r>
    </w:p>
    <w:p>
      <w:pPr>
        <w:pStyle w:val="Normal"/>
        <w:spacing w:lineRule="exact" w:line="560" w:before="0" w:after="0"/>
        <w:ind w:firstLine="645" w:end="0"/>
        <w:contextualSpacing/>
        <w:rPr>
          <w:rFonts w:ascii="仿宋_GB2312" w:hAnsi="仿宋_GB2312" w:cs="Arial"/>
          <w:color w:val="000000"/>
          <w:szCs w:val="32"/>
        </w:rPr>
      </w:pPr>
      <w:r>
        <w:rPr>
          <w:rFonts w:ascii="黑体" w:hAnsi="黑体" w:cs="Arial" w:hint="eastAsia" w:eastAsia="黑体"/>
          <w:color w:val="000000"/>
          <w:szCs w:val="32"/>
        </w:rPr>
        <w:t>第三十条</w:t>
      </w:r>
      <w:r>
        <w:rPr>
          <w:rFonts w:ascii="仿宋_GB2312" w:hAnsi="仿宋_GB2312" w:cs="Arial" w:hint="eastAsia"/>
          <w:color w:val="000000"/>
          <w:szCs w:val="32"/>
        </w:rPr>
        <w:t xml:space="preserve">  市和区县人民政府及其有关部门，应当按照国防保密的要求，对军品科研、生产单位采取必要的安全措施。</w:t>
      </w:r>
    </w:p>
    <w:p>
      <w:pPr>
        <w:pStyle w:val="Normal"/>
        <w:spacing w:lineRule="exact" w:line="560" w:before="0" w:after="0"/>
        <w:ind w:firstLine="645" w:end="0"/>
        <w:contextualSpacing/>
        <w:rPr>
          <w:rFonts w:ascii="仿宋_GB2312" w:hAnsi="仿宋_GB2312" w:cs="Arial"/>
          <w:color w:val="000000"/>
          <w:szCs w:val="32"/>
        </w:rPr>
      </w:pPr>
      <w:r>
        <w:rPr>
          <w:rFonts w:cs="Arial" w:ascii="仿宋_GB2312" w:hAnsi="仿宋_GB2312"/>
          <w:color w:val="000000"/>
          <w:szCs w:val="32"/>
        </w:rPr>
      </w:r>
    </w:p>
    <w:p>
      <w:pPr>
        <w:pStyle w:val="Normal"/>
        <w:spacing w:lineRule="exact" w:line="560" w:before="0" w:after="0"/>
        <w:contextualSpacing/>
        <w:jc w:val="center"/>
        <w:rPr>
          <w:rFonts w:ascii="黑体" w:hAnsi="黑体" w:eastAsia="黑体" w:cs="Arial"/>
          <w:color w:val="000000"/>
          <w:szCs w:val="32"/>
        </w:rPr>
      </w:pPr>
      <w:r>
        <w:rPr>
          <w:rFonts w:ascii="黑体" w:hAnsi="黑体" w:cs="Arial" w:hint="eastAsia" w:eastAsia="黑体"/>
          <w:color w:val="000000"/>
          <w:szCs w:val="32"/>
        </w:rPr>
        <w:t>第八章  战争灾害的预防与救助</w:t>
      </w:r>
    </w:p>
    <w:p>
      <w:pPr>
        <w:pStyle w:val="Normal"/>
        <w:spacing w:lineRule="exact" w:line="560" w:before="0" w:after="0"/>
        <w:contextualSpacing/>
        <w:jc w:val="center"/>
        <w:rPr>
          <w:rFonts w:ascii="黑体" w:hAnsi="黑体" w:eastAsia="黑体" w:cs="Arial"/>
          <w:color w:val="000000"/>
          <w:szCs w:val="32"/>
        </w:rPr>
      </w:pPr>
      <w:r>
        <w:rPr>
          <w:rFonts w:eastAsia="黑体" w:cs="Arial" w:ascii="黑体" w:hAnsi="黑体"/>
          <w:color w:val="000000"/>
          <w:szCs w:val="32"/>
        </w:rPr>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w:t>
      </w:r>
      <w:r>
        <w:rPr>
          <w:rFonts w:ascii="黑体" w:hAnsi="黑体" w:cs="Arial" w:hint="eastAsia" w:eastAsia="黑体"/>
          <w:color w:val="000000"/>
          <w:szCs w:val="32"/>
        </w:rPr>
        <w:t>第三十一</w:t>
      </w:r>
      <w:r>
        <w:rPr>
          <w:rFonts w:ascii="仿宋_GB2312" w:hAnsi="仿宋_GB2312" w:cs="Arial" w:hint="eastAsia"/>
          <w:color w:val="000000"/>
          <w:szCs w:val="32"/>
        </w:rPr>
        <w:t>条  市和区县人民政府应当会同同级军事机关，依据国家分级防护标准，确定本行政区域内防护目标，明确防护任务。</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军事机关应当按照防护任务，指导承担重要目标防护任务的单位，制定防护计划和抢险抢修预案，组织防护演练，落实防护措施，提高综合防护效能。</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w:t>
      </w:r>
      <w:r>
        <w:rPr>
          <w:rFonts w:ascii="黑体" w:hAnsi="黑体" w:cs="Arial" w:hint="eastAsia" w:eastAsia="黑体"/>
          <w:color w:val="000000"/>
          <w:szCs w:val="32"/>
        </w:rPr>
        <w:t>第三十二条</w:t>
      </w:r>
      <w:r>
        <w:rPr>
          <w:rFonts w:ascii="仿宋_GB2312" w:hAnsi="仿宋_GB2312" w:cs="Arial" w:hint="eastAsia"/>
          <w:color w:val="000000"/>
          <w:szCs w:val="32"/>
        </w:rPr>
        <w:t xml:space="preserve">  市和区县人民政府及军事机关，应当制定人员、物资疏散隐蔽方案，定期组织训练演练。</w:t>
      </w:r>
    </w:p>
    <w:p>
      <w:pPr>
        <w:pStyle w:val="Normal"/>
        <w:spacing w:lineRule="exact" w:line="560" w:before="0" w:after="0"/>
        <w:ind w:firstLine="645" w:end="0"/>
        <w:contextualSpacing/>
        <w:rPr>
          <w:rFonts w:ascii="仿宋_GB2312" w:hAnsi="仿宋_GB2312" w:cs="Arial"/>
          <w:color w:val="000000"/>
          <w:szCs w:val="32"/>
        </w:rPr>
      </w:pPr>
      <w:r>
        <w:rPr>
          <w:rFonts w:ascii="黑体" w:hAnsi="黑体" w:cs="Arial" w:hint="eastAsia" w:eastAsia="黑体"/>
          <w:color w:val="000000"/>
          <w:szCs w:val="32"/>
        </w:rPr>
        <w:t>第三十三条</w:t>
      </w:r>
      <w:r>
        <w:rPr>
          <w:rFonts w:ascii="仿宋_GB2312" w:hAnsi="仿宋_GB2312" w:cs="Arial" w:hint="eastAsia"/>
          <w:color w:val="000000"/>
          <w:szCs w:val="32"/>
        </w:rPr>
        <w:t xml:space="preserve">  战争灾害发生时，市和区县人民政府应当迅速启动应急救助机制，组织各类专业力量展开抢救抢修行动，发动群众开展自救互救，尽快消除战争灾害后果，减少灾害造成的损失，恢复正常生产生活秩序。</w:t>
      </w:r>
    </w:p>
    <w:p>
      <w:pPr>
        <w:pStyle w:val="Normal"/>
        <w:spacing w:lineRule="exact" w:line="560" w:before="0" w:after="0"/>
        <w:ind w:firstLine="645" w:end="0"/>
        <w:contextualSpacing/>
        <w:rPr>
          <w:rFonts w:ascii="仿宋_GB2312" w:hAnsi="仿宋_GB2312" w:cs="Arial"/>
          <w:color w:val="000000"/>
          <w:szCs w:val="32"/>
        </w:rPr>
      </w:pPr>
      <w:r>
        <w:rPr>
          <w:rFonts w:cs="Arial" w:ascii="仿宋_GB2312" w:hAnsi="仿宋_GB2312"/>
          <w:color w:val="000000"/>
          <w:szCs w:val="32"/>
        </w:rPr>
      </w:r>
    </w:p>
    <w:p>
      <w:pPr>
        <w:pStyle w:val="Normal"/>
        <w:spacing w:lineRule="exact" w:line="560" w:before="0" w:after="0"/>
        <w:contextualSpacing/>
        <w:jc w:val="center"/>
        <w:rPr>
          <w:rFonts w:ascii="黑体" w:hAnsi="黑体" w:eastAsia="黑体" w:cs="Arial"/>
          <w:color w:val="000000"/>
          <w:szCs w:val="32"/>
        </w:rPr>
      </w:pPr>
      <w:r>
        <w:rPr>
          <w:rFonts w:ascii="黑体" w:hAnsi="黑体" w:cs="Arial" w:hint="eastAsia" w:eastAsia="黑体"/>
          <w:color w:val="000000"/>
          <w:szCs w:val="32"/>
        </w:rPr>
        <w:t>第九章  国防勤务</w:t>
      </w:r>
    </w:p>
    <w:p>
      <w:pPr>
        <w:pStyle w:val="Normal"/>
        <w:spacing w:lineRule="exact" w:line="560" w:before="0" w:after="0"/>
        <w:contextualSpacing/>
        <w:jc w:val="center"/>
        <w:rPr>
          <w:rFonts w:ascii="黑体" w:hAnsi="黑体" w:eastAsia="黑体" w:cs="Arial"/>
          <w:color w:val="000000"/>
          <w:szCs w:val="32"/>
        </w:rPr>
      </w:pPr>
      <w:r>
        <w:rPr>
          <w:rFonts w:eastAsia="黑体" w:cs="Arial" w:ascii="黑体" w:hAnsi="黑体"/>
          <w:color w:val="000000"/>
          <w:szCs w:val="32"/>
        </w:rPr>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w:t>
      </w:r>
      <w:r>
        <w:rPr>
          <w:rFonts w:ascii="黑体" w:hAnsi="黑体" w:cs="Arial" w:hint="eastAsia" w:eastAsia="黑体"/>
          <w:color w:val="000000"/>
          <w:szCs w:val="32"/>
        </w:rPr>
        <w:t>第三十四条</w:t>
      </w:r>
      <w:r>
        <w:rPr>
          <w:rFonts w:ascii="仿宋_GB2312" w:hAnsi="仿宋_GB2312" w:cs="Arial" w:hint="eastAsia"/>
          <w:color w:val="000000"/>
          <w:szCs w:val="32"/>
        </w:rPr>
        <w:t xml:space="preserve">  国家决定实施国防动员后，市和区县人民政府应当根据支援军队作战、预防与救助战争灾害以及协助维护社会秩序等国防勤务的需要，明确担负国防勤务公民和组织的数量规模、专业种类、组织方式、具体任务和相关保障。</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被确定担负国防勤务的组织和人员，应当按照政府和军事机关明确的任务，积极参加国防勤务。担负国防勤务人员的所在单位应当给予支持和协助。</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w:t>
      </w:r>
      <w:r>
        <w:rPr>
          <w:rFonts w:ascii="黑体" w:hAnsi="黑体" w:cs="Arial" w:hint="eastAsia" w:eastAsia="黑体"/>
          <w:color w:val="000000"/>
          <w:szCs w:val="32"/>
        </w:rPr>
        <w:t>第三十五条</w:t>
      </w:r>
      <w:r>
        <w:rPr>
          <w:rFonts w:ascii="仿宋_GB2312" w:hAnsi="仿宋_GB2312" w:cs="Arial" w:hint="eastAsia"/>
          <w:color w:val="000000"/>
          <w:szCs w:val="32"/>
        </w:rPr>
        <w:t xml:space="preserve">  交通运输、邮政、电信、医药卫生、食品和粮食供应、工程建筑、能源化工、大型水利设施、民用核设施、新闻媒体、国防科研生产和市政设施保障等单位，应当依法担负国防勤务。</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前款规定的单位，平时应当按照专业对口、人员精干、应急有效的原则组建专业保障队伍，配备相关专业技术装备器材，定期进行训练演练，提高专业保障队伍快速动员和执行国防勤务能力。</w:t>
      </w:r>
    </w:p>
    <w:p>
      <w:pPr>
        <w:pStyle w:val="Normal"/>
        <w:spacing w:lineRule="exact" w:line="560" w:before="0" w:after="0"/>
        <w:ind w:firstLine="645" w:end="0"/>
        <w:contextualSpacing/>
        <w:rPr>
          <w:rFonts w:ascii="仿宋_GB2312" w:hAnsi="仿宋_GB2312" w:cs="Arial"/>
          <w:color w:val="000000"/>
          <w:szCs w:val="32"/>
        </w:rPr>
      </w:pPr>
      <w:r>
        <w:rPr>
          <w:rFonts w:ascii="黑体" w:hAnsi="黑体" w:cs="Arial" w:hint="eastAsia" w:eastAsia="黑体"/>
          <w:color w:val="000000"/>
          <w:szCs w:val="32"/>
        </w:rPr>
        <w:t>第三十六条</w:t>
      </w:r>
      <w:r>
        <w:rPr>
          <w:rFonts w:ascii="仿宋_GB2312" w:hAnsi="仿宋_GB2312" w:cs="Arial" w:hint="eastAsia"/>
          <w:color w:val="000000"/>
          <w:szCs w:val="32"/>
        </w:rPr>
        <w:t xml:space="preserve">  市和区县国防动员委员会办事机构，根据上级要求和国防动员任务需要，编制专业保障队伍的组建计划，报本级国防动员委员会批准后实施。</w:t>
      </w:r>
    </w:p>
    <w:p>
      <w:pPr>
        <w:pStyle w:val="Normal"/>
        <w:spacing w:lineRule="exact" w:line="560" w:before="0" w:after="0"/>
        <w:ind w:firstLine="645" w:end="0"/>
        <w:contextualSpacing/>
        <w:rPr>
          <w:rFonts w:ascii="仿宋_GB2312" w:hAnsi="仿宋_GB2312" w:cs="Arial"/>
          <w:color w:val="000000"/>
          <w:szCs w:val="32"/>
        </w:rPr>
      </w:pPr>
      <w:r>
        <w:rPr>
          <w:rFonts w:cs="Arial" w:ascii="仿宋_GB2312" w:hAnsi="仿宋_GB2312"/>
          <w:color w:val="000000"/>
          <w:szCs w:val="32"/>
        </w:rPr>
      </w:r>
    </w:p>
    <w:p>
      <w:pPr>
        <w:pStyle w:val="Normal"/>
        <w:spacing w:lineRule="exact" w:line="560" w:before="0" w:after="0"/>
        <w:contextualSpacing/>
        <w:jc w:val="center"/>
        <w:rPr>
          <w:rFonts w:ascii="黑体" w:hAnsi="黑体" w:eastAsia="黑体" w:cs="Arial"/>
          <w:color w:val="000000"/>
          <w:szCs w:val="32"/>
        </w:rPr>
      </w:pPr>
      <w:r>
        <w:rPr>
          <w:rFonts w:ascii="黑体" w:hAnsi="黑体" w:cs="Arial" w:hint="eastAsia" w:eastAsia="黑体"/>
          <w:color w:val="000000"/>
          <w:szCs w:val="32"/>
        </w:rPr>
        <w:t xml:space="preserve">第十章  民用资源征用与补偿 </w:t>
      </w:r>
    </w:p>
    <w:p>
      <w:pPr>
        <w:pStyle w:val="Normal"/>
        <w:spacing w:lineRule="exact" w:line="560" w:before="0" w:after="0"/>
        <w:contextualSpacing/>
        <w:jc w:val="center"/>
        <w:rPr>
          <w:rFonts w:ascii="黑体" w:hAnsi="黑体" w:eastAsia="黑体" w:cs="Arial"/>
          <w:color w:val="000000"/>
          <w:szCs w:val="32"/>
        </w:rPr>
      </w:pPr>
      <w:r>
        <w:rPr>
          <w:rFonts w:eastAsia="黑体" w:cs="Arial" w:ascii="黑体" w:hAnsi="黑体"/>
          <w:color w:val="000000"/>
          <w:szCs w:val="32"/>
        </w:rPr>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w:t>
      </w:r>
      <w:r>
        <w:rPr>
          <w:rFonts w:ascii="黑体" w:hAnsi="黑体" w:cs="Arial" w:hint="eastAsia" w:eastAsia="黑体"/>
          <w:color w:val="000000"/>
          <w:szCs w:val="32"/>
        </w:rPr>
        <w:t>第三十七条</w:t>
      </w:r>
      <w:r>
        <w:rPr>
          <w:rFonts w:ascii="仿宋_GB2312" w:hAnsi="仿宋_GB2312" w:cs="Arial" w:hint="eastAsia"/>
          <w:color w:val="000000"/>
          <w:szCs w:val="32"/>
        </w:rPr>
        <w:t xml:space="preserve">  国家决定实施国防动员后，储备物资无法及时满足动员需要的，市和区县人民政府可以根据国防动员需求，依法决定和组织实施对组织、个人的设备设施、场所、交通工具及其他物资的征用，并对被征用的民用资源予以登记，出具凭证。</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民用资源的所有者和管理者，应当予以配合。</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w:t>
      </w:r>
      <w:r>
        <w:rPr>
          <w:rFonts w:ascii="黑体" w:hAnsi="黑体" w:cs="Arial" w:hint="eastAsia" w:eastAsia="黑体"/>
          <w:color w:val="000000"/>
          <w:szCs w:val="32"/>
        </w:rPr>
        <w:t>第三十八条</w:t>
      </w:r>
      <w:r>
        <w:rPr>
          <w:rFonts w:ascii="仿宋_GB2312" w:hAnsi="仿宋_GB2312" w:cs="Arial" w:hint="eastAsia"/>
          <w:color w:val="000000"/>
          <w:szCs w:val="32"/>
        </w:rPr>
        <w:t xml:space="preserve">  被征用的物资器材需要进行军事改造的，由市和区县人民政府会同军事机关组织承担改造任务的单位，按照使用需求进行改造。</w:t>
      </w:r>
    </w:p>
    <w:p>
      <w:pPr>
        <w:pStyle w:val="Normal"/>
        <w:spacing w:lineRule="exact" w:line="560" w:before="0" w:after="0"/>
        <w:ind w:firstLine="630" w:end="0"/>
        <w:contextualSpacing/>
        <w:rPr>
          <w:rFonts w:ascii="仿宋_GB2312" w:hAnsi="仿宋_GB2312" w:cs="Arial"/>
          <w:color w:val="000000"/>
          <w:szCs w:val="32"/>
        </w:rPr>
      </w:pPr>
      <w:r>
        <w:rPr>
          <w:rFonts w:ascii="仿宋_GB2312" w:hAnsi="仿宋_GB2312" w:cs="Arial" w:hint="eastAsia"/>
          <w:color w:val="000000"/>
          <w:szCs w:val="32"/>
        </w:rPr>
        <w:t>被征用民用资源的返还和补偿工作，由区县人民政府组织落实。</w:t>
      </w:r>
    </w:p>
    <w:p>
      <w:pPr>
        <w:pStyle w:val="Normal"/>
        <w:spacing w:lineRule="exact" w:line="560" w:before="0" w:after="0"/>
        <w:ind w:firstLine="630" w:end="0"/>
        <w:contextualSpacing/>
        <w:rPr>
          <w:rFonts w:ascii="仿宋_GB2312" w:hAnsi="仿宋_GB2312" w:cs="Arial"/>
          <w:color w:val="000000"/>
          <w:szCs w:val="32"/>
        </w:rPr>
      </w:pPr>
      <w:r>
        <w:rPr>
          <w:rFonts w:cs="Arial" w:ascii="仿宋_GB2312" w:hAnsi="仿宋_GB2312"/>
          <w:color w:val="000000"/>
          <w:szCs w:val="32"/>
        </w:rPr>
      </w:r>
    </w:p>
    <w:p>
      <w:pPr>
        <w:pStyle w:val="Normal"/>
        <w:spacing w:lineRule="exact" w:line="560" w:before="0" w:after="0"/>
        <w:contextualSpacing/>
        <w:jc w:val="center"/>
        <w:rPr>
          <w:rFonts w:ascii="黑体" w:hAnsi="黑体" w:eastAsia="黑体" w:cs="Arial"/>
          <w:color w:val="000000"/>
          <w:szCs w:val="32"/>
        </w:rPr>
      </w:pPr>
      <w:r>
        <w:rPr>
          <w:rFonts w:ascii="黑体" w:hAnsi="黑体" w:cs="Arial" w:hint="eastAsia" w:eastAsia="黑体"/>
          <w:color w:val="000000"/>
          <w:szCs w:val="32"/>
        </w:rPr>
        <w:t xml:space="preserve">第十一章  宣传教育 </w:t>
      </w:r>
    </w:p>
    <w:p>
      <w:pPr>
        <w:pStyle w:val="Normal"/>
        <w:spacing w:lineRule="exact" w:line="560" w:before="0" w:after="0"/>
        <w:contextualSpacing/>
        <w:jc w:val="center"/>
        <w:rPr>
          <w:rFonts w:ascii="黑体" w:hAnsi="黑体" w:eastAsia="黑体" w:cs="Arial"/>
          <w:color w:val="000000"/>
          <w:szCs w:val="32"/>
        </w:rPr>
      </w:pPr>
      <w:r>
        <w:rPr>
          <w:rFonts w:eastAsia="黑体" w:cs="Arial" w:ascii="黑体" w:hAnsi="黑体"/>
          <w:color w:val="000000"/>
          <w:szCs w:val="32"/>
        </w:rPr>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w:t>
      </w:r>
      <w:r>
        <w:rPr>
          <w:rFonts w:ascii="黑体" w:hAnsi="黑体" w:cs="Arial" w:hint="eastAsia" w:eastAsia="黑体"/>
          <w:color w:val="000000"/>
          <w:szCs w:val="32"/>
        </w:rPr>
        <w:t>第三十九条</w:t>
      </w:r>
      <w:r>
        <w:rPr>
          <w:rFonts w:ascii="仿宋_GB2312" w:hAnsi="仿宋_GB2312" w:cs="Arial" w:hint="eastAsia"/>
          <w:color w:val="000000"/>
          <w:szCs w:val="32"/>
        </w:rPr>
        <w:t xml:space="preserve">  市和区县人民政府应当将国防动员的宣传教育纳入国防教育体系，确保教育落到实处。</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军事机关应当主动配合、支持同级人民政府开展国防动员的宣传教育。</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机关、团体、学校、企业事业单位以及其他组织，应当结合自身特点，组织开展国防动员宣传教育，普及必要的国防动员知识。</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新闻出版、广播影视和网络传媒等单位，应当采取多种形式，做好国防动员的宣传教育。</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w:t>
      </w:r>
      <w:r>
        <w:rPr>
          <w:rFonts w:ascii="黑体" w:hAnsi="黑体" w:cs="Arial" w:hint="eastAsia" w:eastAsia="黑体"/>
          <w:color w:val="000000"/>
          <w:szCs w:val="32"/>
        </w:rPr>
        <w:t>第四十条</w:t>
      </w:r>
      <w:r>
        <w:rPr>
          <w:rFonts w:ascii="仿宋_GB2312" w:hAnsi="仿宋_GB2312" w:cs="Arial" w:hint="eastAsia"/>
          <w:color w:val="000000"/>
          <w:szCs w:val="32"/>
        </w:rPr>
        <w:t xml:space="preserve">  国防动员委员会领导成员，国防动员委员会办事机构、成员单位的负责人，与国防密切相关的企业事业单位负责人，应当增强国防意识，履行国防教育职责。</w:t>
      </w:r>
    </w:p>
    <w:p>
      <w:pPr>
        <w:pStyle w:val="Normal"/>
        <w:spacing w:lineRule="exact" w:line="560" w:before="0" w:after="0"/>
        <w:ind w:firstLine="630" w:end="0"/>
        <w:contextualSpacing/>
        <w:rPr>
          <w:rFonts w:ascii="仿宋_GB2312" w:hAnsi="仿宋_GB2312" w:cs="Arial"/>
          <w:color w:val="000000"/>
          <w:szCs w:val="32"/>
        </w:rPr>
      </w:pPr>
      <w:r>
        <w:rPr>
          <w:rFonts w:ascii="仿宋_GB2312" w:hAnsi="仿宋_GB2312" w:cs="Arial" w:hint="eastAsia"/>
          <w:color w:val="000000"/>
          <w:szCs w:val="32"/>
        </w:rPr>
        <w:t>民兵、预备役人员、兵员征集对象，应当按照规定定期接受国防动员教育。</w:t>
      </w:r>
    </w:p>
    <w:p>
      <w:pPr>
        <w:pStyle w:val="Normal"/>
        <w:spacing w:lineRule="exact" w:line="560" w:before="0" w:after="0"/>
        <w:ind w:firstLine="630" w:end="0"/>
        <w:contextualSpacing/>
        <w:rPr>
          <w:rFonts w:ascii="仿宋_GB2312" w:hAnsi="仿宋_GB2312" w:cs="Arial"/>
          <w:color w:val="000000"/>
          <w:szCs w:val="32"/>
        </w:rPr>
      </w:pPr>
      <w:r>
        <w:rPr>
          <w:rFonts w:cs="Arial" w:ascii="仿宋_GB2312" w:hAnsi="仿宋_GB2312"/>
          <w:color w:val="000000"/>
          <w:szCs w:val="32"/>
        </w:rPr>
      </w:r>
    </w:p>
    <w:p>
      <w:pPr>
        <w:pStyle w:val="Normal"/>
        <w:spacing w:lineRule="exact" w:line="560" w:before="0" w:after="0"/>
        <w:contextualSpacing/>
        <w:jc w:val="center"/>
        <w:rPr>
          <w:rFonts w:ascii="黑体" w:hAnsi="黑体" w:eastAsia="黑体" w:cs="Arial"/>
          <w:color w:val="000000"/>
          <w:szCs w:val="32"/>
        </w:rPr>
      </w:pPr>
      <w:r>
        <w:rPr>
          <w:rFonts w:ascii="黑体" w:hAnsi="黑体" w:cs="Arial" w:hint="eastAsia" w:eastAsia="黑体"/>
          <w:color w:val="000000"/>
          <w:szCs w:val="32"/>
        </w:rPr>
        <w:t xml:space="preserve">第十二章  特别措施 </w:t>
      </w:r>
    </w:p>
    <w:p>
      <w:pPr>
        <w:pStyle w:val="Normal"/>
        <w:spacing w:lineRule="exact" w:line="560" w:before="0" w:after="0"/>
        <w:contextualSpacing/>
        <w:jc w:val="center"/>
        <w:rPr>
          <w:rFonts w:ascii="黑体" w:hAnsi="黑体" w:eastAsia="黑体" w:cs="Arial"/>
          <w:color w:val="000000"/>
          <w:szCs w:val="32"/>
        </w:rPr>
      </w:pPr>
      <w:r>
        <w:rPr>
          <w:rFonts w:eastAsia="黑体" w:cs="Arial" w:ascii="黑体" w:hAnsi="黑体"/>
          <w:color w:val="000000"/>
          <w:szCs w:val="32"/>
        </w:rPr>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w:t>
      </w:r>
      <w:r>
        <w:rPr>
          <w:rFonts w:ascii="黑体" w:hAnsi="黑体" w:cs="Arial" w:hint="eastAsia" w:eastAsia="黑体"/>
          <w:color w:val="000000"/>
          <w:szCs w:val="32"/>
        </w:rPr>
        <w:t>第四十一条</w:t>
      </w:r>
      <w:r>
        <w:rPr>
          <w:rFonts w:ascii="仿宋_GB2312" w:hAnsi="仿宋_GB2312" w:cs="Arial" w:hint="eastAsia"/>
          <w:color w:val="000000"/>
          <w:szCs w:val="32"/>
        </w:rPr>
        <w:t xml:space="preserve">  国家决定实施国防动员后，国务院、中央军事委员会决定在本市范围内的部分地区实行特别措施的，由市人民政府和天津警备区组织实施。</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市人民政府和天津警备区应当将实施特别措施的区域和时限向社会公告。</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特别措施实施区域内的组织和个人在规定的时限内，应当服从组织实施特别措施的机关的管理。</w:t>
      </w:r>
    </w:p>
    <w:p>
      <w:pPr>
        <w:pStyle w:val="Normal"/>
        <w:spacing w:lineRule="exact" w:line="560" w:before="0" w:after="0"/>
        <w:ind w:firstLine="645" w:end="0"/>
        <w:contextualSpacing/>
        <w:rPr>
          <w:rFonts w:ascii="仿宋_GB2312" w:hAnsi="仿宋_GB2312" w:cs="Arial"/>
          <w:color w:val="000000"/>
          <w:szCs w:val="32"/>
        </w:rPr>
      </w:pPr>
      <w:r>
        <w:rPr>
          <w:rFonts w:ascii="黑体" w:hAnsi="黑体" w:cs="Arial" w:hint="eastAsia" w:eastAsia="黑体"/>
          <w:color w:val="000000"/>
          <w:szCs w:val="32"/>
        </w:rPr>
        <w:t xml:space="preserve">第四十二条 </w:t>
      </w:r>
      <w:r>
        <w:rPr>
          <w:rFonts w:ascii="仿宋_GB2312" w:hAnsi="仿宋_GB2312" w:cs="Arial" w:hint="eastAsia"/>
          <w:color w:val="000000"/>
          <w:szCs w:val="32"/>
        </w:rPr>
        <w:t xml:space="preserve"> 国务院、中央军事委员会决定不再需要实行特别措施时，市人民政府和天津警备区应当及时终止。</w:t>
      </w:r>
    </w:p>
    <w:p>
      <w:pPr>
        <w:pStyle w:val="Normal"/>
        <w:spacing w:lineRule="exact" w:line="560" w:before="0" w:after="0"/>
        <w:ind w:firstLine="645" w:end="0"/>
        <w:contextualSpacing/>
        <w:rPr>
          <w:rFonts w:ascii="仿宋_GB2312" w:hAnsi="仿宋_GB2312" w:cs="Arial"/>
          <w:color w:val="000000"/>
          <w:szCs w:val="32"/>
        </w:rPr>
      </w:pPr>
      <w:r>
        <w:rPr>
          <w:rFonts w:cs="Arial" w:ascii="仿宋_GB2312" w:hAnsi="仿宋_GB2312"/>
          <w:color w:val="000000"/>
          <w:szCs w:val="32"/>
        </w:rPr>
      </w:r>
    </w:p>
    <w:p>
      <w:pPr>
        <w:pStyle w:val="Normal"/>
        <w:spacing w:lineRule="exact" w:line="560" w:before="0" w:after="0"/>
        <w:contextualSpacing/>
        <w:jc w:val="center"/>
        <w:rPr>
          <w:rFonts w:ascii="黑体" w:hAnsi="黑体" w:eastAsia="黑体" w:cs="Arial"/>
          <w:color w:val="000000"/>
          <w:szCs w:val="32"/>
        </w:rPr>
      </w:pPr>
      <w:r>
        <w:rPr>
          <w:rFonts w:ascii="黑体" w:hAnsi="黑体" w:cs="Arial" w:hint="eastAsia" w:eastAsia="黑体"/>
          <w:color w:val="000000"/>
          <w:szCs w:val="32"/>
        </w:rPr>
        <w:t>第十三章  法律责任</w:t>
      </w:r>
    </w:p>
    <w:p>
      <w:pPr>
        <w:pStyle w:val="Normal"/>
        <w:spacing w:lineRule="exact" w:line="560" w:before="0" w:after="0"/>
        <w:contextualSpacing/>
        <w:jc w:val="center"/>
        <w:rPr>
          <w:rFonts w:ascii="黑体" w:hAnsi="黑体" w:eastAsia="黑体" w:cs="Arial"/>
          <w:color w:val="000000"/>
          <w:szCs w:val="32"/>
        </w:rPr>
      </w:pPr>
      <w:r>
        <w:rPr>
          <w:rFonts w:eastAsia="黑体" w:cs="Arial" w:ascii="黑体" w:hAnsi="黑体"/>
          <w:color w:val="000000"/>
          <w:szCs w:val="32"/>
        </w:rPr>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w:t>
      </w:r>
      <w:r>
        <w:rPr>
          <w:rFonts w:ascii="黑体" w:hAnsi="黑体" w:cs="Arial" w:hint="eastAsia" w:eastAsia="黑体"/>
          <w:color w:val="000000"/>
          <w:szCs w:val="32"/>
        </w:rPr>
        <w:t>第四十三条</w:t>
      </w:r>
      <w:r>
        <w:rPr>
          <w:rFonts w:ascii="仿宋_GB2312" w:hAnsi="仿宋_GB2312" w:cs="Arial" w:hint="eastAsia"/>
          <w:color w:val="000000"/>
          <w:szCs w:val="32"/>
        </w:rPr>
        <w:t xml:space="preserve">  违反本办法规定，在承建的贯彻国防要求的建设项目中未按照国防要求和技术规范、标准进行设计或者施工、生产的，由市或者区县人民政府责令限期改正；逾期不改的，强制其履行义务，并可按照《天津市建设工程质量管理条例》的有关规定处以罚款。</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w:t>
      </w:r>
      <w:r>
        <w:rPr>
          <w:rFonts w:ascii="黑体" w:hAnsi="黑体" w:cs="Arial" w:hint="eastAsia" w:eastAsia="黑体"/>
          <w:color w:val="000000"/>
          <w:szCs w:val="32"/>
        </w:rPr>
        <w:t xml:space="preserve">第四十四条  </w:t>
      </w:r>
      <w:r>
        <w:rPr>
          <w:rFonts w:ascii="仿宋_GB2312" w:hAnsi="仿宋_GB2312" w:cs="Arial" w:hint="eastAsia"/>
          <w:color w:val="000000"/>
          <w:szCs w:val="32"/>
        </w:rPr>
        <w:t>违反本办法规定，企业事业单位有下列行为之一的，由市或者区县人民政府责令限期改正；逾期不改的，强制其履行义务，并可以处二万元以上二十万元以下的罚款：</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w:t>
      </w:r>
      <w:r>
        <w:rPr>
          <w:rFonts w:cs="Arial" w:hint="eastAsia" w:ascii="仿宋_GB2312" w:hAnsi="仿宋_GB2312"/>
          <w:color w:val="000000"/>
          <w:szCs w:val="32"/>
        </w:rPr>
        <w:t>(</w:t>
      </w:r>
      <w:r>
        <w:rPr>
          <w:rFonts w:ascii="仿宋_GB2312" w:hAnsi="仿宋_GB2312" w:cs="Arial" w:hint="eastAsia"/>
          <w:color w:val="000000"/>
          <w:szCs w:val="32"/>
        </w:rPr>
        <w:t>一</w:t>
      </w:r>
      <w:r>
        <w:rPr>
          <w:rFonts w:cs="Arial" w:hint="eastAsia" w:ascii="仿宋_GB2312" w:hAnsi="仿宋_GB2312"/>
          <w:color w:val="000000"/>
          <w:szCs w:val="32"/>
        </w:rPr>
        <w:t>)</w:t>
      </w:r>
      <w:r>
        <w:rPr>
          <w:rFonts w:ascii="仿宋_GB2312" w:hAnsi="仿宋_GB2312" w:cs="Arial" w:hint="eastAsia"/>
          <w:color w:val="000000"/>
          <w:szCs w:val="32"/>
        </w:rPr>
        <w:t>因管理不善导致战略储备物资丢失、损坏或者不服从战略物资调用的；</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w:t>
      </w:r>
      <w:r>
        <w:rPr>
          <w:rFonts w:cs="Arial" w:hint="eastAsia" w:ascii="仿宋_GB2312" w:hAnsi="仿宋_GB2312"/>
          <w:color w:val="000000"/>
          <w:szCs w:val="32"/>
        </w:rPr>
        <w:t>(</w:t>
      </w:r>
      <w:r>
        <w:rPr>
          <w:rFonts w:ascii="仿宋_GB2312" w:hAnsi="仿宋_GB2312" w:cs="Arial" w:hint="eastAsia"/>
          <w:color w:val="000000"/>
          <w:szCs w:val="32"/>
        </w:rPr>
        <w:t>二</w:t>
      </w:r>
      <w:r>
        <w:rPr>
          <w:rFonts w:cs="Arial" w:hint="eastAsia" w:ascii="仿宋_GB2312" w:hAnsi="仿宋_GB2312"/>
          <w:color w:val="000000"/>
          <w:szCs w:val="32"/>
        </w:rPr>
        <w:t>)</w:t>
      </w:r>
      <w:r>
        <w:rPr>
          <w:rFonts w:ascii="仿宋_GB2312" w:hAnsi="仿宋_GB2312" w:cs="Arial" w:hint="eastAsia"/>
          <w:color w:val="000000"/>
          <w:szCs w:val="32"/>
        </w:rPr>
        <w:t>未按照转产、扩大生产军品和维修保障任务的要求进行军品科研、生产和维修保障能力储备，或者未按照规定组建专业技术队伍的；</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w:t>
      </w:r>
      <w:r>
        <w:rPr>
          <w:rFonts w:cs="Arial" w:hint="eastAsia" w:ascii="仿宋_GB2312" w:hAnsi="仿宋_GB2312"/>
          <w:color w:val="000000"/>
          <w:szCs w:val="32"/>
        </w:rPr>
        <w:t>(</w:t>
      </w:r>
      <w:r>
        <w:rPr>
          <w:rFonts w:ascii="仿宋_GB2312" w:hAnsi="仿宋_GB2312" w:cs="Arial" w:hint="eastAsia"/>
          <w:color w:val="000000"/>
          <w:szCs w:val="32"/>
        </w:rPr>
        <w:t>三</w:t>
      </w:r>
      <w:r>
        <w:rPr>
          <w:rFonts w:cs="Arial" w:hint="eastAsia" w:ascii="仿宋_GB2312" w:hAnsi="仿宋_GB2312"/>
          <w:color w:val="000000"/>
          <w:szCs w:val="32"/>
        </w:rPr>
        <w:t>)</w:t>
      </w:r>
      <w:r>
        <w:rPr>
          <w:rFonts w:ascii="仿宋_GB2312" w:hAnsi="仿宋_GB2312" w:cs="Arial" w:hint="eastAsia"/>
          <w:color w:val="000000"/>
          <w:szCs w:val="32"/>
        </w:rPr>
        <w:t>拒绝、拖延执行专业保障任务的；</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w:t>
      </w:r>
      <w:r>
        <w:rPr>
          <w:rFonts w:cs="Arial" w:hint="eastAsia" w:ascii="仿宋_GB2312" w:hAnsi="仿宋_GB2312"/>
          <w:color w:val="000000"/>
          <w:szCs w:val="32"/>
        </w:rPr>
        <w:t>(</w:t>
      </w:r>
      <w:r>
        <w:rPr>
          <w:rFonts w:ascii="仿宋_GB2312" w:hAnsi="仿宋_GB2312" w:cs="Arial" w:hint="eastAsia"/>
          <w:color w:val="000000"/>
          <w:szCs w:val="32"/>
        </w:rPr>
        <w:t>四</w:t>
      </w:r>
      <w:r>
        <w:rPr>
          <w:rFonts w:cs="Arial" w:hint="eastAsia" w:ascii="仿宋_GB2312" w:hAnsi="仿宋_GB2312"/>
          <w:color w:val="000000"/>
          <w:szCs w:val="32"/>
        </w:rPr>
        <w:t>)</w:t>
      </w:r>
      <w:r>
        <w:rPr>
          <w:rFonts w:ascii="仿宋_GB2312" w:hAnsi="仿宋_GB2312" w:cs="Arial" w:hint="eastAsia"/>
          <w:color w:val="000000"/>
          <w:szCs w:val="32"/>
        </w:rPr>
        <w:t>拒绝或者故意延误军事订货的；</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w:t>
      </w:r>
      <w:r>
        <w:rPr>
          <w:rFonts w:cs="Arial" w:hint="eastAsia" w:ascii="仿宋_GB2312" w:hAnsi="仿宋_GB2312"/>
          <w:color w:val="000000"/>
          <w:szCs w:val="32"/>
        </w:rPr>
        <w:t>(</w:t>
      </w:r>
      <w:r>
        <w:rPr>
          <w:rFonts w:ascii="仿宋_GB2312" w:hAnsi="仿宋_GB2312" w:cs="Arial" w:hint="eastAsia"/>
          <w:color w:val="000000"/>
          <w:szCs w:val="32"/>
        </w:rPr>
        <w:t>五</w:t>
      </w:r>
      <w:r>
        <w:rPr>
          <w:rFonts w:cs="Arial" w:hint="eastAsia" w:ascii="仿宋_GB2312" w:hAnsi="仿宋_GB2312"/>
          <w:color w:val="000000"/>
          <w:szCs w:val="32"/>
        </w:rPr>
        <w:t>)</w:t>
      </w:r>
      <w:r>
        <w:rPr>
          <w:rFonts w:ascii="仿宋_GB2312" w:hAnsi="仿宋_GB2312" w:cs="Arial" w:hint="eastAsia"/>
          <w:color w:val="000000"/>
          <w:szCs w:val="32"/>
        </w:rPr>
        <w:t>拒绝、拖延民用资源征用或者阻碍对被征用的民用资源进行改造的。</w:t>
      </w:r>
    </w:p>
    <w:p>
      <w:pPr>
        <w:pStyle w:val="Normal"/>
        <w:spacing w:lineRule="exact" w:line="560" w:before="0" w:after="0"/>
        <w:ind w:firstLine="645" w:end="0"/>
        <w:contextualSpacing/>
        <w:rPr>
          <w:rFonts w:ascii="仿宋_GB2312" w:hAnsi="仿宋_GB2312" w:cs="Arial"/>
          <w:color w:val="000000"/>
          <w:szCs w:val="32"/>
        </w:rPr>
      </w:pPr>
      <w:r>
        <w:rPr>
          <w:rFonts w:ascii="黑体" w:hAnsi="黑体" w:cs="Arial" w:hint="eastAsia" w:eastAsia="黑体"/>
          <w:color w:val="000000"/>
          <w:szCs w:val="32"/>
        </w:rPr>
        <w:t xml:space="preserve">第四十五条 </w:t>
      </w:r>
      <w:r>
        <w:rPr>
          <w:rFonts w:ascii="仿宋_GB2312" w:hAnsi="仿宋_GB2312" w:cs="Arial" w:hint="eastAsia"/>
          <w:color w:val="000000"/>
          <w:szCs w:val="32"/>
        </w:rPr>
        <w:t>干扰、阻碍从事国防动员工作的人员依法履行职责，构成违反治安管理行为的，由公安机关依法给予处罚；构成犯罪的，依法追究刑事责任。</w:t>
      </w:r>
    </w:p>
    <w:p>
      <w:pPr>
        <w:pStyle w:val="Normal"/>
        <w:spacing w:lineRule="exact" w:line="560" w:before="0" w:after="0"/>
        <w:ind w:firstLine="645" w:end="0"/>
        <w:contextualSpacing/>
        <w:rPr>
          <w:rFonts w:ascii="仿宋_GB2312" w:hAnsi="仿宋_GB2312" w:cs="Arial"/>
          <w:color w:val="000000"/>
          <w:szCs w:val="32"/>
        </w:rPr>
      </w:pPr>
      <w:r>
        <w:rPr>
          <w:rFonts w:cs="Arial" w:ascii="仿宋_GB2312" w:hAnsi="仿宋_GB2312"/>
          <w:color w:val="000000"/>
          <w:szCs w:val="32"/>
        </w:rPr>
      </w:r>
    </w:p>
    <w:p>
      <w:pPr>
        <w:pStyle w:val="Normal"/>
        <w:spacing w:lineRule="exact" w:line="560" w:before="0" w:after="0"/>
        <w:contextualSpacing/>
        <w:jc w:val="center"/>
        <w:rPr>
          <w:rFonts w:ascii="黑体" w:hAnsi="黑体" w:eastAsia="黑体" w:cs="Arial"/>
          <w:color w:val="000000"/>
          <w:szCs w:val="32"/>
        </w:rPr>
      </w:pPr>
      <w:r>
        <w:rPr>
          <w:rFonts w:ascii="黑体" w:hAnsi="黑体" w:cs="Arial" w:hint="eastAsia" w:eastAsia="黑体"/>
          <w:color w:val="000000"/>
          <w:szCs w:val="32"/>
        </w:rPr>
        <w:t>第十四章  附 则</w:t>
      </w:r>
    </w:p>
    <w:p>
      <w:pPr>
        <w:pStyle w:val="Normal"/>
        <w:spacing w:lineRule="exact" w:line="560" w:before="0" w:after="0"/>
        <w:contextualSpacing/>
        <w:jc w:val="center"/>
        <w:rPr>
          <w:rFonts w:ascii="黑体" w:hAnsi="黑体" w:eastAsia="黑体" w:cs="Arial"/>
          <w:color w:val="000000"/>
          <w:szCs w:val="32"/>
        </w:rPr>
      </w:pPr>
      <w:r>
        <w:rPr>
          <w:rFonts w:eastAsia="黑体" w:cs="Arial" w:ascii="黑体" w:hAnsi="黑体"/>
          <w:color w:val="000000"/>
          <w:szCs w:val="32"/>
        </w:rPr>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w:t>
      </w:r>
      <w:r>
        <w:rPr>
          <w:rFonts w:ascii="黑体" w:hAnsi="黑体" w:cs="Arial" w:hint="eastAsia" w:eastAsia="黑体"/>
          <w:color w:val="000000"/>
          <w:szCs w:val="32"/>
        </w:rPr>
        <w:t>　第四十六条</w:t>
      </w:r>
      <w:r>
        <w:rPr>
          <w:rFonts w:ascii="仿宋_GB2312" w:hAnsi="仿宋_GB2312" w:cs="Arial" w:hint="eastAsia"/>
          <w:color w:val="000000"/>
          <w:szCs w:val="32"/>
        </w:rPr>
        <w:t xml:space="preserve"> 本办法自</w:t>
      </w:r>
      <w:r>
        <w:rPr>
          <w:rFonts w:cs="Arial" w:hint="eastAsia" w:ascii="仿宋_GB2312" w:hAnsi="仿宋_GB2312"/>
          <w:color w:val="000000"/>
          <w:szCs w:val="32"/>
        </w:rPr>
        <w:t>2015</w:t>
      </w:r>
      <w:r>
        <w:rPr>
          <w:rFonts w:ascii="仿宋_GB2312" w:hAnsi="仿宋_GB2312" w:cs="Arial" w:hint="eastAsia"/>
          <w:color w:val="000000"/>
          <w:szCs w:val="32"/>
        </w:rPr>
        <w:t>年</w:t>
      </w:r>
      <w:r>
        <w:rPr>
          <w:rFonts w:cs="Arial" w:hint="eastAsia" w:ascii="仿宋_GB2312" w:hAnsi="仿宋_GB2312"/>
          <w:color w:val="000000"/>
          <w:szCs w:val="32"/>
        </w:rPr>
        <w:t>2</w:t>
      </w:r>
      <w:r>
        <w:rPr>
          <w:rFonts w:ascii="仿宋_GB2312" w:hAnsi="仿宋_GB2312" w:cs="Arial" w:hint="eastAsia"/>
          <w:color w:val="000000"/>
          <w:szCs w:val="32"/>
        </w:rPr>
        <w:t>月</w:t>
      </w:r>
      <w:r>
        <w:rPr>
          <w:rFonts w:cs="Arial" w:hint="eastAsia" w:ascii="仿宋_GB2312" w:hAnsi="仿宋_GB2312"/>
          <w:color w:val="000000"/>
          <w:szCs w:val="32"/>
        </w:rPr>
        <w:t>1</w:t>
      </w:r>
      <w:r>
        <w:rPr>
          <w:rFonts w:ascii="仿宋_GB2312" w:hAnsi="仿宋_GB2312" w:cs="Arial" w:hint="eastAsia"/>
          <w:color w:val="000000"/>
          <w:szCs w:val="32"/>
        </w:rPr>
        <w:t>日起施行。</w:t>
      </w:r>
    </w:p>
    <w:p>
      <w:pPr>
        <w:pStyle w:val="Normal"/>
        <w:spacing w:lineRule="exact" w:line="560" w:before="0" w:after="0"/>
        <w:contextualSpacing/>
        <w:rPr>
          <w:rFonts w:ascii="仿宋_GB2312" w:hAnsi="仿宋_GB2312" w:cs="Arial"/>
          <w:color w:val="000000"/>
          <w:szCs w:val="32"/>
        </w:rPr>
      </w:pPr>
      <w:r>
        <w:rPr>
          <w:rFonts w:cs="Arial" w:ascii="仿宋_GB2312" w:hAnsi="仿宋_GB2312"/>
          <w:color w:val="000000"/>
          <w:szCs w:val="32"/>
        </w:rPr>
        <w:t xml:space="preserve"> </w:t>
      </w:r>
    </w:p>
    <w:p>
      <w:pPr>
        <w:pStyle w:val="Normal"/>
        <w:spacing w:lineRule="exact" w:line="560" w:before="0" w:after="0"/>
        <w:contextualSpacing/>
        <w:rPr>
          <w:rFonts w:ascii="仿宋_GB2312" w:hAnsi="仿宋_GB2312" w:cs="Arial"/>
          <w:color w:val="000000"/>
          <w:szCs w:val="32"/>
        </w:rPr>
      </w:pPr>
      <w:r>
        <w:rPr>
          <w:rFonts w:cs="Arial" w:ascii="仿宋_GB2312" w:hAnsi="仿宋_GB2312"/>
          <w:color w:val="000000"/>
          <w:szCs w:val="32"/>
        </w:rPr>
      </w:r>
    </w:p>
    <w:p>
      <w:pPr>
        <w:pStyle w:val="Normal"/>
        <w:spacing w:lineRule="exact" w:line="560" w:before="0" w:after="0"/>
        <w:contextualSpacing/>
        <w:rPr>
          <w:rFonts w:ascii="仿宋_GB2312" w:hAnsi="仿宋_GB2312" w:cs="Arial"/>
          <w:color w:val="000000"/>
          <w:szCs w:val="32"/>
        </w:rPr>
      </w:pPr>
      <w:r>
        <w:rPr>
          <w:rFonts w:cs="Arial" w:ascii="仿宋_GB2312" w:hAnsi="仿宋_GB2312"/>
          <w:color w:val="000000"/>
          <w:szCs w:val="32"/>
        </w:rPr>
      </w:r>
    </w:p>
    <w:p>
      <w:pPr>
        <w:pStyle w:val="Normal"/>
        <w:spacing w:lineRule="exact" w:line="560" w:before="0" w:after="0"/>
        <w:contextualSpacing/>
        <w:rPr>
          <w:rFonts w:ascii="仿宋_GB2312" w:hAnsi="仿宋_GB2312" w:cs="Arial"/>
          <w:color w:val="000000"/>
          <w:szCs w:val="32"/>
        </w:rPr>
      </w:pPr>
      <w:r>
        <w:rPr>
          <w:rFonts w:cs="Arial" w:ascii="仿宋_GB2312" w:hAnsi="仿宋_GB2312"/>
          <w:color w:val="000000"/>
          <w:szCs w:val="32"/>
        </w:rPr>
      </w:r>
    </w:p>
    <w:p>
      <w:pPr>
        <w:pStyle w:val="Normal"/>
        <w:spacing w:lineRule="exact" w:line="560" w:before="0" w:after="0"/>
        <w:contextualSpacing/>
        <w:rPr>
          <w:rFonts w:ascii="仿宋_GB2312" w:hAnsi="仿宋_GB2312" w:cs="Arial"/>
          <w:color w:val="000000"/>
          <w:szCs w:val="32"/>
        </w:rPr>
      </w:pPr>
      <w:r>
        <w:rPr>
          <w:rFonts w:cs="Arial" w:ascii="仿宋_GB2312" w:hAnsi="仿宋_GB2312"/>
          <w:color w:val="000000"/>
          <w:szCs w:val="32"/>
        </w:rPr>
      </w:r>
    </w:p>
    <w:p>
      <w:pPr>
        <w:pStyle w:val="Normal"/>
        <w:spacing w:lineRule="exact" w:line="560" w:before="0" w:after="0"/>
        <w:contextualSpacing/>
        <w:rPr>
          <w:rFonts w:ascii="仿宋_GB2312" w:hAnsi="仿宋_GB2312" w:cs="Arial"/>
          <w:color w:val="000000"/>
          <w:szCs w:val="32"/>
        </w:rPr>
      </w:pPr>
      <w:r>
        <w:rPr>
          <w:rFonts w:cs="Arial" w:ascii="仿宋_GB2312" w:hAnsi="仿宋_GB2312"/>
          <w:color w:val="000000"/>
          <w:szCs w:val="32"/>
        </w:rPr>
      </w:r>
    </w:p>
    <w:p>
      <w:pPr>
        <w:pStyle w:val="Normal"/>
        <w:spacing w:lineRule="exact" w:line="560" w:before="0" w:after="0"/>
        <w:contextualSpacing/>
        <w:rPr>
          <w:rFonts w:ascii="仿宋_GB2312" w:hAnsi="仿宋_GB2312" w:cs="Arial"/>
          <w:color w:val="000000"/>
          <w:szCs w:val="32"/>
        </w:rPr>
      </w:pPr>
      <w:r>
        <w:rPr>
          <w:rFonts w:cs="Arial" w:ascii="仿宋_GB2312" w:hAnsi="仿宋_GB2312"/>
          <w:color w:val="000000"/>
          <w:szCs w:val="32"/>
        </w:rPr>
      </w:r>
    </w:p>
    <w:sectPr>
      <w:footerReference w:type="even" r:id="rId2"/>
      <w:footerReference w:type="default" r:id="rId3"/>
      <w:type w:val="nextPage"/>
      <w:pgSz w:w="11906" w:h="16838"/>
      <w:pgMar w:left="1531" w:right="1531" w:gutter="0" w:header="0" w:top="2098" w:footer="1644" w:bottom="1985"/>
      <w:pgNumType w:fmt="decimal"/>
      <w:formProt w:val="false"/>
      <w:textDirection w:val="lrTb"/>
      <w:docGrid w:type="linesAndChars" w:linePitch="579" w:charSpace="429496627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华文宋体">
    <w:charset w:val="86"/>
    <w:family w:val="auto"/>
    <w:pitch w:val="default"/>
  </w:font>
  <w:font w:name="楷体_GB2312">
    <w:charset w:val="86"/>
    <w:family w:val="modern"/>
    <w:pitch w:val="default"/>
  </w:font>
  <w:font w:name="宋体">
    <w:charset w:val="86"/>
    <w:family w:val="auto"/>
    <w:pitch w:val="default"/>
  </w:font>
  <w:font w:name="仿宋_GB2312">
    <w:charset w:val="86"/>
    <w:family w:val="modern"/>
    <w:pitch w:val="default"/>
  </w:font>
  <w:font w:name="文星仿宋">
    <w:altName w:val="宋体"/>
    <w:charset w:val="86"/>
    <w:family w:val="auto"/>
    <w:pitch w:val="default"/>
  </w:font>
  <w:font w:name="黑体">
    <w:charset w:val="86"/>
    <w:family w:val="auto"/>
    <w:pitch w:val="default"/>
  </w:font>
  <w:font w:name="方正小标宋简体">
    <w:charset w:val="86"/>
    <w:family w:val="script"/>
    <w:pitch w:val="default"/>
  </w:font>
  <w:font w:name="Liberation Sans">
    <w:altName w:val="Arial"/>
    <w:charset w:val="01" w:characterSet="utf-8"/>
    <w:family w:val="swiss"/>
    <w:pitch w:val="variable"/>
  </w:font>
  <w:font w:name="Arial Unicode MS">
    <w:charset w:val="86"/>
    <w:family w:val="swiss"/>
    <w:pitch w:val="default"/>
  </w:font>
  <w:font w:name="Tahoma">
    <w:charset w:val="00" w:characterSet="windows-1252"/>
    <w:family w:val="swiss"/>
    <w:pitch w:val="default"/>
  </w:font>
  <w:font w:name="Verdana">
    <w:charset w:val="00" w:characterSet="windows-1252"/>
    <w:family w:val="swiss"/>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200" w:startChars="0" w:start="0" w:endChars="0" w:end="0"/>
      <w:rPr>
        <w:sz w:val="28"/>
        <w:szCs w:val="28"/>
      </w:rPr>
    </w:pPr>
    <w:r>
      <w:rPr>
        <w:sz w:val="28"/>
        <w:szCs w:val="28"/>
      </w:rPr>
      <w:fldChar w:fldCharType="begin"/>
    </w:r>
    <w:r>
      <w:rPr>
        <w:sz w:val="28"/>
        <w:szCs w:val="28"/>
      </w:rPr>
      <w:instrText xml:space="preserve"> PAGE </w:instrText>
    </w:r>
    <w:r>
      <w:rPr>
        <w:sz w:val="28"/>
        <w:szCs w:val="28"/>
      </w:rPr>
      <w:fldChar w:fldCharType="separate"/>
    </w:r>
    <w:r>
      <w:rPr>
        <w:sz w:val="28"/>
        <w:szCs w:val="28"/>
      </w:rPr>
      <w:t>14</w:t>
    </w:r>
    <w:r>
      <w:rPr>
        <w:sz w:val="28"/>
        <w:szCs w:val="28"/>
      </w:rPr>
      <w:fldChar w:fldCharType="end"/>
    </w:r>
  </w:p>
  <w:p>
    <w:pPr>
      <w:pStyle w:val="Footer"/>
      <w:rPr>
        <w:sz w:val="28"/>
        <w:szCs w:val="28"/>
      </w:rPr>
    </w:pPr>
    <w:r>
      <w:rPr>
        <w:sz w:val="28"/>
        <w:szCs w:val="28"/>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rFonts w:hint="eastAsia"/>
      </w:rPr>
      <w:t>　　　　　　　　　　　　　　　　　　　　　　　　　　　　　　　　　　　　　　　　　</w:t>
    </w:r>
    <w:r>
      <w:rPr>
        <w:sz w:val="28"/>
        <w:szCs w:val="28"/>
      </w:rPr>
      <w:fldChar w:fldCharType="begin"/>
    </w:r>
    <w:r>
      <w:rPr>
        <w:sz w:val="28"/>
        <w:szCs w:val="28"/>
      </w:rPr>
      <w:instrText xml:space="preserve"> PAGE </w:instrText>
    </w:r>
    <w:r>
      <w:rPr>
        <w:sz w:val="28"/>
        <w:szCs w:val="28"/>
      </w:rPr>
      <w:fldChar w:fldCharType="separate"/>
    </w:r>
    <w:r>
      <w:rPr>
        <w:sz w:val="28"/>
        <w:szCs w:val="28"/>
      </w:rPr>
      <w:t>13</w:t>
    </w:r>
    <w:r>
      <w:rPr>
        <w:sz w:val="28"/>
        <w:szCs w:val="28"/>
      </w:rPr>
      <w:fldChar w:fldCharType="end"/>
    </w:r>
  </w:p>
  <w:p>
    <w:pPr>
      <w:pStyle w:val="Footer"/>
      <w:rPr/>
    </w:pPr>
    <w:r>
      <w:rPr/>
    </w:r>
  </w:p>
</w:ftr>
</file>

<file path=word/settings.xml><?xml version="1.0" encoding="utf-8"?>
<w:settings xmlns:w="http://schemas.openxmlformats.org/wordprocessingml/2006/main">
  <w:zoom w:percent="68"/>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仿宋_GB2312" w:cs="Times New Roman"/>
      <w:color w:val="auto"/>
      <w:kern w:val="2"/>
      <w:sz w:val="32"/>
      <w:szCs w:val="22"/>
      <w:lang w:bidi="ar-SA" w:val="en-US" w:eastAsia="zh-CN"/>
    </w:rPr>
  </w:style>
  <w:style w:type="character" w:styleId="Style14">
    <w:name w:val="默认段落字体"/>
    <w:qFormat/>
    <w:rPr/>
  </w:style>
  <w:style w:type="character" w:styleId="Emphasis">
    <w:name w:val="Emphasis"/>
    <w:basedOn w:val="Style14"/>
    <w:qFormat/>
    <w:rPr>
      <w:i w:val="false"/>
      <w:iCs w:val="false"/>
      <w:color w:val="CC0000"/>
    </w:rPr>
  </w:style>
  <w:style w:type="character" w:styleId="Strong">
    <w:name w:val="Strong"/>
    <w:basedOn w:val="Style14"/>
    <w:qFormat/>
    <w:rPr>
      <w:b/>
      <w:bCs/>
    </w:rPr>
  </w:style>
  <w:style w:type="character" w:styleId="Hyperlink">
    <w:name w:val="Hyperlink"/>
    <w:basedOn w:val="Style14"/>
    <w:rPr>
      <w:color w:val="0000FF"/>
      <w:u w:val="single"/>
    </w:rPr>
  </w:style>
  <w:style w:type="character" w:styleId="PageNumber">
    <w:name w:val="page number"/>
    <w:basedOn w:val="Style14"/>
    <w:rPr/>
  </w:style>
  <w:style w:type="character" w:styleId="Char">
    <w:name w:val="批注框文本 Char"/>
    <w:basedOn w:val="Style14"/>
    <w:qFormat/>
    <w:rPr>
      <w:rFonts w:ascii="Times New Roman" w:hAnsi="Times New Roman" w:eastAsia="仿宋_GB2312" w:cs="Times New Roman"/>
      <w:kern w:val="2"/>
      <w:sz w:val="18"/>
      <w:szCs w:val="18"/>
    </w:rPr>
  </w:style>
  <w:style w:type="character" w:styleId="Char1">
    <w:name w:val="纯文本 Char"/>
    <w:basedOn w:val="Style14"/>
    <w:qFormat/>
    <w:rPr>
      <w:rFonts w:ascii="华文宋体" w:hAnsi="华文宋体" w:eastAsia="仿宋_GB2312" w:cs="Courier New"/>
      <w:kern w:val="2"/>
      <w:sz w:val="32"/>
      <w:szCs w:val="21"/>
    </w:rPr>
  </w:style>
  <w:style w:type="character" w:styleId="1CharChar">
    <w:name w:val="样式1 Char Char"/>
    <w:basedOn w:val="Char1"/>
    <w:qFormat/>
    <w:rPr>
      <w:rFonts w:ascii="楷体_GB2312" w:hAnsi="楷体_GB2312" w:eastAsia="楷体_GB2312" w:cs="宋体"/>
      <w:sz w:val="32"/>
      <w:szCs w:val="32"/>
    </w:rPr>
  </w:style>
  <w:style w:type="character" w:styleId="CharChar">
    <w:name w:val="纯文本 Char Char"/>
    <w:basedOn w:val="Style14"/>
    <w:qFormat/>
    <w:rPr>
      <w:rFonts w:ascii="宋体" w:hAnsi="宋体" w:eastAsia="仿宋_GB2312" w:cs="Courier New"/>
      <w:sz w:val="32"/>
      <w:szCs w:val="32"/>
      <w:lang w:bidi="ar-SA"/>
    </w:rPr>
  </w:style>
  <w:style w:type="character" w:styleId="Char11">
    <w:name w:val="正文文本 Char1"/>
    <w:basedOn w:val="Style14"/>
    <w:qFormat/>
    <w:rPr>
      <w:rFonts w:ascii="Times New Roman" w:hAnsi="Times New Roman" w:eastAsia="文星仿宋;宋体" w:cs="Times New Roman"/>
      <w:kern w:val="2"/>
      <w:sz w:val="32"/>
      <w:szCs w:val="24"/>
    </w:rPr>
  </w:style>
  <w:style w:type="character" w:styleId="2CharChar">
    <w:name w:val="样式2 Char Char"/>
    <w:basedOn w:val="Style14"/>
    <w:qFormat/>
    <w:rPr>
      <w:rFonts w:ascii="仿宋_GB2312" w:hAnsi="仿宋_GB2312" w:eastAsia="仿宋_GB2312" w:cs="Times New Roman"/>
      <w:b/>
      <w:bCs/>
      <w:smallCaps/>
      <w:color w:val="000000"/>
      <w:kern w:val="2"/>
      <w:sz w:val="32"/>
      <w:szCs w:val="32"/>
    </w:rPr>
  </w:style>
  <w:style w:type="character" w:styleId="3CharChar">
    <w:name w:val="样式3 Char Char"/>
    <w:basedOn w:val="2CharChar"/>
    <w:qFormat/>
    <w:rPr/>
  </w:style>
  <w:style w:type="character" w:styleId="CharChar4">
    <w:name w:val="Char Char4"/>
    <w:basedOn w:val="Style14"/>
    <w:qFormat/>
    <w:rPr>
      <w:rFonts w:ascii="文星仿宋;宋体" w:hAnsi="文星仿宋;宋体" w:eastAsia="文星仿宋;宋体" w:cs="文星仿宋;宋体" w:hint="eastAsia"/>
      <w:kern w:val="2"/>
      <w:sz w:val="32"/>
      <w:szCs w:val="24"/>
      <w:lang w:bidi="ar-SA"/>
    </w:rPr>
  </w:style>
  <w:style w:type="character" w:styleId="Char2">
    <w:name w:val="正文文本缩进 Char"/>
    <w:basedOn w:val="Style14"/>
    <w:qFormat/>
    <w:rPr>
      <w:rFonts w:ascii="Times New Roman" w:hAnsi="Times New Roman" w:eastAsia="仿宋_GB2312" w:cs="Times New Roman"/>
      <w:kern w:val="2"/>
      <w:sz w:val="32"/>
      <w:szCs w:val="22"/>
    </w:rPr>
  </w:style>
  <w:style w:type="character" w:styleId="Char12">
    <w:name w:val="纯文本 Char1"/>
    <w:basedOn w:val="Style14"/>
    <w:qFormat/>
    <w:rPr>
      <w:rFonts w:ascii="宋体" w:hAnsi="宋体" w:cs="Courier New"/>
      <w:kern w:val="2"/>
      <w:sz w:val="21"/>
      <w:szCs w:val="21"/>
    </w:rPr>
  </w:style>
  <w:style w:type="character" w:styleId="3Char">
    <w:name w:val="标题3 Char"/>
    <w:basedOn w:val="Char12"/>
    <w:qFormat/>
    <w:rPr>
      <w:rFonts w:ascii="黑体" w:hAnsi="黑体" w:eastAsia="黑体" w:cs="宋体"/>
      <w:sz w:val="32"/>
      <w:szCs w:val="32"/>
    </w:rPr>
  </w:style>
  <w:style w:type="character" w:styleId="2Char">
    <w:name w:val="正文文本缩进 2 Char"/>
    <w:basedOn w:val="Style14"/>
    <w:qFormat/>
    <w:rPr>
      <w:rFonts w:ascii="Times New Roman" w:hAnsi="Times New Roman" w:eastAsia="华文仿宋" w:cs="Times New Roman"/>
      <w:kern w:val="2"/>
      <w:sz w:val="32"/>
      <w:szCs w:val="32"/>
    </w:rPr>
  </w:style>
  <w:style w:type="character" w:styleId="Char3">
    <w:name w:val="普通(网站) Char"/>
    <w:basedOn w:val="Style14"/>
    <w:qFormat/>
    <w:rPr>
      <w:rFonts w:ascii="宋体" w:hAnsi="宋体" w:cs="宋体"/>
      <w:sz w:val="24"/>
      <w:szCs w:val="24"/>
    </w:rPr>
  </w:style>
  <w:style w:type="character" w:styleId="2CharChar1">
    <w:name w:val="标题2 Char Char"/>
    <w:basedOn w:val="Char3"/>
    <w:qFormat/>
    <w:rPr>
      <w:rFonts w:ascii="楷体_GB2312" w:hAnsi="楷体_GB2312" w:eastAsia="楷体_GB2312"/>
      <w:bCs/>
      <w:smallCaps/>
      <w:color w:val="000000"/>
      <w:sz w:val="32"/>
      <w:szCs w:val="32"/>
    </w:rPr>
  </w:style>
  <w:style w:type="character" w:styleId="CharChar7">
    <w:name w:val="Char Char7"/>
    <w:basedOn w:val="Style14"/>
    <w:qFormat/>
    <w:rPr>
      <w:rFonts w:ascii="宋体" w:hAnsi="宋体" w:eastAsia="宋体" w:cs="Courier New" w:hint="eastAsia"/>
      <w:kern w:val="2"/>
      <w:sz w:val="21"/>
      <w:szCs w:val="21"/>
      <w:lang w:bidi="ar-SA"/>
    </w:rPr>
  </w:style>
  <w:style w:type="character" w:styleId="CharChar8">
    <w:name w:val="Char Char8"/>
    <w:basedOn w:val="Style14"/>
    <w:qFormat/>
    <w:rPr>
      <w:rFonts w:ascii="宋体" w:hAnsi="宋体" w:eastAsia="宋体" w:cs="宋体" w:hint="eastAsia"/>
      <w:sz w:val="24"/>
      <w:szCs w:val="24"/>
      <w:lang w:bidi="ar-SA"/>
    </w:rPr>
  </w:style>
  <w:style w:type="character" w:styleId="1Char">
    <w:name w:val="标题1 Char"/>
    <w:basedOn w:val="Char3"/>
    <w:qFormat/>
    <w:rPr>
      <w:rFonts w:ascii="方正小标宋简体" w:hAnsi="方正小标宋简体" w:eastAsia="方正小标宋简体"/>
      <w:bCs/>
      <w:smallCaps/>
      <w:color w:val="000000"/>
      <w:sz w:val="32"/>
      <w:szCs w:val="44"/>
      <w:lang w:bidi="ar-SA"/>
    </w:rPr>
  </w:style>
  <w:style w:type="character" w:styleId="Char4">
    <w:name w:val="正文文本 Char"/>
    <w:basedOn w:val="Style14"/>
    <w:qFormat/>
    <w:rPr>
      <w:rFonts w:ascii="Times New Roman" w:hAnsi="Times New Roman" w:eastAsia="文星仿宋;宋体" w:cs="Times New Roman"/>
      <w:kern w:val="2"/>
      <w:sz w:val="32"/>
      <w:szCs w:val="24"/>
    </w:rPr>
  </w:style>
  <w:style w:type="character" w:styleId="test1">
    <w:name w:val="test1"/>
    <w:basedOn w:val="Style14"/>
    <w:qFormat/>
    <w:rPr>
      <w:sz w:val="25"/>
      <w:szCs w:val="25"/>
    </w:rPr>
  </w:style>
  <w:style w:type="character" w:styleId="3Char1">
    <w:name w:val="正文文本缩进 3 Char"/>
    <w:basedOn w:val="Style14"/>
    <w:qFormat/>
    <w:rPr>
      <w:rFonts w:ascii="Times New Roman" w:hAnsi="Times New Roman" w:eastAsia="仿宋_GB2312" w:cs="Times New Roman"/>
      <w:kern w:val="2"/>
      <w:sz w:val="16"/>
      <w:szCs w:val="16"/>
    </w:rPr>
  </w:style>
  <w:style w:type="character" w:styleId="Char5">
    <w:name w:val="页眉 Char"/>
    <w:basedOn w:val="Style14"/>
    <w:qFormat/>
    <w:rPr>
      <w:rFonts w:ascii="Times New Roman" w:hAnsi="Times New Roman" w:eastAsia="仿宋_GB2312" w:cs="Times New Roman"/>
      <w:kern w:val="2"/>
      <w:sz w:val="18"/>
      <w:szCs w:val="18"/>
    </w:rPr>
  </w:style>
  <w:style w:type="character" w:styleId="CharChar1">
    <w:name w:val="日期 Char Char"/>
    <w:basedOn w:val="Style14"/>
    <w:qFormat/>
    <w:rPr>
      <w:rFonts w:ascii="仿宋_GB2312" w:hAnsi="仿宋_GB2312" w:eastAsia="仿宋_GB2312"/>
      <w:kern w:val="2"/>
      <w:sz w:val="32"/>
      <w:szCs w:val="32"/>
      <w:lang w:bidi="ar-SA"/>
    </w:rPr>
  </w:style>
  <w:style w:type="character" w:styleId="CharChar2">
    <w:name w:val="页眉 Char Char"/>
    <w:basedOn w:val="Style14"/>
    <w:qFormat/>
    <w:rPr>
      <w:kern w:val="2"/>
      <w:sz w:val="18"/>
      <w:szCs w:val="18"/>
    </w:rPr>
  </w:style>
  <w:style w:type="character" w:styleId="3CharChar1">
    <w:name w:val="标题3 Char Char"/>
    <w:basedOn w:val="Char1"/>
    <w:qFormat/>
    <w:rPr>
      <w:rFonts w:ascii="黑体" w:hAnsi="黑体" w:eastAsia="黑体" w:cs="宋体"/>
      <w:sz w:val="32"/>
      <w:szCs w:val="32"/>
    </w:rPr>
  </w:style>
  <w:style w:type="character" w:styleId="CharChar3">
    <w:name w:val="正文文本 Char Char"/>
    <w:basedOn w:val="Style14"/>
    <w:qFormat/>
    <w:rPr>
      <w:rFonts w:eastAsia="仿宋_GB2312"/>
      <w:kern w:val="2"/>
      <w:sz w:val="32"/>
      <w:szCs w:val="24"/>
    </w:rPr>
  </w:style>
  <w:style w:type="character" w:styleId="2Char1">
    <w:name w:val="正文文本 2 Char"/>
    <w:basedOn w:val="Style14"/>
    <w:qFormat/>
    <w:rPr>
      <w:rFonts w:eastAsia="仿宋_GB2312"/>
      <w:kern w:val="2"/>
      <w:sz w:val="32"/>
      <w:szCs w:val="24"/>
      <w:lang w:bidi="ar-SA"/>
    </w:rPr>
  </w:style>
  <w:style w:type="character" w:styleId="2Char2">
    <w:name w:val="样式2 Char"/>
    <w:basedOn w:val="Style14"/>
    <w:qFormat/>
    <w:rPr>
      <w:rFonts w:ascii="仿宋_GB2312" w:hAnsi="仿宋_GB2312" w:eastAsia="仿宋_GB2312" w:cs="Times New Roman"/>
      <w:b/>
      <w:bCs/>
      <w:smallCaps/>
      <w:color w:val="000000"/>
      <w:kern w:val="2"/>
      <w:sz w:val="32"/>
      <w:szCs w:val="32"/>
    </w:rPr>
  </w:style>
  <w:style w:type="character" w:styleId="3Char2">
    <w:name w:val="样式3 Char"/>
    <w:basedOn w:val="2Char2"/>
    <w:qFormat/>
    <w:rPr/>
  </w:style>
  <w:style w:type="character" w:styleId="CharChar5">
    <w:name w:val="正文文本缩进 Char Char"/>
    <w:basedOn w:val="Style14"/>
    <w:qFormat/>
    <w:rPr>
      <w:rFonts w:ascii="仿宋_GB2312" w:hAnsi="仿宋_GB2312" w:eastAsia="仿宋_GB2312"/>
      <w:kern w:val="2"/>
      <w:sz w:val="32"/>
      <w:szCs w:val="32"/>
    </w:rPr>
  </w:style>
  <w:style w:type="character" w:styleId="CharChar6">
    <w:name w:val="页脚 Char Char"/>
    <w:basedOn w:val="Style14"/>
    <w:qFormat/>
    <w:rPr>
      <w:rFonts w:eastAsia="仿宋_GB2312"/>
      <w:kern w:val="2"/>
      <w:sz w:val="18"/>
      <w:szCs w:val="18"/>
    </w:rPr>
  </w:style>
  <w:style w:type="character" w:styleId="HTMLCharChar">
    <w:name w:val="HTML 预设格式 Char Char"/>
    <w:basedOn w:val="Style14"/>
    <w:qFormat/>
    <w:rPr>
      <w:rFonts w:ascii="宋体" w:hAnsi="宋体" w:eastAsia="宋体" w:cs="宋体"/>
      <w:sz w:val="24"/>
      <w:szCs w:val="24"/>
      <w:lang w:bidi="ar-SA"/>
    </w:rPr>
  </w:style>
  <w:style w:type="character" w:styleId="3CharChar2">
    <w:name w:val="正文文本缩进 3 Char Char"/>
    <w:basedOn w:val="Style14"/>
    <w:qFormat/>
    <w:rPr>
      <w:rFonts w:eastAsia="仿宋_GB2312"/>
      <w:kern w:val="2"/>
      <w:sz w:val="32"/>
      <w:szCs w:val="24"/>
    </w:rPr>
  </w:style>
  <w:style w:type="character" w:styleId="Char6">
    <w:name w:val="页脚 Char"/>
    <w:basedOn w:val="Style14"/>
    <w:qFormat/>
    <w:rPr>
      <w:rFonts w:ascii="宋体" w:hAnsi="宋体" w:cs="宋体"/>
      <w:sz w:val="18"/>
      <w:szCs w:val="18"/>
    </w:rPr>
  </w:style>
  <w:style w:type="character" w:styleId="1CharChar1">
    <w:name w:val="标题1 Char Char"/>
    <w:basedOn w:val="Char3"/>
    <w:qFormat/>
    <w:rPr>
      <w:rFonts w:ascii="方正小标宋简体" w:hAnsi="方正小标宋简体" w:eastAsia="方正小标宋简体"/>
      <w:bCs/>
      <w:smallCaps/>
      <w:color w:val="000000"/>
      <w:sz w:val="32"/>
      <w:szCs w:val="44"/>
      <w:lang w:bidi="ar-SA"/>
    </w:rPr>
  </w:style>
  <w:style w:type="character" w:styleId="2CharChar2">
    <w:name w:val="正文文本缩进 2 Char Char"/>
    <w:basedOn w:val="Style14"/>
    <w:qFormat/>
    <w:rPr>
      <w:rFonts w:eastAsia="仿宋_GB2312"/>
      <w:b/>
      <w:bCs/>
      <w:kern w:val="2"/>
      <w:sz w:val="32"/>
      <w:szCs w:val="24"/>
    </w:rPr>
  </w:style>
  <w:style w:type="character" w:styleId="Char13">
    <w:name w:val="页脚 Char1"/>
    <w:basedOn w:val="Style14"/>
    <w:qFormat/>
    <w:rPr>
      <w:rFonts w:ascii="宋体" w:hAnsi="宋体" w:cs="宋体"/>
      <w:sz w:val="18"/>
      <w:szCs w:val="18"/>
    </w:rPr>
  </w:style>
  <w:style w:type="character" w:styleId="2Char3">
    <w:name w:val="标题2 Char"/>
    <w:basedOn w:val="Char3"/>
    <w:qFormat/>
    <w:rPr>
      <w:rFonts w:ascii="楷体_GB2312" w:hAnsi="楷体_GB2312" w:eastAsia="楷体_GB2312"/>
      <w:bCs/>
      <w:smallCaps/>
      <w:color w:val="000000"/>
      <w:sz w:val="32"/>
      <w:szCs w:val="32"/>
    </w:rPr>
  </w:style>
  <w:style w:type="character" w:styleId="1Char1">
    <w:name w:val="样式1 Char"/>
    <w:basedOn w:val="Char12"/>
    <w:qFormat/>
    <w:rPr>
      <w:rFonts w:ascii="楷体_GB2312" w:hAnsi="楷体_GB2312" w:eastAsia="楷体_GB2312" w:cs="宋体"/>
      <w:sz w:val="32"/>
      <w:szCs w:val="32"/>
    </w:rPr>
  </w:style>
  <w:style w:type="character" w:styleId="3Char11">
    <w:name w:val="正文文本缩进 3 Char1"/>
    <w:basedOn w:val="Style14"/>
    <w:qFormat/>
    <w:rPr>
      <w:rFonts w:ascii="Times New Roman" w:hAnsi="Times New Roman" w:eastAsia="仿宋_GB2312" w:cs="Times New Roman"/>
      <w:kern w:val="2"/>
      <w:sz w:val="16"/>
      <w:szCs w:val="16"/>
    </w:rPr>
  </w:style>
  <w:style w:type="character" w:styleId="2Char11">
    <w:name w:val="正文文本缩进 2 Char1"/>
    <w:basedOn w:val="Style14"/>
    <w:qFormat/>
    <w:rPr>
      <w:rFonts w:ascii="Times New Roman" w:hAnsi="Times New Roman" w:eastAsia="华文仿宋" w:cs="Times New Roman"/>
      <w:kern w:val="2"/>
      <w:sz w:val="32"/>
      <w:szCs w:val="32"/>
    </w:rPr>
  </w:style>
  <w:style w:type="character" w:styleId="Char14">
    <w:name w:val="正文文本缩进 Char1"/>
    <w:basedOn w:val="Style14"/>
    <w:qFormat/>
    <w:rPr>
      <w:rFonts w:ascii="Times New Roman" w:hAnsi="Times New Roman" w:eastAsia="仿宋_GB2312" w:cs="Times New Roman"/>
      <w:kern w:val="2"/>
      <w:sz w:val="32"/>
      <w:szCs w:val="22"/>
    </w:rPr>
  </w:style>
  <w:style w:type="character" w:styleId="Char7">
    <w:name w:val="日期 Char"/>
    <w:basedOn w:val="Style14"/>
    <w:qFormat/>
    <w:rPr>
      <w:rFonts w:ascii="仿宋_GB2312" w:hAnsi="仿宋_GB2312" w:eastAsia="仿宋_GB2312"/>
      <w:kern w:val="2"/>
      <w:sz w:val="32"/>
      <w:szCs w:val="32"/>
      <w:lang w:bidi="ar-SA"/>
    </w:rPr>
  </w:style>
  <w:style w:type="character" w:styleId="HTMLChar">
    <w:name w:val="HTML 预设格式 Char"/>
    <w:basedOn w:val="Style14"/>
    <w:qFormat/>
    <w:rPr>
      <w:rFonts w:ascii="宋体" w:hAnsi="宋体" w:eastAsia="宋体" w:cs="宋体"/>
      <w:sz w:val="24"/>
      <w:szCs w:val="24"/>
      <w:lang w:bidi="ar-SA"/>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rPr>
      <w:rFonts w:eastAsia="文星仿宋;宋体"/>
      <w:szCs w:val="24"/>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2">
    <w:name w:val="正文文本缩进 2"/>
    <w:basedOn w:val="Normal"/>
    <w:qFormat/>
    <w:pPr>
      <w:spacing w:lineRule="auto" w:line="480" w:before="0" w:after="120"/>
      <w:ind w:firstLineChars="0" w:firstLine="0" w:startChars="200" w:endChars="0" w:end="0"/>
    </w:pPr>
    <w:rPr>
      <w:rFonts w:eastAsia="华文仿宋"/>
      <w:szCs w:val="32"/>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widowControl/>
      <w:tabs>
        <w:tab w:val="clear" w:pos="420"/>
        <w:tab w:val="center" w:pos="4153" w:leader="none"/>
        <w:tab w:val="right" w:pos="8306" w:leader="none"/>
      </w:tabs>
      <w:snapToGrid w:val="false"/>
      <w:jc w:val="start"/>
    </w:pPr>
    <w:rPr>
      <w:rFonts w:ascii="宋体" w:hAnsi="宋体" w:cs="宋体"/>
      <w:sz w:val="18"/>
      <w:szCs w:val="18"/>
    </w:rPr>
  </w:style>
  <w:style w:type="paragraph" w:styleId="Style15">
    <w:name w:val="批注框文本"/>
    <w:basedOn w:val="Normal"/>
    <w:qFormat/>
    <w:pPr/>
    <w:rPr>
      <w:sz w:val="18"/>
      <w:szCs w:val="18"/>
    </w:rPr>
  </w:style>
  <w:style w:type="paragraph" w:styleId="3">
    <w:name w:val="正文文本缩进 3"/>
    <w:basedOn w:val="Normal"/>
    <w:qFormat/>
    <w:pPr>
      <w:spacing w:before="0" w:after="120"/>
      <w:ind w:firstLineChars="0" w:firstLine="0" w:startChars="200" w:endChars="0" w:end="0"/>
    </w:pPr>
    <w:rPr>
      <w:sz w:val="16"/>
      <w:szCs w:val="16"/>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Style16">
    <w:name w:val="日期"/>
    <w:basedOn w:val="Normal"/>
    <w:next w:val="Normal"/>
    <w:qFormat/>
    <w:pPr>
      <w:ind w:firstLineChars="0" w:firstLine="0" w:startChars="2500" w:endChars="0" w:end="0"/>
    </w:pPr>
    <w:rPr>
      <w:rFonts w:ascii="仿宋_GB2312" w:hAnsi="仿宋_GB2312"/>
      <w:szCs w:val="32"/>
    </w:rPr>
  </w:style>
  <w:style w:type="paragraph" w:styleId="Style17">
    <w:name w:val="普通(网站)"/>
    <w:basedOn w:val="Normal"/>
    <w:qFormat/>
    <w:pPr>
      <w:widowControl/>
      <w:spacing w:before="280" w:after="280"/>
      <w:jc w:val="start"/>
    </w:pPr>
    <w:rPr>
      <w:rFonts w:ascii="宋体" w:hAnsi="宋体" w:cs="宋体"/>
      <w:sz w:val="24"/>
      <w:szCs w:val="24"/>
    </w:rPr>
  </w:style>
  <w:style w:type="paragraph" w:styleId="Style18">
    <w:name w:val="文档结构图"/>
    <w:basedOn w:val="Normal"/>
    <w:qFormat/>
    <w:pPr>
      <w:shd w:fill="000080" w:val="clear"/>
    </w:pPr>
    <w:rPr>
      <w:szCs w:val="24"/>
    </w:rPr>
  </w:style>
  <w:style w:type="paragraph" w:styleId="Style19">
    <w:name w:val="纯文本"/>
    <w:basedOn w:val="Normal"/>
    <w:qFormat/>
    <w:pPr/>
    <w:rPr>
      <w:rFonts w:ascii="华文宋体" w:hAnsi="华文宋体" w:cs="Courier New"/>
      <w:szCs w:val="21"/>
    </w:rPr>
  </w:style>
  <w:style w:type="paragraph" w:styleId="BodyTextIndent">
    <w:name w:val="Body Text Indent"/>
    <w:basedOn w:val="Normal"/>
    <w:pPr>
      <w:spacing w:before="0" w:after="120"/>
      <w:ind w:firstLineChars="0" w:firstLine="0" w:startChars="200" w:endChars="0" w:end="0"/>
    </w:pPr>
    <w:rPr/>
  </w:style>
  <w:style w:type="paragraph" w:styleId="HTML">
    <w:name w:val="HTML 预设格式"/>
    <w:basedOn w:val="Normal"/>
    <w:qFormat/>
    <w:pPr>
      <w:widowControl/>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jc w:val="start"/>
    </w:pPr>
    <w:rPr>
      <w:rFonts w:ascii="宋体" w:hAnsi="宋体" w:eastAsia="宋体" w:cs="宋体"/>
      <w:kern w:val="0"/>
      <w:sz w:val="24"/>
      <w:szCs w:val="24"/>
    </w:rPr>
  </w:style>
  <w:style w:type="paragraph" w:styleId="21">
    <w:name w:val="正文文本 2"/>
    <w:basedOn w:val="Normal"/>
    <w:qFormat/>
    <w:pPr>
      <w:spacing w:lineRule="auto" w:line="480" w:before="0" w:after="120"/>
    </w:pPr>
    <w:rPr>
      <w:szCs w:val="24"/>
    </w:rPr>
  </w:style>
  <w:style w:type="paragraph" w:styleId="msonormalcxspmiddlecxsplastcxsplast">
    <w:name w:val="msonormalcxspmiddlecxsplastcxsplast"/>
    <w:basedOn w:val="Normal"/>
    <w:qFormat/>
    <w:pPr>
      <w:widowControl/>
      <w:spacing w:before="280" w:after="280"/>
      <w:jc w:val="start"/>
    </w:pPr>
    <w:rPr>
      <w:rFonts w:ascii="宋体" w:hAnsi="宋体" w:eastAsia="宋体" w:cs="宋体"/>
      <w:kern w:val="0"/>
      <w:sz w:val="24"/>
      <w:szCs w:val="24"/>
    </w:rPr>
  </w:style>
  <w:style w:type="paragraph" w:styleId="zhang">
    <w:name w:val="zhang"/>
    <w:basedOn w:val="Normal"/>
    <w:qFormat/>
    <w:pPr>
      <w:widowControl/>
      <w:spacing w:before="280" w:after="280"/>
      <w:jc w:val="start"/>
    </w:pPr>
    <w:rPr>
      <w:rFonts w:ascii="宋体" w:hAnsi="宋体" w:eastAsia="宋体" w:cs="宋体"/>
      <w:b/>
      <w:bCs/>
      <w:smallCaps/>
      <w:color w:val="000000"/>
      <w:kern w:val="0"/>
      <w:sz w:val="20"/>
      <w:szCs w:val="20"/>
    </w:rPr>
  </w:style>
  <w:style w:type="paragraph" w:styleId="msonormalcxsplast">
    <w:name w:val="msonormalcxsplast"/>
    <w:basedOn w:val="Normal"/>
    <w:qFormat/>
    <w:pPr>
      <w:widowControl/>
      <w:spacing w:before="280" w:after="280"/>
      <w:jc w:val="start"/>
    </w:pPr>
    <w:rPr>
      <w:rFonts w:ascii="宋体" w:hAnsi="宋体" w:eastAsia="宋体" w:cs="宋体"/>
      <w:kern w:val="0"/>
      <w:sz w:val="24"/>
      <w:szCs w:val="24"/>
    </w:rPr>
  </w:style>
  <w:style w:type="paragraph" w:styleId="msonormalcxspmiddlecxspmiddlecxspmiddlecxsplast">
    <w:name w:val="msonormalcxspmiddlecxspmiddlecxspmiddlecxsplast"/>
    <w:basedOn w:val="Normal"/>
    <w:qFormat/>
    <w:pPr>
      <w:widowControl/>
      <w:spacing w:before="280" w:after="280"/>
      <w:jc w:val="start"/>
    </w:pPr>
    <w:rPr>
      <w:rFonts w:ascii="宋体" w:hAnsi="宋体" w:eastAsia="宋体" w:cs="宋体"/>
      <w:kern w:val="0"/>
      <w:sz w:val="24"/>
      <w:szCs w:val="24"/>
    </w:rPr>
  </w:style>
  <w:style w:type="paragraph" w:styleId="1">
    <w:name w:val="标题1"/>
    <w:basedOn w:val="Style17"/>
    <w:qFormat/>
    <w:pPr>
      <w:spacing w:lineRule="exact" w:line="600"/>
      <w:jc w:val="center"/>
    </w:pPr>
    <w:rPr>
      <w:rFonts w:ascii="方正小标宋简体" w:hAnsi="方正小标宋简体" w:eastAsia="方正小标宋简体"/>
      <w:bCs/>
      <w:smallCaps/>
      <w:color w:val="000000"/>
      <w:sz w:val="32"/>
      <w:szCs w:val="44"/>
    </w:rPr>
  </w:style>
  <w:style w:type="paragraph" w:styleId="msonormalcxspmiddlecxspmiddlecxsplast">
    <w:name w:val="msonormalcxspmiddlecxspmiddlecxsplast"/>
    <w:basedOn w:val="Normal"/>
    <w:qFormat/>
    <w:pPr>
      <w:widowControl/>
      <w:spacing w:before="280" w:after="280"/>
      <w:jc w:val="start"/>
    </w:pPr>
    <w:rPr>
      <w:rFonts w:ascii="宋体" w:hAnsi="宋体" w:eastAsia="宋体" w:cs="宋体"/>
      <w:kern w:val="0"/>
      <w:sz w:val="24"/>
      <w:szCs w:val="24"/>
    </w:rPr>
  </w:style>
  <w:style w:type="paragraph" w:styleId="msonormalcxspmiddle">
    <w:name w:val="msonormalcxspmiddle"/>
    <w:basedOn w:val="Normal"/>
    <w:qFormat/>
    <w:pPr>
      <w:widowControl/>
      <w:spacing w:before="280" w:after="280"/>
      <w:jc w:val="start"/>
    </w:pPr>
    <w:rPr>
      <w:rFonts w:ascii="宋体" w:hAnsi="宋体" w:eastAsia="宋体" w:cs="宋体"/>
      <w:kern w:val="0"/>
      <w:sz w:val="24"/>
      <w:szCs w:val="24"/>
    </w:rPr>
  </w:style>
  <w:style w:type="paragraph" w:styleId="msonormalcxspmiddlecxspmiddlecxspmiddle">
    <w:name w:val="msonormalcxspmiddlecxspmiddlecxspmiddle"/>
    <w:basedOn w:val="Normal"/>
    <w:qFormat/>
    <w:pPr>
      <w:widowControl/>
      <w:spacing w:before="280" w:after="280"/>
      <w:jc w:val="start"/>
    </w:pPr>
    <w:rPr>
      <w:rFonts w:ascii="宋体" w:hAnsi="宋体" w:eastAsia="宋体" w:cs="宋体"/>
      <w:kern w:val="0"/>
      <w:sz w:val="24"/>
      <w:szCs w:val="24"/>
    </w:rPr>
  </w:style>
  <w:style w:type="paragraph" w:styleId="Style101">
    <w:name w:val="_Style 10"/>
    <w:basedOn w:val="Normal"/>
    <w:next w:val="Style17"/>
    <w:qFormat/>
    <w:pPr>
      <w:widowControl/>
      <w:spacing w:before="280" w:after="280"/>
      <w:jc w:val="start"/>
    </w:pPr>
    <w:rPr>
      <w:rFonts w:ascii="Arial Unicode MS" w:hAnsi="Arial Unicode MS" w:eastAsia="Arial Unicode MS" w:cs="Arial Unicode MS"/>
      <w:kern w:val="0"/>
      <w:sz w:val="24"/>
      <w:szCs w:val="24"/>
    </w:rPr>
  </w:style>
  <w:style w:type="paragraph" w:styleId="msonormalcxspmiddlecxspmiddlecxspmiddlecxspmiddlecxspmiddle">
    <w:name w:val="msonormalcxspmiddlecxspmiddlecxspmiddlecxspmiddlecxspmiddle"/>
    <w:basedOn w:val="Normal"/>
    <w:qFormat/>
    <w:pPr>
      <w:widowControl/>
      <w:spacing w:before="280" w:after="280"/>
      <w:jc w:val="start"/>
    </w:pPr>
    <w:rPr>
      <w:rFonts w:ascii="宋体" w:hAnsi="宋体" w:eastAsia="宋体" w:cs="宋体"/>
      <w:kern w:val="0"/>
      <w:sz w:val="24"/>
      <w:szCs w:val="24"/>
    </w:rPr>
  </w:style>
  <w:style w:type="paragraph" w:styleId="Char8">
    <w:name w:val="Char"/>
    <w:basedOn w:val="Normal"/>
    <w:qFormat/>
    <w:pPr/>
    <w:rPr>
      <w:rFonts w:ascii="Tahoma" w:hAnsi="Tahoma" w:eastAsia="宋体" w:cs="Tahoma"/>
      <w:sz w:val="24"/>
      <w:szCs w:val="32"/>
    </w:rPr>
  </w:style>
  <w:style w:type="paragraph" w:styleId="zhangcxsplast">
    <w:name w:val="zhangcxsplast"/>
    <w:basedOn w:val="Normal"/>
    <w:qFormat/>
    <w:pPr>
      <w:widowControl/>
      <w:spacing w:before="280" w:after="280"/>
      <w:jc w:val="start"/>
    </w:pPr>
    <w:rPr>
      <w:rFonts w:ascii="宋体" w:hAnsi="宋体" w:eastAsia="宋体" w:cs="宋体"/>
      <w:kern w:val="0"/>
      <w:sz w:val="24"/>
      <w:szCs w:val="24"/>
    </w:rPr>
  </w:style>
  <w:style w:type="paragraph" w:styleId="22">
    <w:name w:val="样式2"/>
    <w:basedOn w:val="Normal"/>
    <w:qFormat/>
    <w:pPr/>
    <w:rPr>
      <w:rFonts w:ascii="仿宋_GB2312" w:hAnsi="仿宋_GB2312"/>
      <w:b/>
      <w:bCs/>
      <w:smallCaps/>
      <w:color w:val="000000"/>
      <w:szCs w:val="32"/>
    </w:rPr>
  </w:style>
  <w:style w:type="paragraph" w:styleId="31">
    <w:name w:val="样式3"/>
    <w:basedOn w:val="22"/>
    <w:qFormat/>
    <w:pPr/>
    <w:rPr/>
  </w:style>
  <w:style w:type="paragraph" w:styleId="msonormalcxspmiddlecxsplastcxspmiddle">
    <w:name w:val="msonormalcxspmiddlecxsplastcxspmiddle"/>
    <w:basedOn w:val="Normal"/>
    <w:qFormat/>
    <w:pPr>
      <w:widowControl/>
      <w:spacing w:before="280" w:after="280"/>
      <w:jc w:val="start"/>
    </w:pPr>
    <w:rPr>
      <w:rFonts w:ascii="宋体" w:hAnsi="宋体" w:eastAsia="宋体" w:cs="宋体"/>
      <w:kern w:val="0"/>
      <w:sz w:val="24"/>
      <w:szCs w:val="24"/>
    </w:rPr>
  </w:style>
  <w:style w:type="paragraph" w:styleId="juzhong">
    <w:name w:val="juzhong"/>
    <w:basedOn w:val="Normal"/>
    <w:qFormat/>
    <w:pPr>
      <w:widowControl/>
      <w:spacing w:before="280" w:after="280"/>
      <w:jc w:val="start"/>
    </w:pPr>
    <w:rPr>
      <w:rFonts w:ascii="宋体" w:hAnsi="宋体" w:eastAsia="宋体" w:cs="宋体"/>
      <w:kern w:val="0"/>
      <w:sz w:val="24"/>
      <w:szCs w:val="24"/>
    </w:rPr>
  </w:style>
  <w:style w:type="paragraph" w:styleId="msonormalcxspmiddlecxspmiddlecxspmiddlecxspmiddlecxspmiddlecxsplast">
    <w:name w:val="msonormalcxspmiddlecxspmiddlecxspmiddlecxspmiddlecxspmiddlecxsplast"/>
    <w:basedOn w:val="Normal"/>
    <w:qFormat/>
    <w:pPr>
      <w:widowControl/>
      <w:spacing w:before="280" w:after="280"/>
      <w:jc w:val="start"/>
    </w:pPr>
    <w:rPr>
      <w:rFonts w:ascii="宋体" w:hAnsi="宋体" w:eastAsia="宋体" w:cs="宋体"/>
      <w:kern w:val="0"/>
      <w:sz w:val="24"/>
      <w:szCs w:val="24"/>
    </w:rPr>
  </w:style>
  <w:style w:type="paragraph" w:styleId="Char21">
    <w:name w:val="Char2"/>
    <w:basedOn w:val="Normal"/>
    <w:qFormat/>
    <w:pPr/>
    <w:rPr>
      <w:rFonts w:ascii="Tahoma" w:hAnsi="Tahoma" w:eastAsia="楷体_GB2312" w:cs="Tahoma"/>
      <w:sz w:val="24"/>
      <w:szCs w:val="20"/>
    </w:rPr>
  </w:style>
  <w:style w:type="paragraph" w:styleId="23">
    <w:name w:val="标题2"/>
    <w:basedOn w:val="Style17"/>
    <w:qFormat/>
    <w:pPr>
      <w:widowControl w:val="false"/>
      <w:snapToGrid w:val="false"/>
      <w:jc w:val="center"/>
    </w:pPr>
    <w:rPr>
      <w:rFonts w:ascii="楷体_GB2312" w:hAnsi="楷体_GB2312" w:eastAsia="楷体_GB2312"/>
      <w:bCs/>
      <w:smallCaps/>
      <w:color w:val="000000"/>
      <w:sz w:val="32"/>
      <w:szCs w:val="32"/>
    </w:rPr>
  </w:style>
  <w:style w:type="paragraph" w:styleId="msoplaintextcxspmiddle">
    <w:name w:val="msoplaintextcxspmiddle"/>
    <w:basedOn w:val="Normal"/>
    <w:qFormat/>
    <w:pPr>
      <w:widowControl/>
      <w:spacing w:before="280" w:after="280"/>
      <w:jc w:val="start"/>
    </w:pPr>
    <w:rPr>
      <w:rFonts w:ascii="宋体" w:hAnsi="宋体" w:eastAsia="宋体" w:cs="宋体"/>
      <w:kern w:val="0"/>
      <w:sz w:val="24"/>
      <w:szCs w:val="24"/>
    </w:rPr>
  </w:style>
  <w:style w:type="paragraph" w:styleId="11">
    <w:name w:val="样式1"/>
    <w:basedOn w:val="Style19"/>
    <w:qFormat/>
    <w:pPr>
      <w:ind w:firstLineChars="200" w:startChars="0" w:start="0" w:endChars="0" w:end="0"/>
    </w:pPr>
    <w:rPr>
      <w:rFonts w:ascii="楷体_GB2312" w:hAnsi="楷体_GB2312" w:eastAsia="楷体_GB2312" w:cs="宋体"/>
      <w:szCs w:val="32"/>
    </w:rPr>
  </w:style>
  <w:style w:type="paragraph" w:styleId="msonormalcxspmiddlecxspmiddlecxspmiddlecxspmiddlecxsplast">
    <w:name w:val="msonormalcxspmiddlecxspmiddlecxspmiddlecxspmiddlecxsplast"/>
    <w:basedOn w:val="Normal"/>
    <w:qFormat/>
    <w:pPr>
      <w:widowControl/>
      <w:spacing w:before="280" w:after="280"/>
      <w:jc w:val="start"/>
    </w:pPr>
    <w:rPr>
      <w:rFonts w:ascii="宋体" w:hAnsi="宋体" w:eastAsia="宋体" w:cs="宋体"/>
      <w:kern w:val="0"/>
      <w:sz w:val="24"/>
      <w:szCs w:val="24"/>
    </w:rPr>
  </w:style>
  <w:style w:type="paragraph" w:styleId="p16">
    <w:name w:val="p16"/>
    <w:basedOn w:val="Normal"/>
    <w:qFormat/>
    <w:pPr>
      <w:widowControl/>
      <w:spacing w:before="280" w:after="280"/>
      <w:jc w:val="start"/>
    </w:pPr>
    <w:rPr>
      <w:rFonts w:ascii="宋体" w:hAnsi="宋体" w:eastAsia="宋体" w:cs="宋体"/>
      <w:kern w:val="0"/>
      <w:sz w:val="24"/>
      <w:szCs w:val="24"/>
    </w:rPr>
  </w:style>
  <w:style w:type="paragraph" w:styleId="msoplaintextcxsplast">
    <w:name w:val="msoplaintextcxsplast"/>
    <w:basedOn w:val="Normal"/>
    <w:qFormat/>
    <w:pPr>
      <w:widowControl/>
      <w:spacing w:before="280" w:after="280"/>
      <w:jc w:val="start"/>
    </w:pPr>
    <w:rPr>
      <w:rFonts w:ascii="宋体" w:hAnsi="宋体" w:eastAsia="宋体" w:cs="宋体"/>
      <w:kern w:val="0"/>
      <w:sz w:val="24"/>
      <w:szCs w:val="24"/>
    </w:rPr>
  </w:style>
  <w:style w:type="paragraph" w:styleId="p0">
    <w:name w:val="p0"/>
    <w:basedOn w:val="Normal"/>
    <w:qFormat/>
    <w:pPr>
      <w:widowControl/>
      <w:spacing w:before="280" w:after="280"/>
      <w:jc w:val="start"/>
    </w:pPr>
    <w:rPr>
      <w:rFonts w:ascii="宋体" w:hAnsi="宋体" w:eastAsia="宋体" w:cs="宋体"/>
      <w:kern w:val="0"/>
      <w:sz w:val="24"/>
      <w:szCs w:val="24"/>
    </w:rPr>
  </w:style>
  <w:style w:type="paragraph" w:styleId="32">
    <w:name w:val="标题3"/>
    <w:basedOn w:val="Style19"/>
    <w:qFormat/>
    <w:pPr>
      <w:ind w:firstLineChars="200" w:startChars="0" w:start="0" w:endChars="0" w:end="0"/>
      <w:jc w:val="center"/>
    </w:pPr>
    <w:rPr>
      <w:rFonts w:ascii="黑体" w:hAnsi="黑体" w:eastAsia="黑体" w:cs="宋体"/>
      <w:szCs w:val="32"/>
    </w:rPr>
  </w:style>
  <w:style w:type="paragraph" w:styleId="msonormalcxspmiddlecxspmiddlecxspmiddlecxspmiddle">
    <w:name w:val="msonormalcxspmiddlecxspmiddlecxspmiddlecxspmiddle"/>
    <w:basedOn w:val="Normal"/>
    <w:qFormat/>
    <w:pPr>
      <w:widowControl/>
      <w:spacing w:before="280" w:after="280"/>
      <w:jc w:val="start"/>
    </w:pPr>
    <w:rPr>
      <w:rFonts w:ascii="宋体" w:hAnsi="宋体" w:eastAsia="宋体" w:cs="宋体"/>
      <w:kern w:val="0"/>
      <w:sz w:val="24"/>
      <w:szCs w:val="24"/>
    </w:rPr>
  </w:style>
  <w:style w:type="paragraph" w:styleId="CharCharCharChar">
    <w:name w:val="Char Char Char Char"/>
    <w:basedOn w:val="Normal"/>
    <w:qFormat/>
    <w:pPr>
      <w:widowControl/>
      <w:spacing w:lineRule="exact" w:line="240" w:before="0" w:after="160"/>
      <w:jc w:val="start"/>
    </w:pPr>
    <w:rPr>
      <w:rFonts w:ascii="Verdana" w:hAnsi="Verdana" w:cs="Verdana"/>
      <w:kern w:val="0"/>
      <w:sz w:val="20"/>
      <w:szCs w:val="20"/>
      <w:lang w:eastAsia="en-US"/>
    </w:rPr>
  </w:style>
  <w:style w:type="paragraph" w:styleId="msonormalcxspmiddlecxsplast">
    <w:name w:val="msonormalcxspmiddlecxsplast"/>
    <w:basedOn w:val="Normal"/>
    <w:qFormat/>
    <w:pPr>
      <w:widowControl/>
      <w:spacing w:before="280" w:after="280"/>
      <w:jc w:val="start"/>
    </w:pPr>
    <w:rPr>
      <w:rFonts w:ascii="宋体" w:hAnsi="宋体" w:eastAsia="宋体" w:cs="宋体"/>
      <w:kern w:val="0"/>
      <w:sz w:val="24"/>
      <w:szCs w:val="24"/>
    </w:rPr>
  </w:style>
  <w:style w:type="paragraph" w:styleId="msonormalcxspmiddlecxspmiddle">
    <w:name w:val="msonormalcxspmiddlecxspmiddle"/>
    <w:basedOn w:val="Normal"/>
    <w:qFormat/>
    <w:pPr>
      <w:widowControl/>
      <w:spacing w:before="280" w:after="280"/>
      <w:jc w:val="start"/>
    </w:pPr>
    <w:rPr>
      <w:rFonts w:ascii="宋体" w:hAnsi="宋体" w:eastAsia="宋体" w:cs="宋体"/>
      <w:kern w:val="0"/>
      <w:sz w:val="24"/>
      <w:szCs w:val="24"/>
    </w:rPr>
  </w:style>
  <w:style w:type="paragraph" w:styleId="Style20">
    <w:name w:val="列出段落"/>
    <w:basedOn w:val="Normal"/>
    <w:qFormat/>
    <w:pPr>
      <w:ind w:firstLineChars="200" w:startChars="0" w:start="0" w:endChars="0" w:end="0"/>
    </w:pPr>
    <w:rPr>
      <w:rFonts w:eastAsia="宋体"/>
      <w:sz w:val="21"/>
      <w:szCs w:val="24"/>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2016-09-14T11:09:00Z</dcterms:created>
  <dc:creator>USER</dc:creator>
  <dc:description/>
  <dc:language>en-US</dc:language>
  <cp:lastModifiedBy>tjrd</cp:lastModifiedBy>
  <cp:lastPrinted>2016-09-14T14:39:00Z</cp:lastPrinted>
  <dcterms:modified xsi:type="dcterms:W3CDTF">2016-12-29T10:44:33Z</dcterms:modified>
  <cp:revision>243</cp:revision>
  <dc:subject/>
  <dc:title>出 版 说 明</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2052-10.1.0.6135</vt:lpwstr>
  </property>
</Properties>
</file>