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color w:val="000000"/>
        </w:rPr>
      </w:pPr>
      <w:r>
        <w:rPr>
          <w:rFonts w:hint="eastAsia"/>
          <w:color w:val="000000"/>
        </w:rPr>
      </w:r>
    </w:p>
    <w:p>
      <w:pPr>
        <w:pStyle w:val="Normal"/>
        <w:rPr>
          <w:rFonts w:hint="eastAsia"/>
          <w:color w:val="000000"/>
        </w:rPr>
      </w:pPr>
      <w:r>
        <w:rPr>
          <w:rFonts w:hint="eastAsia"/>
          <w:color w:val="000000"/>
        </w:rPr>
      </w:r>
    </w:p>
    <w:p>
      <w:pPr>
        <w:pStyle w:val="Normal"/>
        <w:spacing w:lineRule="exact" w:line="700"/>
        <w:jc w:val="center"/>
        <w:rPr>
          <w:rFonts w:ascii="方正小标宋简体;方正舒体" w:hAnsi="方正小标宋简体;方正舒体" w:eastAsia="方正小标宋简体;方正舒体" w:hint="eastAsia"/>
          <w:sz w:val="42"/>
          <w:szCs w:val="42"/>
        </w:rPr>
      </w:pPr>
      <w:r>
        <w:rPr>
          <w:rFonts w:ascii="方正小标宋简体;方正舒体" w:hAnsi="方正小标宋简体;方正舒体" w:hint="eastAsia" w:eastAsia="方正小标宋简体;方正舒体"/>
          <w:sz w:val="42"/>
          <w:szCs w:val="42"/>
        </w:rPr>
        <w:t>鄂尔多斯市人民代表大会常务委员会</w:t>
      </w:r>
    </w:p>
    <w:p>
      <w:pPr>
        <w:pStyle w:val="Normal"/>
        <w:spacing w:lineRule="exact" w:line="700"/>
        <w:jc w:val="center"/>
        <w:rPr>
          <w:rFonts w:ascii="方正小标宋简体;方正舒体" w:hAnsi="方正小标宋简体;方正舒体" w:eastAsia="方正小标宋简体;方正舒体" w:hint="eastAsia"/>
          <w:sz w:val="42"/>
          <w:szCs w:val="42"/>
        </w:rPr>
      </w:pPr>
      <w:r>
        <w:rPr>
          <w:rFonts w:ascii="方正小标宋简体;方正舒体" w:hAnsi="方正小标宋简体;方正舒体" w:hint="eastAsia" w:eastAsia="方正小标宋简体;方正舒体"/>
          <w:sz w:val="42"/>
          <w:szCs w:val="42"/>
        </w:rPr>
        <w:t>关于修改《鄂尔多斯市环境保护条例》</w:t>
      </w:r>
    </w:p>
    <w:p>
      <w:pPr>
        <w:pStyle w:val="Normal"/>
        <w:spacing w:lineRule="exact" w:line="700"/>
        <w:jc w:val="center"/>
        <w:rPr>
          <w:rFonts w:ascii="方正小标宋简体;方正舒体" w:hAnsi="方正小标宋简体;方正舒体" w:eastAsia="方正小标宋简体;方正舒体"/>
          <w:sz w:val="42"/>
          <w:szCs w:val="42"/>
        </w:rPr>
      </w:pPr>
      <w:r>
        <w:rPr>
          <w:rFonts w:ascii="方正小标宋简体;方正舒体" w:hAnsi="方正小标宋简体;方正舒体" w:hint="eastAsia" w:eastAsia="方正小标宋简体;方正舒体"/>
          <w:sz w:val="42"/>
          <w:szCs w:val="42"/>
        </w:rPr>
        <w:t>等</w:t>
      </w:r>
      <w:r>
        <w:rPr>
          <w:rFonts w:eastAsia="方正小标宋简体;方正舒体" w:hint="eastAsia" w:ascii="方正小标宋简体;方正舒体" w:hAnsi="方正小标宋简体;方正舒体"/>
          <w:sz w:val="42"/>
          <w:szCs w:val="42"/>
        </w:rPr>
        <w:t>5</w:t>
      </w:r>
      <w:r>
        <w:rPr>
          <w:rFonts w:ascii="方正小标宋简体;方正舒体" w:hAnsi="方正小标宋简体;方正舒体" w:hint="eastAsia" w:eastAsia="方正小标宋简体;方正舒体"/>
          <w:sz w:val="42"/>
          <w:szCs w:val="42"/>
        </w:rPr>
        <w:t>部地方性法规的决定</w:t>
      </w:r>
    </w:p>
    <w:p>
      <w:pPr>
        <w:pStyle w:val="Normal"/>
        <w:keepNext w:val="false"/>
        <w:keepLines w:val="false"/>
        <w:pageBreakBefore w:val="false"/>
        <w:widowControl w:val="false"/>
        <w:kinsoku w:val="true"/>
        <w:overflowPunct w:val="true"/>
        <w:autoSpaceDE w:val="true"/>
        <w:bidi w:val="0"/>
        <w:snapToGrid w:val="true"/>
        <w:spacing w:lineRule="exact" w:line="600" w:before="312" w:after="0"/>
        <w:jc w:val="both"/>
        <w:textAlignment w:val="auto"/>
        <w:rPr>
          <w:rFonts w:ascii="楷体_GB2312;楷体" w:hAnsi="楷体_GB2312;楷体" w:eastAsia="楷体_GB2312;楷体" w:cs="楷体" w:hint="eastAsia"/>
          <w:sz w:val="31"/>
          <w:szCs w:val="31"/>
        </w:rPr>
      </w:pPr>
      <w:r>
        <w:rPr>
          <w:rFonts w:ascii="楷体_GB2312;楷体" w:hAnsi="楷体_GB2312;楷体" w:cs="楷体" w:hint="eastAsia" w:eastAsia="楷体_GB2312;楷体"/>
          <w:sz w:val="31"/>
          <w:szCs w:val="31"/>
        </w:rPr>
        <w:t>（</w:t>
      </w:r>
      <w:r>
        <w:rPr>
          <w:rFonts w:eastAsia="楷体_GB2312;楷体" w:cs="楷体" w:hint="eastAsia" w:ascii="楷体_GB2312;楷体" w:hAnsi="楷体_GB2312;楷体"/>
          <w:sz w:val="31"/>
          <w:szCs w:val="31"/>
        </w:rPr>
        <w:t>2021</w:t>
      </w:r>
      <w:r>
        <w:rPr>
          <w:rFonts w:ascii="楷体_GB2312;楷体" w:hAnsi="楷体_GB2312;楷体" w:cs="楷体" w:hint="eastAsia" w:eastAsia="楷体_GB2312;楷体"/>
          <w:sz w:val="31"/>
          <w:szCs w:val="31"/>
        </w:rPr>
        <w:t>年</w:t>
      </w:r>
      <w:r>
        <w:rPr>
          <w:rFonts w:eastAsia="楷体_GB2312;楷体" w:cs="楷体" w:hint="eastAsia" w:ascii="楷体_GB2312;楷体" w:hAnsi="楷体_GB2312;楷体"/>
          <w:sz w:val="31"/>
          <w:szCs w:val="31"/>
        </w:rPr>
        <w:t>6</w:t>
      </w:r>
      <w:r>
        <w:rPr>
          <w:rFonts w:ascii="楷体_GB2312;楷体" w:hAnsi="楷体_GB2312;楷体" w:cs="楷体" w:hint="eastAsia" w:eastAsia="楷体_GB2312;楷体"/>
          <w:sz w:val="31"/>
          <w:szCs w:val="31"/>
        </w:rPr>
        <w:t>月</w:t>
      </w:r>
      <w:r>
        <w:rPr>
          <w:rFonts w:eastAsia="楷体_GB2312;楷体" w:cs="楷体" w:hint="eastAsia" w:ascii="楷体_GB2312;楷体" w:hAnsi="楷体_GB2312;楷体"/>
          <w:sz w:val="31"/>
          <w:szCs w:val="31"/>
        </w:rPr>
        <w:t>16</w:t>
      </w:r>
      <w:r>
        <w:rPr>
          <w:rFonts w:ascii="楷体_GB2312;楷体" w:hAnsi="楷体_GB2312;楷体" w:cs="楷体" w:hint="eastAsia" w:eastAsia="楷体_GB2312;楷体"/>
          <w:sz w:val="31"/>
          <w:szCs w:val="31"/>
        </w:rPr>
        <w:t xml:space="preserve">日鄂尔多斯市第四届人民代表大会常务委员会第二十九次会议通过  </w:t>
      </w:r>
      <w:r>
        <w:rPr>
          <w:rFonts w:eastAsia="楷体_GB2312;楷体" w:cs="楷体" w:hint="eastAsia" w:ascii="楷体_GB2312;楷体" w:hAnsi="楷体_GB2312;楷体"/>
          <w:sz w:val="31"/>
          <w:szCs w:val="31"/>
        </w:rPr>
        <w:t>2021</w:t>
      </w:r>
      <w:r>
        <w:rPr>
          <w:rFonts w:ascii="楷体_GB2312;楷体" w:hAnsi="楷体_GB2312;楷体" w:cs="楷体" w:hint="eastAsia" w:eastAsia="楷体_GB2312;楷体"/>
          <w:sz w:val="31"/>
          <w:szCs w:val="31"/>
        </w:rPr>
        <w:t>年</w:t>
      </w:r>
      <w:r>
        <w:rPr>
          <w:rFonts w:eastAsia="楷体_GB2312;楷体" w:cs="楷体" w:hint="eastAsia" w:ascii="楷体_GB2312;楷体" w:hAnsi="楷体_GB2312;楷体"/>
          <w:sz w:val="31"/>
          <w:szCs w:val="31"/>
        </w:rPr>
        <w:t>9</w:t>
      </w:r>
      <w:r>
        <w:rPr>
          <w:rFonts w:ascii="楷体_GB2312;楷体" w:hAnsi="楷体_GB2312;楷体" w:cs="楷体" w:hint="eastAsia" w:eastAsia="楷体_GB2312;楷体"/>
          <w:sz w:val="31"/>
          <w:szCs w:val="31"/>
        </w:rPr>
        <w:t>月</w:t>
      </w:r>
      <w:r>
        <w:rPr>
          <w:rFonts w:eastAsia="楷体_GB2312;楷体" w:cs="楷体" w:hint="eastAsia" w:ascii="楷体_GB2312;楷体" w:hAnsi="楷体_GB2312;楷体"/>
          <w:sz w:val="31"/>
          <w:szCs w:val="31"/>
        </w:rPr>
        <w:t>29</w:t>
      </w:r>
      <w:r>
        <w:rPr>
          <w:rFonts w:ascii="楷体_GB2312;楷体" w:hAnsi="楷体_GB2312;楷体" w:cs="楷体" w:hint="eastAsia" w:eastAsia="楷体_GB2312;楷体"/>
          <w:sz w:val="31"/>
          <w:szCs w:val="31"/>
        </w:rPr>
        <w:t>日内蒙古自治区第十三届</w:t>
      </w:r>
    </w:p>
    <w:p>
      <w:pPr>
        <w:pStyle w:val="Normal"/>
        <w:keepNext w:val="false"/>
        <w:keepLines w:val="false"/>
        <w:pageBreakBefore w:val="false"/>
        <w:widowControl w:val="false"/>
        <w:kinsoku w:val="true"/>
        <w:overflowPunct w:val="true"/>
        <w:autoSpaceDE w:val="true"/>
        <w:bidi w:val="0"/>
        <w:snapToGrid w:val="true"/>
        <w:spacing w:lineRule="exact" w:line="600"/>
        <w:jc w:val="both"/>
        <w:textAlignment w:val="auto"/>
        <w:rPr>
          <w:rFonts w:ascii="楷体_GB2312;楷体" w:hAnsi="楷体_GB2312;楷体" w:eastAsia="楷体_GB2312;楷体" w:cs="楷体" w:hint="eastAsia"/>
          <w:sz w:val="31"/>
          <w:szCs w:val="31"/>
        </w:rPr>
      </w:pPr>
      <w:r>
        <w:rPr>
          <w:rFonts w:ascii="楷体_GB2312;楷体" w:hAnsi="楷体_GB2312;楷体" w:cs="楷体" w:hint="eastAsia" w:eastAsia="楷体_GB2312;楷体"/>
          <w:sz w:val="31"/>
          <w:szCs w:val="31"/>
        </w:rPr>
        <w:t>人民代表大会常务委员会第三十次会议批准）</w:t>
      </w:r>
    </w:p>
    <w:p>
      <w:pPr>
        <w:pStyle w:val="Normal"/>
        <w:spacing w:lineRule="exact" w:line="560"/>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鄂尔多斯市第四届人民代表大会常务委员会第二十九次会议，根据《中华人民共和国民法典》《中华人民共和国大气污染防治法》《中华人民共和国行政处罚法》有关规定和机构职能转变、名称表述发生变化情况，决定对《鄂尔多斯市环境保护条例》等</w:t>
      </w:r>
      <w:r>
        <w:rPr>
          <w:rFonts w:eastAsia="仿宋_GB2312;仿宋" w:hint="eastAsia" w:ascii="仿宋_GB2312;仿宋" w:hAnsi="仿宋_GB2312;仿宋"/>
          <w:sz w:val="31"/>
          <w:szCs w:val="31"/>
        </w:rPr>
        <w:t>5</w:t>
      </w:r>
      <w:r>
        <w:rPr>
          <w:rFonts w:ascii="仿宋_GB2312;仿宋" w:hAnsi="仿宋_GB2312;仿宋" w:hint="eastAsia" w:eastAsia="仿宋_GB2312;仿宋"/>
          <w:sz w:val="31"/>
          <w:szCs w:val="31"/>
        </w:rPr>
        <w:t>部地方性法规作如下修改：</w:t>
      </w:r>
    </w:p>
    <w:p>
      <w:pPr>
        <w:pStyle w:val="Normal"/>
        <w:spacing w:lineRule="exact" w:line="600"/>
        <w:ind w:firstLineChars="200" w:startChars="0" w:start="0" w:endChars="0" w:end="0"/>
        <w:rPr>
          <w:rFonts w:ascii="黑体" w:hAnsi="黑体" w:eastAsia="黑体" w:cs="黑体" w:hint="eastAsia"/>
          <w:sz w:val="31"/>
          <w:szCs w:val="31"/>
        </w:rPr>
      </w:pPr>
      <w:r>
        <w:rPr>
          <w:rFonts w:ascii="黑体" w:hAnsi="黑体" w:cs="黑体" w:hint="eastAsia" w:eastAsia="黑体"/>
          <w:sz w:val="31"/>
          <w:szCs w:val="31"/>
        </w:rPr>
        <w:t>一、对《鄂尔多斯市环境保护条例》作出修改</w:t>
      </w:r>
    </w:p>
    <w:p>
      <w:pPr>
        <w:pStyle w:val="Normal"/>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（一）将第四条第二款中的“建设、国土、规划、水务、水保、煤炭、交通、农牧业、林业”修改为“住房和城乡建设、自然资源、水利、能源、交通运输、农牧、林业和草原”。</w:t>
      </w:r>
    </w:p>
    <w:p>
      <w:pPr>
        <w:pStyle w:val="Normal"/>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（二）将第四条第二款、第五条、第九条、第十六条第三款、第二十七条、第四十八条、第五十五条、第五十七条、第五十九条中的“环境保护主管部门”修改为“生态环境主管部门”。</w:t>
      </w:r>
    </w:p>
    <w:p>
      <w:pPr>
        <w:pStyle w:val="Normal"/>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（三）将第六条第三款中的“审计部门”修改为“审计机关”。</w:t>
      </w:r>
    </w:p>
    <w:p>
      <w:pPr>
        <w:pStyle w:val="Normal"/>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（四）将第五十条第一款中的“建设、交通、城管等主管部门”修改为“住房和城乡建设、交通运输、城市管理综合执法等主管部门”。</w:t>
      </w:r>
    </w:p>
    <w:p>
      <w:pPr>
        <w:pStyle w:val="Normal"/>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（五）将第五十一条中的“卫生和农牧业主管部门”修改为“卫生健康和农牧主管部门。”</w:t>
      </w:r>
    </w:p>
    <w:p>
      <w:pPr>
        <w:pStyle w:val="Normal"/>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（六）将第五十三条中的“农牧业等主管部门”修改为“农牧等主管部门”。</w:t>
      </w:r>
    </w:p>
    <w:p>
      <w:pPr>
        <w:pStyle w:val="Normal"/>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（七）将第五十六条第二款中的“国土资源主管部门”修改为“自然资源主管部门”。</w:t>
      </w:r>
    </w:p>
    <w:p>
      <w:pPr>
        <w:pStyle w:val="Normal"/>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八）将第六十条修改为：“各级人民政府、旗区以上人民政府生态环境主管部门和其他负有环境保护监督管理职责的部门有下列行为之一的，对直接负责的主管人员和其他直接责任人员依法给予处分；构成犯罪的，依法追究刑事责任。”</w:t>
      </w:r>
    </w:p>
    <w:p>
      <w:pPr>
        <w:pStyle w:val="Normal"/>
        <w:spacing w:lineRule="exact" w:line="600"/>
        <w:ind w:firstLineChars="200" w:startChars="0" w:start="0" w:endChars="0" w:end="0"/>
        <w:rPr>
          <w:rFonts w:ascii="黑体" w:hAnsi="黑体" w:eastAsia="黑体" w:cs="黑体" w:hint="eastAsia"/>
          <w:sz w:val="31"/>
          <w:szCs w:val="31"/>
        </w:rPr>
      </w:pPr>
      <w:r>
        <w:rPr>
          <w:rFonts w:ascii="黑体" w:hAnsi="黑体" w:cs="黑体" w:hint="eastAsia" w:eastAsia="黑体"/>
          <w:sz w:val="31"/>
          <w:szCs w:val="31"/>
        </w:rPr>
        <w:t>二、对《鄂尔多斯市城市园林绿化条例》作出修改</w:t>
      </w:r>
    </w:p>
    <w:p>
      <w:pPr>
        <w:pStyle w:val="Normal"/>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（一）将第五条第二款中的“林业、国土资源、规划、城市管理行政执法、住房保障和房屋管理、水务等部门”修改为“林业和草原、自然资源、城市管理综合执法、住房和城乡建设、水利等主管部门”。</w:t>
      </w:r>
    </w:p>
    <w:p>
      <w:pPr>
        <w:pStyle w:val="Normal"/>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（二）将第八条、第九条、第十六条中的“规划主管部门”修改为“自然资源主管部门”。</w:t>
      </w:r>
    </w:p>
    <w:p>
      <w:pPr>
        <w:pStyle w:val="Normal"/>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（三）将第二十六条第一款修改为：“任何组织和个人不得擅自占用城市园林绿地。”</w:t>
      </w:r>
    </w:p>
    <w:p>
      <w:pPr>
        <w:pStyle w:val="Normal"/>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（四）将第三十六条第一款修改为：“违反本条例第二十六条规定，擅自占用城市园林绿地，责令限期改正，恢复绿地原状，处所占土地价格三倍罚款。”</w:t>
      </w:r>
    </w:p>
    <w:p>
      <w:pPr>
        <w:pStyle w:val="Normal"/>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（五）将第三十九条、第四十条中的“城市管理行政执法部门”修改为“城市管理综合执法部门”。</w:t>
      </w:r>
    </w:p>
    <w:p>
      <w:pPr>
        <w:pStyle w:val="Normal"/>
        <w:spacing w:lineRule="exact" w:line="600"/>
        <w:ind w:firstLineChars="200" w:startChars="0" w:start="0" w:endChars="0" w:end="0"/>
        <w:rPr>
          <w:rFonts w:ascii="黑体" w:hAnsi="黑体" w:eastAsia="黑体" w:cs="黑体" w:hint="eastAsia"/>
          <w:sz w:val="31"/>
          <w:szCs w:val="31"/>
        </w:rPr>
      </w:pPr>
      <w:r>
        <w:rPr>
          <w:rFonts w:ascii="黑体" w:hAnsi="黑体" w:cs="黑体" w:hint="eastAsia" w:eastAsia="黑体"/>
          <w:sz w:val="31"/>
          <w:szCs w:val="31"/>
        </w:rPr>
        <w:t>三、对《鄂尔多斯市农村牧区人居环境治理条例》作出修改</w:t>
      </w:r>
    </w:p>
    <w:p>
      <w:pPr>
        <w:pStyle w:val="Normal"/>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一）将第四条第二款中的“城乡建设、规划、交通、农牧业、林业、水务、自然资源、综合执法等业务主管部门”修改为“住房和城乡建设、自然资源、交通运输、农牧、林业和草原、水利、城市管理综合执法等主管部门”。</w:t>
      </w:r>
    </w:p>
    <w:p>
      <w:pPr>
        <w:pStyle w:val="Normal"/>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（二）将第九条中的“城乡规划主管部门”修改为“自然资源主管部门”。</w:t>
      </w:r>
    </w:p>
    <w:p>
      <w:pPr>
        <w:pStyle w:val="Normal"/>
        <w:spacing w:lineRule="exact" w:line="600"/>
        <w:ind w:firstLineChars="200" w:startChars="0" w:start="0" w:endChars="0" w:end="0"/>
        <w:rPr>
          <w:rFonts w:ascii="黑体" w:hAnsi="黑体" w:eastAsia="黑体" w:cs="黑体" w:hint="eastAsia"/>
          <w:sz w:val="31"/>
          <w:szCs w:val="31"/>
        </w:rPr>
      </w:pPr>
      <w:r>
        <w:rPr>
          <w:rFonts w:ascii="黑体" w:hAnsi="黑体" w:cs="黑体" w:hint="eastAsia" w:eastAsia="黑体"/>
          <w:sz w:val="31"/>
          <w:szCs w:val="31"/>
        </w:rPr>
        <w:t>四、对《鄂尔多斯市大气污染防治条例》作出修改</w:t>
      </w:r>
    </w:p>
    <w:p>
      <w:pPr>
        <w:pStyle w:val="Normal"/>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将第五十三条修改为：“违反本条例第二十条规定，未按照规定设置大气污染物排放口标志的，由市人民政府生态环境主管部门责令改正，并处</w:t>
      </w:r>
      <w:r>
        <w:rPr>
          <w:rFonts w:eastAsia="仿宋_GB2312;仿宋" w:hint="eastAsia" w:ascii="仿宋_GB2312;仿宋" w:hAnsi="仿宋_GB2312;仿宋"/>
          <w:sz w:val="31"/>
          <w:szCs w:val="31"/>
        </w:rPr>
        <w:t>5000</w:t>
      </w:r>
      <w:r>
        <w:rPr>
          <w:rFonts w:ascii="仿宋_GB2312;仿宋" w:hAnsi="仿宋_GB2312;仿宋" w:hint="eastAsia" w:eastAsia="仿宋_GB2312;仿宋"/>
          <w:sz w:val="31"/>
          <w:szCs w:val="31"/>
        </w:rPr>
        <w:t>元以上</w:t>
      </w:r>
      <w:r>
        <w:rPr>
          <w:rFonts w:eastAsia="仿宋_GB2312;仿宋" w:hint="eastAsia" w:ascii="仿宋_GB2312;仿宋" w:hAnsi="仿宋_GB2312;仿宋"/>
          <w:sz w:val="31"/>
          <w:szCs w:val="31"/>
        </w:rPr>
        <w:t>1</w:t>
      </w:r>
      <w:r>
        <w:rPr>
          <w:rFonts w:ascii="仿宋_GB2312;仿宋" w:hAnsi="仿宋_GB2312;仿宋" w:hint="eastAsia" w:eastAsia="仿宋_GB2312;仿宋"/>
          <w:sz w:val="31"/>
          <w:szCs w:val="31"/>
        </w:rPr>
        <w:t>万元以下罚款。”</w:t>
      </w:r>
    </w:p>
    <w:p>
      <w:pPr>
        <w:pStyle w:val="Normal"/>
        <w:spacing w:lineRule="exact" w:line="600"/>
        <w:ind w:firstLineChars="200" w:startChars="0" w:start="0" w:endChars="0" w:end="0"/>
        <w:rPr>
          <w:rFonts w:ascii="黑体" w:hAnsi="黑体" w:eastAsia="黑体" w:cs="黑体" w:hint="eastAsia"/>
          <w:spacing w:val="-4"/>
          <w:sz w:val="31"/>
          <w:szCs w:val="31"/>
        </w:rPr>
      </w:pPr>
      <w:r>
        <w:rPr>
          <w:rFonts w:ascii="黑体" w:hAnsi="黑体" w:cs="黑体" w:hint="eastAsia" w:eastAsia="黑体"/>
          <w:spacing w:val="-4"/>
          <w:sz w:val="31"/>
          <w:szCs w:val="31"/>
        </w:rPr>
        <w:t>五、对《鄂尔多斯市中小学校幼儿园规划建设条例》作出修改</w:t>
      </w:r>
    </w:p>
    <w:p>
      <w:pPr>
        <w:pStyle w:val="Normal"/>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将第三十条修改为：“有关部门及其工作人员有玩忽职守、滥用职权、徇私舞弊行为的，对直接负责的主管人员和其他直接责任人员依法给予处分；构成犯罪的，依法追究刑事责任。”</w:t>
      </w:r>
    </w:p>
    <w:p>
      <w:pPr>
        <w:pStyle w:val="Normal"/>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本决定自公布之日起施行。</w:t>
      </w:r>
    </w:p>
    <w:p>
      <w:pPr>
        <w:pStyle w:val="Normal"/>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鄂尔多斯市环境保护条例》《鄂尔多斯市城市园林绿化条例》《鄂尔多斯市农村牧区人居环境治理条例》《鄂尔多斯市大气污染防治条例》《鄂尔多斯市中小学校幼儿园规划建设条例》根据本决定作相应修改，重新公布。</w:t>
      </w:r>
    </w:p>
    <w:p>
      <w:pPr>
        <w:pStyle w:val="Normal"/>
        <w:spacing w:lineRule="exact" w:line="600"/>
        <w:rPr>
          <w:rFonts w:ascii="仿宋_GB2312;仿宋" w:hAnsi="仿宋_GB2312;仿宋" w:eastAsia="仿宋_GB2312;仿宋" w:hint="eastAsia"/>
          <w:sz w:val="31"/>
          <w:szCs w:val="31"/>
        </w:rPr>
      </w:pPr>
      <w:r>
        <w:rPr>
          <w:rFonts w:eastAsia="仿宋_GB2312;仿宋" w:hint="eastAsia" w:ascii="仿宋_GB2312;仿宋" w:hAnsi="仿宋_GB2312;仿宋"/>
          <w:sz w:val="31"/>
          <w:szCs w:val="31"/>
        </w:rPr>
      </w:r>
    </w:p>
    <w:p>
      <w:pPr>
        <w:pStyle w:val="Normal"/>
        <w:spacing w:lineRule="exact" w:line="600"/>
        <w:rPr>
          <w:rFonts w:ascii="仿宋_GB2312;仿宋" w:hAnsi="仿宋_GB2312;仿宋" w:eastAsia="仿宋_GB2312;仿宋" w:hint="eastAsia"/>
          <w:sz w:val="31"/>
          <w:szCs w:val="31"/>
        </w:rPr>
      </w:pPr>
      <w:r>
        <w:rPr>
          <w:rFonts w:eastAsia="仿宋_GB2312;仿宋" w:hint="eastAsia" w:ascii="仿宋_GB2312;仿宋" w:hAnsi="仿宋_GB2312;仿宋"/>
          <w:sz w:val="31"/>
          <w:szCs w:val="31"/>
        </w:rPr>
      </w:r>
    </w:p>
    <w:p>
      <w:pPr>
        <w:pStyle w:val="Normal"/>
        <w:spacing w:lineRule="exact" w:line="600"/>
        <w:rPr>
          <w:rFonts w:ascii="仿宋_GB2312;仿宋" w:hAnsi="仿宋_GB2312;仿宋" w:eastAsia="仿宋_GB2312;仿宋" w:hint="eastAsia"/>
          <w:sz w:val="31"/>
          <w:szCs w:val="31"/>
        </w:rPr>
      </w:pPr>
      <w:r>
        <w:rPr>
          <w:rFonts w:eastAsia="仿宋_GB2312;仿宋" w:hint="eastAsia" w:ascii="仿宋_GB2312;仿宋" w:hAnsi="仿宋_GB2312;仿宋"/>
          <w:sz w:val="31"/>
          <w:szCs w:val="31"/>
        </w:rPr>
      </w:r>
    </w:p>
    <w:p>
      <w:pPr>
        <w:pStyle w:val="Normal"/>
        <w:spacing w:lineRule="exact" w:line="600"/>
        <w:rPr>
          <w:rFonts w:ascii="仿宋_GB2312;仿宋" w:hAnsi="仿宋_GB2312;仿宋" w:eastAsia="仿宋_GB2312;仿宋" w:hint="eastAsia"/>
          <w:sz w:val="31"/>
          <w:szCs w:val="31"/>
        </w:rPr>
      </w:pPr>
      <w:r>
        <w:rPr>
          <w:rFonts w:eastAsia="仿宋_GB2312;仿宋" w:hint="eastAsia" w:ascii="仿宋_GB2312;仿宋" w:hAnsi="仿宋_GB2312;仿宋"/>
          <w:sz w:val="31"/>
          <w:szCs w:val="31"/>
        </w:rPr>
      </w:r>
    </w:p>
    <w:p>
      <w:pPr>
        <w:pStyle w:val="Normal"/>
        <w:spacing w:lineRule="exact" w:line="600"/>
        <w:rPr>
          <w:rFonts w:ascii="仿宋_GB2312;仿宋" w:hAnsi="仿宋_GB2312;仿宋" w:eastAsia="仿宋_GB2312;仿宋" w:hint="eastAsia"/>
          <w:sz w:val="31"/>
          <w:szCs w:val="31"/>
        </w:rPr>
      </w:pPr>
      <w:r>
        <w:rPr>
          <w:rFonts w:eastAsia="仿宋_GB2312;仿宋" w:hint="eastAsia" w:ascii="仿宋_GB2312;仿宋" w:hAnsi="仿宋_GB2312;仿宋"/>
          <w:sz w:val="31"/>
          <w:szCs w:val="31"/>
        </w:rPr>
      </w:r>
    </w:p>
    <w:p>
      <w:pPr>
        <w:pStyle w:val="Normal"/>
        <w:spacing w:lineRule="exact" w:line="600"/>
        <w:rPr>
          <w:rFonts w:ascii="仿宋_GB2312;仿宋" w:hAnsi="仿宋_GB2312;仿宋" w:eastAsia="仿宋_GB2312;仿宋" w:hint="eastAsia"/>
          <w:sz w:val="31"/>
          <w:szCs w:val="31"/>
        </w:rPr>
      </w:pPr>
      <w:r>
        <w:rPr>
          <w:rFonts w:eastAsia="仿宋_GB2312;仿宋" w:hint="eastAsia" w:ascii="仿宋_GB2312;仿宋" w:hAnsi="仿宋_GB2312;仿宋"/>
          <w:sz w:val="31"/>
          <w:szCs w:val="31"/>
        </w:rPr>
      </w:r>
    </w:p>
    <w:p>
      <w:pPr>
        <w:pStyle w:val="Normal"/>
        <w:spacing w:lineRule="exact" w:line="600"/>
        <w:rPr>
          <w:rFonts w:ascii="仿宋_GB2312;仿宋" w:hAnsi="仿宋_GB2312;仿宋" w:eastAsia="仿宋_GB2312;仿宋" w:hint="eastAsia"/>
          <w:sz w:val="31"/>
          <w:szCs w:val="31"/>
        </w:rPr>
      </w:pPr>
      <w:r>
        <w:rPr>
          <w:rFonts w:eastAsia="仿宋_GB2312;仿宋" w:hint="eastAsia" w:ascii="仿宋_GB2312;仿宋" w:hAnsi="仿宋_GB2312;仿宋"/>
          <w:sz w:val="31"/>
          <w:szCs w:val="31"/>
        </w:rPr>
      </w:r>
    </w:p>
    <w:p>
      <w:pPr>
        <w:pStyle w:val="Normal"/>
        <w:spacing w:lineRule="exact" w:line="600"/>
        <w:rPr>
          <w:rFonts w:ascii="仿宋_GB2312;仿宋" w:hAnsi="仿宋_GB2312;仿宋" w:eastAsia="仿宋_GB2312;仿宋" w:hint="eastAsia"/>
          <w:sz w:val="31"/>
          <w:szCs w:val="31"/>
        </w:rPr>
      </w:pPr>
      <w:r>
        <w:rPr>
          <w:rFonts w:eastAsia="仿宋_GB2312;仿宋" w:hint="eastAsia" w:ascii="仿宋_GB2312;仿宋" w:hAnsi="仿宋_GB2312;仿宋"/>
          <w:sz w:val="31"/>
          <w:szCs w:val="31"/>
        </w:rPr>
      </w:r>
    </w:p>
    <w:p>
      <w:pPr>
        <w:pStyle w:val="Normal"/>
        <w:spacing w:lineRule="exact" w:line="600"/>
        <w:rPr>
          <w:rFonts w:ascii="仿宋_GB2312;仿宋" w:hAnsi="仿宋_GB2312;仿宋" w:eastAsia="仿宋_GB2312;仿宋" w:hint="eastAsia"/>
          <w:sz w:val="31"/>
          <w:szCs w:val="31"/>
        </w:rPr>
      </w:pPr>
      <w:r>
        <w:rPr>
          <w:rFonts w:eastAsia="仿宋_GB2312;仿宋" w:hint="eastAsia" w:ascii="仿宋_GB2312;仿宋" w:hAnsi="仿宋_GB2312;仿宋"/>
          <w:sz w:val="31"/>
          <w:szCs w:val="31"/>
        </w:rPr>
      </w:r>
    </w:p>
    <w:p>
      <w:pPr>
        <w:pStyle w:val="Normal"/>
        <w:spacing w:lineRule="exact" w:line="600"/>
        <w:rPr>
          <w:rFonts w:ascii="仿宋_GB2312;仿宋" w:hAnsi="仿宋_GB2312;仿宋" w:eastAsia="仿宋_GB2312;仿宋" w:hint="eastAsia"/>
          <w:sz w:val="31"/>
          <w:szCs w:val="31"/>
        </w:rPr>
      </w:pPr>
      <w:r>
        <w:rPr>
          <w:rFonts w:eastAsia="仿宋_GB2312;仿宋" w:hint="eastAsia" w:ascii="仿宋_GB2312;仿宋" w:hAnsi="仿宋_GB2312;仿宋"/>
          <w:sz w:val="31"/>
          <w:szCs w:val="31"/>
        </w:rPr>
      </w:r>
    </w:p>
    <w:p>
      <w:pPr>
        <w:pStyle w:val="Normal"/>
        <w:spacing w:before="62" w:after="0"/>
        <w:ind w:end="120"/>
        <w:jc w:val="both"/>
        <w:rPr>
          <w:rFonts w:ascii="仿宋_GB2312;仿宋" w:hAnsi="仿宋_GB2312;仿宋" w:eastAsia="仿宋_GB2312;仿宋" w:hint="eastAsia"/>
          <w:color w:val="000000"/>
          <w:sz w:val="31"/>
          <w:szCs w:val="30"/>
        </w:rPr>
      </w:pPr>
      <w:r>
        <w:rPr>
          <w:rFonts w:eastAsia="仿宋_GB2312;仿宋" w:hint="eastAsia" w:ascii="仿宋_GB2312;仿宋" w:hAnsi="仿宋_GB2312;仿宋"/>
          <w:color w:val="000000"/>
          <w:sz w:val="31"/>
          <w:szCs w:val="30"/>
        </w:rPr>
      </w:r>
    </w:p>
    <w:sectPr>
      <w:headerReference w:type="default" r:id="rId2"/>
      <w:footerReference w:type="default" r:id="rId3"/>
      <w:type w:val="nextPage"/>
      <w:pgSz w:w="11906" w:h="16838"/>
      <w:pgMar w:left="1587" w:right="1587"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Calibri">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altName w:val="方正舒体"/>
    <w:charset w:val="86"/>
    <w:family w:val="script"/>
    <w:pitch w:val="default"/>
  </w:font>
  <w:font w:name="华文楷体">
    <w:charset w:val="86"/>
    <w:family w:val="auto"/>
    <w:pitch w:val="default"/>
  </w:font>
  <w:font w:name="仿宋_GB2312">
    <w:altName w:val="仿宋"/>
    <w:charset w:val="86"/>
    <w:family w:val="modern"/>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 w:hAnsi="宋体" w:cs="宋体"/>
                              <w:sz w:val="24"/>
                              <w:szCs w:val="24"/>
                            </w:rPr>
                          </w:pPr>
                          <w:r>
                            <w:rPr>
                              <w:rStyle w:val="PageNumber"/>
                              <w:rFonts w:cs="宋体" w:ascii="宋体" w:hAnsi="宋体"/>
                              <w:sz w:val="24"/>
                              <w:szCs w:val="24"/>
                            </w:rPr>
                            <w:fldChar w:fldCharType="begin"/>
                          </w:r>
                          <w:r>
                            <w:rPr>
                              <w:rStyle w:val="PageNumber"/>
                              <w:rFonts w:cs="宋体" w:ascii="宋体" w:hAnsi="宋体"/>
                              <w:sz w:val="24"/>
                              <w:szCs w:val="24"/>
                            </w:rPr>
                            <w:instrText xml:space="preserve"> PAGE </w:instrText>
                          </w:r>
                          <w:r>
                            <w:rPr>
                              <w:rStyle w:val="PageNumber"/>
                              <w:rFonts w:cs="宋体" w:ascii="宋体" w:hAnsi="宋体"/>
                              <w:sz w:val="24"/>
                              <w:szCs w:val="24"/>
                            </w:rPr>
                            <w:fldChar w:fldCharType="separate"/>
                          </w:r>
                          <w:r>
                            <w:rPr>
                              <w:rStyle w:val="PageNumber"/>
                              <w:rFonts w:cs="宋体" w:ascii="宋体" w:hAnsi="宋体"/>
                              <w:sz w:val="24"/>
                              <w:szCs w:val="24"/>
                            </w:rPr>
                            <w:t>4</w:t>
                          </w:r>
                          <w:r>
                            <w:rPr>
                              <w:rStyle w:val="PageNumber"/>
                              <w:rFonts w:cs="宋体" w:ascii="宋体" w:hAnsi="宋体"/>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 w:hAnsi="宋体" w:cs="宋体"/>
                        <w:sz w:val="24"/>
                        <w:szCs w:val="24"/>
                      </w:rPr>
                    </w:pPr>
                    <w:r>
                      <w:rPr>
                        <w:rStyle w:val="PageNumber"/>
                        <w:rFonts w:cs="宋体" w:ascii="宋体" w:hAnsi="宋体"/>
                        <w:sz w:val="24"/>
                        <w:szCs w:val="24"/>
                      </w:rPr>
                      <w:fldChar w:fldCharType="begin"/>
                    </w:r>
                    <w:r>
                      <w:rPr>
                        <w:rStyle w:val="PageNumber"/>
                        <w:rFonts w:cs="宋体" w:ascii="宋体" w:hAnsi="宋体"/>
                        <w:sz w:val="24"/>
                        <w:szCs w:val="24"/>
                      </w:rPr>
                      <w:instrText xml:space="preserve"> PAGE </w:instrText>
                    </w:r>
                    <w:r>
                      <w:rPr>
                        <w:rStyle w:val="PageNumber"/>
                        <w:rFonts w:cs="宋体" w:ascii="宋体" w:hAnsi="宋体"/>
                        <w:sz w:val="24"/>
                        <w:szCs w:val="24"/>
                      </w:rPr>
                      <w:fldChar w:fldCharType="separate"/>
                    </w:r>
                    <w:r>
                      <w:rPr>
                        <w:rStyle w:val="PageNumber"/>
                        <w:rFonts w:cs="宋体" w:ascii="宋体" w:hAnsi="宋体"/>
                        <w:sz w:val="24"/>
                        <w:szCs w:val="24"/>
                      </w:rPr>
                      <w:t>4</w:t>
                    </w:r>
                    <w:r>
                      <w:rPr>
                        <w:rStyle w:val="PageNumber"/>
                        <w:rFonts w:cs="宋体" w:ascii="宋体" w:hAnsi="宋体"/>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
      <w:kern w:val="2"/>
      <w:sz w:val="21"/>
      <w:szCs w:val="24"/>
      <w:lang w:bidi="ar-SA"/>
    </w:rPr>
  </w:style>
  <w:style w:type="character" w:styleId="Char1">
    <w:name w:val="纯文本 Char"/>
    <w:qFormat/>
    <w:rPr>
      <w:rFonts w:ascii="宋体" w:hAnsi="宋体" w:eastAsia="宋体" w:cs="Courier New"/>
      <w:kern w:val="2"/>
      <w:sz w:val="21"/>
      <w:szCs w:val="21"/>
      <w:lang w:bidi="ar-SA"/>
    </w:rPr>
  </w:style>
  <w:style w:type="character" w:styleId="Char2">
    <w:name w:val="页脚 Char"/>
    <w:basedOn w:val="Style12"/>
    <w:qFormat/>
    <w:rPr>
      <w:rFonts w:eastAsia="宋体"/>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 w:hAnsi="宋体" w:eastAsia="宋体"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 w:hAnsi="宋体" w:eastAsia="宋体" w:cs="Courier New"/>
      <w:kern w:val="2"/>
      <w:sz w:val="21"/>
      <w:szCs w:val="21"/>
      <w:lang w:bidi="ar-SA"/>
    </w:rPr>
  </w:style>
  <w:style w:type="character" w:styleId="15">
    <w:name w:val="15"/>
    <w:basedOn w:val="Style12"/>
    <w:qFormat/>
    <w:rPr>
      <w:rFonts w:ascii="Calibri" w:hAnsi="Calibri" w:cs="Calibri"/>
      <w:b/>
      <w:bCs/>
    </w:rPr>
  </w:style>
  <w:style w:type="character" w:styleId="16">
    <w:name w:val="16"/>
    <w:basedOn w:val="Style12"/>
    <w:qFormat/>
    <w:rPr>
      <w:rFonts w:ascii="仿宋" w:hAnsi="仿宋" w:eastAsia="仿宋" w:cs="Times New Roman"/>
      <w:b/>
      <w:bCs/>
      <w:color w:val="000000"/>
      <w:sz w:val="22"/>
      <w:szCs w:val="22"/>
    </w:rPr>
  </w:style>
  <w:style w:type="character" w:styleId="FooterChar">
    <w:name w:val="Footer Char"/>
    <w:basedOn w:val="Style12"/>
    <w:qFormat/>
    <w:rPr>
      <w:rFonts w:eastAsia="宋体"/>
      <w:kern w:val="2"/>
      <w:sz w:val="18"/>
      <w:szCs w:val="18"/>
      <w:lang w:bidi="ar-SA"/>
    </w:rPr>
  </w:style>
  <w:style w:type="character" w:styleId="bjh-p">
    <w:name w:val="bjh-p"/>
    <w:basedOn w:val="Style12"/>
    <w:qFormat/>
    <w:rPr>
      <w:rFonts w:cs="Times New Roman"/>
    </w:rPr>
  </w:style>
  <w:style w:type="character" w:styleId="Char11">
    <w:name w:val="纯文本 Char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1">
    <w:name w:val="普通(网站)1"/>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9">
    <w:name w:val="列出段落"/>
    <w:basedOn w:val="Normal"/>
    <w:qFormat/>
    <w:pPr>
      <w:widowControl/>
      <w:ind w:firstLineChars="200" w:startChars="0" w:start="0" w:endChars="0" w:end="0"/>
      <w:jc w:val="start"/>
    </w:pPr>
    <w:rPr>
      <w:rFonts w:ascii="宋体" w:hAnsi="宋体" w:cs="宋体"/>
      <w:kern w:val="0"/>
      <w:sz w:val="24"/>
    </w:rPr>
  </w:style>
  <w:style w:type="paragraph" w:styleId="p16">
    <w:name w:val="p16"/>
    <w:basedOn w:val="Normal"/>
    <w:qFormat/>
    <w:pPr>
      <w:widowControl/>
    </w:pPr>
    <w:rPr>
      <w:rFonts w:ascii="宋体" w:hAnsi="宋体" w:cs="宋体"/>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方正舒体" w:hAnsi="方正小标宋简体;方正舒体" w:eastAsia="方正小标宋简体;方正舒体" w:cs="方正小标宋简体;方正舒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仿宋" w:hAnsi="仿宋_GB2312;仿宋" w:eastAsia="仿宋" w:cs="仿宋_GB2312;仿宋"/>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 w:hAnsi="Calibri"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2021-10-20T08:15:00Z</dcterms:created>
  <dc:creator>Lenovo User</dc:creator>
  <dc:description/>
  <dc:language>en-US</dc:language>
  <cp:lastModifiedBy>碎花裙 °</cp:lastModifiedBy>
  <cp:lastPrinted>2021-10-21T07:43:00Z</cp:lastPrinted>
  <dcterms:modified xsi:type="dcterms:W3CDTF">2021-12-30T18:53:59Z</dcterms:modified>
  <cp:revision>43</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BFDEEB3790A048F09C100199D73FC405</vt:lpwstr>
  </property>
  <property fmtid="{D5CDD505-2E9C-101B-9397-08002B2CF9AE}" pid="3" name="KSOProductBuildVer">
    <vt:lpwstr>2052-11.1.0.11194</vt:lpwstr>
  </property>
</Properties>
</file>