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580"/>
        <w:jc w:val="both"/>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cs="宋体;方正书宋_GBK"/>
          <w:sz w:val="44"/>
          <w:szCs w:val="44"/>
        </w:rPr>
      </w:pPr>
      <w:r>
        <w:rPr>
          <w:rFonts w:cs="宋体;方正书宋_GBK" w:hint="eastAsia"/>
          <w:sz w:val="44"/>
          <w:szCs w:val="44"/>
        </w:rPr>
        <w:t>包头市科学技术普及条例</w:t>
      </w:r>
    </w:p>
    <w:p>
      <w:pPr>
        <w:pStyle w:val="Style15"/>
        <w:tabs>
          <w:tab w:val="clear" w:pos="420"/>
          <w:tab w:val="left" w:pos="1260" w:leader="none"/>
          <w:tab w:val="left" w:pos="5355" w:leader="none"/>
        </w:tabs>
        <w:spacing w:lineRule="exact" w:line="580"/>
        <w:rPr>
          <w:rFonts w:ascii="仿宋_GB2312" w:hAnsi="仿宋_GB2312" w:eastAsia="仿宋_GB2312" w:cs="宋体;方正书宋_GBK"/>
          <w:sz w:val="32"/>
          <w:szCs w:val="32"/>
        </w:rPr>
      </w:pPr>
      <w:r>
        <w:rPr>
          <w:rFonts w:eastAsia="仿宋_GB2312" w:cs="宋体;方正书宋_GBK" w:ascii="仿宋_GB2312" w:hAnsi="仿宋_GB2312"/>
          <w:sz w:val="32"/>
          <w:szCs w:val="32"/>
        </w:rPr>
      </w:r>
    </w:p>
    <w:p>
      <w:pPr>
        <w:pStyle w:val="Style15"/>
        <w:tabs>
          <w:tab w:val="clear" w:pos="420"/>
          <w:tab w:val="left" w:pos="1260" w:leader="none"/>
          <w:tab w:val="left" w:pos="5355" w:leader="none"/>
        </w:tabs>
        <w:spacing w:lineRule="exact" w:line="580"/>
        <w:ind w:firstLineChars="0" w:firstLine="0" w:startChars="400" w:endChars="400"/>
        <w:rPr>
          <w:rFonts w:ascii="楷体_GB2312;楷体" w:hAnsi="楷体_GB2312;楷体" w:eastAsia="楷体_GB2312;楷体" w:cs="宋体;方正书宋_GBK"/>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2004</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12</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13</w:t>
      </w:r>
      <w:r>
        <w:rPr>
          <w:rFonts w:ascii="楷体_GB2312;楷体" w:hAnsi="楷体_GB2312;楷体" w:cs="宋体;方正书宋_GBK" w:hint="eastAsia" w:eastAsia="楷体_GB2312;楷体"/>
          <w:sz w:val="32"/>
          <w:szCs w:val="32"/>
        </w:rPr>
        <w:t xml:space="preserve">日包头市第十二届人民代表大会常务委员会第十三次会议通过  </w:t>
      </w:r>
      <w:r>
        <w:rPr>
          <w:rFonts w:eastAsia="楷体_GB2312;楷体" w:cs="宋体;方正书宋_GBK" w:hint="eastAsia" w:ascii="楷体_GB2312;楷体" w:hAnsi="楷体_GB2312;楷体"/>
          <w:sz w:val="32"/>
          <w:szCs w:val="32"/>
        </w:rPr>
        <w:t>2005</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3</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31</w:t>
      </w:r>
      <w:r>
        <w:rPr>
          <w:rFonts w:ascii="楷体_GB2312;楷体" w:hAnsi="楷体_GB2312;楷体" w:cs="宋体;方正书宋_GBK" w:hint="eastAsia" w:eastAsia="楷体_GB2312;楷体"/>
          <w:sz w:val="32"/>
          <w:szCs w:val="32"/>
        </w:rPr>
        <w:t>日内蒙古自治区第十届人民代表大会常务委员会第十五次会议批准  根据</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12</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27</w:t>
      </w:r>
      <w:r>
        <w:rPr>
          <w:rFonts w:ascii="楷体_GB2312;楷体" w:hAnsi="楷体_GB2312;楷体" w:cs="宋体;方正书宋_GBK" w:hint="eastAsia" w:eastAsia="楷体_GB2312;楷体"/>
          <w:sz w:val="32"/>
          <w:szCs w:val="32"/>
        </w:rPr>
        <w:t>日内蒙古自治区第十三届人民代表大会常务委员会第三十九次会议关于批准</w:t>
      </w:r>
      <w:r>
        <w:rPr>
          <w:rFonts w:ascii="楷体_GB2312;楷体" w:hAnsi="楷体_GB2312;楷体" w:cs="宋体;方正书宋_GBK" w:hint="eastAsia" w:eastAsia="楷体_GB2312;楷体"/>
          <w:spacing w:val="-6"/>
          <w:sz w:val="32"/>
          <w:szCs w:val="32"/>
        </w:rPr>
        <w:t>《包头市人民代表大会常务委员会关于修改〈包头市地名管理条例〉等</w:t>
      </w:r>
      <w:r>
        <w:rPr>
          <w:rFonts w:eastAsia="楷体_GB2312;楷体" w:cs="宋体;方正书宋_GBK" w:hint="eastAsia" w:ascii="楷体_GB2312;楷体" w:hAnsi="楷体_GB2312;楷体"/>
          <w:spacing w:val="-6"/>
          <w:sz w:val="32"/>
          <w:szCs w:val="32"/>
        </w:rPr>
        <w:t>4</w:t>
      </w:r>
      <w:r>
        <w:rPr>
          <w:rFonts w:ascii="楷体_GB2312;楷体" w:hAnsi="楷体_GB2312;楷体" w:cs="宋体;方正书宋_GBK" w:hint="eastAsia" w:eastAsia="楷体_GB2312;楷体"/>
          <w:spacing w:val="-6"/>
          <w:sz w:val="32"/>
          <w:szCs w:val="32"/>
        </w:rPr>
        <w:t>件地方性法规的决定》的决议修正）</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sz w:val="32"/>
          <w:szCs w:val="32"/>
        </w:rPr>
      </w:pPr>
      <w:r>
        <w:rPr>
          <w:rFonts w:eastAsia="黑体" w:cs="宋体;方正书宋_GBK"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为了促进科学技术普及工作，实施科教兴市战略，提高公民科学文化素质，推动物质文明、政治文明和精神文明建设，根据《中华人民共和国科学技术普及法》、《内蒙古自治区科学技术普及条例》和有关法律、法规，结合本市实际，制定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第二条 </w:t>
      </w:r>
      <w:r>
        <w:rPr>
          <w:rFonts w:ascii="仿宋_GB2312" w:hAnsi="仿宋_GB2312" w:cs="宋体;方正书宋_GBK" w:hint="eastAsia" w:eastAsia="仿宋_GB2312"/>
          <w:sz w:val="32"/>
          <w:szCs w:val="32"/>
        </w:rPr>
        <w:t xml:space="preserve"> 本条例所称科学技术普及（以下简称科普），是指采用公众易于理解、接受和参与的方式，向其传播科学精神、科学思想、科学知识和科学方法的活动。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xml:space="preserve">  本条例适用于本市行政区域内的国家机关、社会团体、企事业单位及其他组织和公民。</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科普工作应当适应经济建设和社会发展的需要，坚持群众性、经常性和因地制宜的原则，充分利用各种现代化手段，通过多渠道、多层次开展。其内容和形式要有针对性、通俗性、趣味性和多样性。</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科普工作应当坚持科学态度，反对和抵制迷信、伪科学。任何单位和个人不得以科普为名传播有违科学原则和科学精神的内容或者从事有损于社会公共利益、道德风尚和公民身心健康的活动。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xml:space="preserve">  各级人民政府应当加强对科普工作的领导和管理，将其纳入国民经济和社会发展规划，为科普工作创造良好的条件和社会环境。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各级人民政府应当鼓励和支持社会力量兴办科普事业，促进科普工作在国内外的合作与交流。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第七条 </w:t>
      </w:r>
      <w:r>
        <w:rPr>
          <w:rFonts w:ascii="仿宋_GB2312" w:hAnsi="仿宋_GB2312" w:cs="宋体;方正书宋_GBK" w:hint="eastAsia" w:eastAsia="仿宋_GB2312"/>
          <w:sz w:val="32"/>
          <w:szCs w:val="32"/>
        </w:rPr>
        <w:t xml:space="preserve"> 市和旗县区人民政府科学技术行政部门负责组织制定本行政区域内科普工作规划，并负责协调落实。其他行政部门按照各自的职责范围，负责有关的科普工作。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市和旗县区科学技术行政部门应当与科学技术协会等有关组织和部门建立科普工作联席会议制度，统筹协调和组织指导本行政区域内的科普工作。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各级科学技术协会是科普工作的主要社会力量，负责组织开展群众性、社会性、经常性的科普活动，支持有关社会组织和企事业单位开展科普工作，协助政府科学技术行政部门制定科普工作规划，提供决策建议。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教育行政部门应当把提高青少年的科学技术素质作为全面实施素质教育的重要内容，组织开展科普活动。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各级各类学校应当经常组织学生开展各种形式的科普活动，培养和提高学生的科学思维能力和创造能力。</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各级各类科研机构、大中专院校，应当根据自身条件有组织地向公众开放科技园区、实验室、陈列室和其他科研场所，举办科普讲座和提供科普咨询，有条件的应当建立科普教育基地和科普示范基地。</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科技工作者和教育工作者应当发挥自身优势和专长，积极参与和支持科普活动。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xml:space="preserve">  卫生健康、生态环境、体育、气象、地震、文化旅游广电等部门应当充分利用其资源和设施，采取多种形式开展科普活动。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第十二条 </w:t>
      </w:r>
      <w:r>
        <w:rPr>
          <w:rFonts w:ascii="仿宋_GB2312" w:hAnsi="仿宋_GB2312" w:cs="宋体;方正书宋_GBK" w:hint="eastAsia" w:eastAsia="仿宋_GB2312"/>
          <w:sz w:val="32"/>
          <w:szCs w:val="32"/>
        </w:rPr>
        <w:t xml:space="preserve"> 各级工会、共青团、妇联等社会团体应当根据本行政区域内的科普工作规划并结合各自的特点开展科普活动。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农村牧区基层组织应当根据当地经济与社会发展的需要，围绕科学生产、文明生活，开展科普工作。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农牧林水渔业等技术推广（培训）机构、农牧业学校，农村牧区各类经济组织和各类专业技术协会，应当积极宣传、推广、普及各种先进适用技术和科学技术知识。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科技服务中心、文化站（室）应当根据当地产业特色，向农牧民宣传普及种植、养殖、加工业等先进适用技术和科学、文明、健康的生活方式。</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企业应当结合技术改造、新产品开发，推广应用新技术、新工艺，组织职工开展技能培训、技术竞赛活动，普及科技知识，提高生产技能。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博物馆、图书馆、科技馆（站）、文化馆（站）、文化宫、俱乐部等社会公益场所应当利用其资源和设施，开展科普宣传活动，并定期向中小学生免费开放。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动物园、植物园、自然保护区等场所应当结合各自特点，开展有关环境、生态和生物多样性保护方面的科普宣传活动。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公园、商场、机场、车站、广场等各类公共场所的经营管理单位，应当在所辖范围内加强科普宣传。城镇公共广告栏、街区灯箱广告应当有一定比例的科普宣传内容。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商业、服务业可以结合商品销售和服务项目开展科普工作。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报刊、广播、电视、网络等传播媒体应当开设科普宣传专版、专栏和专题节目，认真履行科普宣传义务。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国家、自治区级和市级科普教育基地和科普示范基地应当定期向公民免费开放。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xml:space="preserve">  各级人民政府应当重点扶持农村牧区、边远贫困地区的科普工作。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第二十一条 </w:t>
      </w:r>
      <w:r>
        <w:rPr>
          <w:rFonts w:ascii="仿宋_GB2312" w:hAnsi="仿宋_GB2312" w:cs="宋体;方正书宋_GBK" w:hint="eastAsia" w:eastAsia="仿宋_GB2312"/>
          <w:sz w:val="32"/>
          <w:szCs w:val="32"/>
        </w:rPr>
        <w:t xml:space="preserve"> 各级人民政府应当将科普场所、设施建设纳入城乡建设规划和基本建设计划，加强对现有科普场所、设施的改造和利用，保障其正常运行，不得擅自挪作他用。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市和旗县区人民政府应当按照本辖区常住人口每人每年不低于</w:t>
      </w:r>
      <w:r>
        <w:rPr>
          <w:rFonts w:eastAsia="仿宋_GB2312" w:cs="宋体;方正书宋_GBK" w:hint="eastAsia" w:ascii="仿宋_GB2312" w:hAnsi="仿宋_GB2312"/>
          <w:sz w:val="32"/>
          <w:szCs w:val="32"/>
        </w:rPr>
        <w:t>0.5</w:t>
      </w:r>
      <w:r>
        <w:rPr>
          <w:rFonts w:ascii="仿宋_GB2312" w:hAnsi="仿宋_GB2312" w:cs="宋体;方正书宋_GBK" w:hint="eastAsia" w:eastAsia="仿宋_GB2312"/>
          <w:sz w:val="32"/>
          <w:szCs w:val="32"/>
        </w:rPr>
        <w:t>元的标准，将科普经费列入本级财政预算，专款专用，并随着财政收入的增长逐步增加。</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各级人民政府有关部门和企事业单位应当安排一定的经费用于科普工作。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第二十三条</w:t>
      </w:r>
      <w:r>
        <w:rPr>
          <w:rFonts w:ascii="仿宋_GB2312" w:hAnsi="仿宋_GB2312" w:cs="宋体;方正书宋_GBK" w:hint="eastAsia" w:eastAsia="仿宋_GB2312"/>
          <w:sz w:val="32"/>
          <w:szCs w:val="32"/>
        </w:rPr>
        <w:t xml:space="preserve">  各级人民政府应当鼓励社会组织和个人捐赠财物资助科普事业；对捐赠财物用于科普事业或者投资建设科普场馆、设施的，应当依法减免相关费用。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第二十四条 </w:t>
      </w:r>
      <w:r>
        <w:rPr>
          <w:rFonts w:ascii="仿宋_GB2312" w:hAnsi="仿宋_GB2312" w:cs="宋体;方正书宋_GBK" w:hint="eastAsia" w:eastAsia="仿宋_GB2312"/>
          <w:sz w:val="32"/>
          <w:szCs w:val="32"/>
        </w:rPr>
        <w:t xml:space="preserve"> 科普经费和社会组织、个人资助科普事业的财物，必须用于科普事业，任何单位或者个人不得挤占、截留、挪用。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第二十五条</w:t>
      </w:r>
      <w:r>
        <w:rPr>
          <w:rFonts w:ascii="仿宋_GB2312" w:hAnsi="仿宋_GB2312" w:cs="宋体;方正书宋_GBK" w:hint="eastAsia" w:eastAsia="仿宋_GB2312"/>
          <w:sz w:val="32"/>
          <w:szCs w:val="32"/>
        </w:rPr>
        <w:t xml:space="preserve">  出版科普类读物以及开展科普性有偿服务活动，按照国家和自治区有关规定享受优惠政策。</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第二十六条</w:t>
      </w:r>
      <w:r>
        <w:rPr>
          <w:rFonts w:ascii="仿宋_GB2312" w:hAnsi="仿宋_GB2312" w:cs="宋体;方正书宋_GBK" w:hint="eastAsia" w:eastAsia="仿宋_GB2312"/>
          <w:sz w:val="32"/>
          <w:szCs w:val="32"/>
        </w:rPr>
        <w:t xml:space="preserve">  有关单位对从事科普合作，参加科普学术交流、进行科普研究等活动的人员，应当给予支持。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xml:space="preserve">  科普工作者的科普著作、论文和其他优秀科普成果应当作为评聘专业技术职称职务的依据之一。</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xml:space="preserve">  贪污、侵占、克扣、截留、挪用科普经费或者捐赠款物的，由有关主管部门责令限期归还，并对负有责任的主管人员和直接责任人员给予行政处分；构成犯罪的，依法追究刑事责任。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第二十九条 </w:t>
      </w:r>
      <w:r>
        <w:rPr>
          <w:rFonts w:ascii="仿宋_GB2312" w:hAnsi="仿宋_GB2312" w:cs="宋体;方正书宋_GBK" w:hint="eastAsia" w:eastAsia="仿宋_GB2312"/>
          <w:sz w:val="32"/>
          <w:szCs w:val="32"/>
        </w:rPr>
        <w:t xml:space="preserve"> 擅自将各级人民政府投资建设的科普场所改作他用的，由有关主管部门责令限期改正；情节严重的，对负有责任的主管人员和直接责任人员给予行政处分。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毁损科普场所（馆）、设施的，依法责令其停止侵害、恢复原状或者赔偿损失；构成犯罪的，依法追究刑事责任。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第三十条</w:t>
      </w:r>
      <w:r>
        <w:rPr>
          <w:rFonts w:ascii="仿宋_GB2312" w:hAnsi="仿宋_GB2312" w:cs="宋体;方正书宋_GBK" w:hint="eastAsia" w:eastAsia="仿宋_GB2312"/>
          <w:sz w:val="32"/>
          <w:szCs w:val="32"/>
        </w:rPr>
        <w:t xml:space="preserve">  国家工作人员在科普工作中玩忽职守、滥用职权、徇私舞弊的，由其所在单位或者上级主管部门给予行政处分；构成犯罪的，依法追究刑事责任。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第三十一条</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2005</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both"/>
        <w:rPr>
          <w:rFonts w:ascii="仿宋_GB2312" w:hAnsi="仿宋_GB2312" w:eastAsia="仿宋_GB2312" w:cs="宋体;方正书宋_GBK" w:hint="eastAsia"/>
          <w:color w:val="000000"/>
          <w:sz w:val="32"/>
          <w:szCs w:val="30"/>
          <w:lang w:val="en-US" w:eastAsia="en-US"/>
        </w:rPr>
      </w:pPr>
      <w:r>
        <w:rPr>
          <w:rFonts w:eastAsia="仿宋_GB2312" w:cs="宋体;方正书宋_GBK" w:hint="eastAsia" w:ascii="仿宋_GB2312" w:hAnsi="仿宋_GB2312"/>
          <w:color w:val="000000"/>
          <w:sz w:val="32"/>
          <w:szCs w:val="30"/>
          <w:lang w:val="en-US" w:eastAsia="en-US"/>
        </w:rPr>
        <mc:AlternateContent>
          <mc:Choice Requires="wps">
            <w:drawing>
              <wp:anchor distT="0" distB="0" distL="114935" distR="114935" simplePos="0" relativeHeight="9" behindDoc="0" locked="0" layoutInCell="1" allowOverlap="1">
                <wp:simplePos x="0" y="0"/>
                <wp:positionH relativeFrom="column">
                  <wp:posOffset>-114300</wp:posOffset>
                </wp:positionH>
                <wp:positionV relativeFrom="paragraph">
                  <wp:posOffset>408305</wp:posOffset>
                </wp:positionV>
                <wp:extent cx="685800" cy="274320"/>
                <wp:effectExtent l="5080" t="5080" r="5080" b="5080"/>
                <wp:wrapNone/>
                <wp:docPr id="1" name="矩形 468"/>
                <a:graphic xmlns:a="http://schemas.openxmlformats.org/drawingml/2006/main">
                  <a:graphicData uri="http://schemas.microsoft.com/office/word/2010/wordprocessingShape">
                    <wps:wsp>
                      <wps:cNvSpPr/>
                      <wps:spPr>
                        <a:xfrm>
                          <a:off x="0" y="0"/>
                          <a:ext cx="685800" cy="27432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9pt;margin-top:32.15pt;width:53.95pt;height:21.55pt;mso-wrap-style:none;v-text-anchor:middle">
                <v:fill o:detectmouseclick="t" type="solid" color2="black"/>
                <v:stroke color="white" weight="9360" joinstyle="miter" endcap="flat"/>
                <w10:wrap type="none"/>
              </v:rect>
            </w:pict>
          </mc:Fallback>
        </mc:AlternateContent>
      </w:r>
      <w:r>
        <mc:AlternateContent>
          <mc:Choice Requires="wps">
            <w:drawing>
              <wp:anchor distT="0" distB="0" distL="114935" distR="114935" simplePos="0" relativeHeight="8"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2"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3" name="Frame2"/>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6</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6</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11">
    <w:name w:val="列出段落1"/>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1">
    <w:name w:val="列出段落1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2023-01-29T07:59:00Z</dcterms:created>
  <dc:creator>Lenovo User</dc:creator>
  <dc:description/>
  <dc:language>en-US</dc:language>
  <cp:lastModifiedBy>rd</cp:lastModifiedBy>
  <cp:lastPrinted>2023-01-29T18:53:00Z</cp:lastPrinted>
  <dcterms:modified xsi:type="dcterms:W3CDTF">2023-01-30T18:22:05Z</dcterms:modified>
  <cp:revision>69</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