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keepNext w:val="true"/>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keepNext w:val="true"/>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包头市社会市面蒙汉</w:t>
      </w:r>
    </w:p>
    <w:p>
      <w:pPr>
        <w:pStyle w:val="Normal"/>
        <w:keepNext w:val="true"/>
        <w:spacing w:lineRule="exact" w:line="560"/>
        <w:jc w:val="center"/>
        <w:rPr>
          <w:rFonts w:ascii="宋体;SimSun" w:hAnsi="宋体;SimSun" w:cs="宋体;SimSun" w:hint="eastAsia"/>
          <w:sz w:val="44"/>
          <w:szCs w:val="44"/>
        </w:rPr>
      </w:pPr>
      <w:r>
        <w:rPr>
          <w:rFonts w:ascii="宋体;SimSun" w:hAnsi="宋体;SimSun" w:cs="宋体;SimSun" w:hint="eastAsia"/>
          <w:sz w:val="44"/>
          <w:szCs w:val="44"/>
        </w:rPr>
        <w:t>两种文字并用管理条例</w:t>
      </w:r>
    </w:p>
    <w:p>
      <w:pPr>
        <w:pStyle w:val="Normal"/>
        <w:keepNext w:val="true"/>
        <w:spacing w:lineRule="exact" w:line="560"/>
        <w:jc w:val="center"/>
        <w:rPr>
          <w:rFonts w:ascii="宋体;SimSun" w:hAnsi="宋体;SimSun" w:eastAsia="仿宋_GB2312" w:cs="宋体;SimSun" w:hint="eastAsia"/>
          <w:kern w:val="0"/>
          <w:sz w:val="30"/>
          <w:szCs w:val="30"/>
        </w:rPr>
      </w:pPr>
      <w:r>
        <w:rPr>
          <w:rFonts w:eastAsia="仿宋_GB2312" w:cs="宋体;SimSun" w:hint="eastAsia" w:ascii="宋体;SimSun" w:hAnsi="宋体;SimSun"/>
          <w:kern w:val="0"/>
          <w:sz w:val="30"/>
          <w:szCs w:val="30"/>
        </w:rPr>
      </w:r>
    </w:p>
    <w:p>
      <w:pPr>
        <w:pStyle w:val="Normal"/>
        <w:keepNext w:val="true"/>
        <w:spacing w:lineRule="exact" w:line="580"/>
        <w:ind w:firstLineChars="0" w:firstLine="0" w:startChars="200" w:endChars="200"/>
        <w:rPr/>
      </w:pPr>
      <w:r>
        <w:rPr>
          <w:rFonts w:ascii="楷体_GB2312" w:hAnsi="楷体_GB2312" w:cs="楷体;宋体" w:hint="eastAsia" w:eastAsia="楷体_GB2312"/>
          <w:sz w:val="32"/>
          <w:szCs w:val="32"/>
        </w:rPr>
        <w:t>（</w:t>
      </w:r>
      <w:r>
        <w:rPr>
          <w:rFonts w:eastAsia="楷体_GB2312" w:cs="楷体;宋体" w:hint="eastAsia" w:ascii="楷体_GB2312" w:hAnsi="楷体_GB2312"/>
          <w:sz w:val="32"/>
          <w:szCs w:val="32"/>
        </w:rPr>
        <w:t>2001</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12</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27</w:t>
      </w:r>
      <w:r>
        <w:rPr>
          <w:rFonts w:ascii="楷体_GB2312" w:hAnsi="楷体_GB2312" w:cs="楷体;宋体" w:hint="eastAsia" w:eastAsia="楷体_GB2312"/>
          <w:sz w:val="32"/>
          <w:szCs w:val="32"/>
        </w:rPr>
        <w:t xml:space="preserve">日包头市第十一届人民代表大会常务委员会第二十六次会议通过  </w:t>
      </w:r>
      <w:r>
        <w:rPr>
          <w:rFonts w:eastAsia="楷体_GB2312" w:cs="楷体;宋体" w:hint="eastAsia" w:ascii="楷体_GB2312" w:hAnsi="楷体_GB2312"/>
          <w:sz w:val="32"/>
          <w:szCs w:val="32"/>
        </w:rPr>
        <w:t>2002</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21</w:t>
      </w:r>
      <w:r>
        <w:rPr>
          <w:rFonts w:ascii="楷体_GB2312" w:hAnsi="楷体_GB2312" w:cs="楷体;宋体" w:hint="eastAsia" w:eastAsia="楷体_GB2312"/>
          <w:sz w:val="32"/>
          <w:szCs w:val="32"/>
        </w:rPr>
        <w:t>日内蒙古自治区第九届人民代表大会常务委员会第二十九次会议批准  根据</w:t>
      </w:r>
      <w:r>
        <w:rPr>
          <w:rFonts w:eastAsia="楷体_GB2312" w:cs="楷体;宋体" w:hint="eastAsia" w:ascii="楷体_GB2312" w:hAnsi="楷体_GB2312"/>
          <w:sz w:val="32"/>
          <w:szCs w:val="32"/>
        </w:rPr>
        <w:t>2009</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9</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24</w:t>
      </w:r>
      <w:r>
        <w:rPr>
          <w:rFonts w:ascii="楷体_GB2312" w:hAnsi="楷体_GB2312" w:cs="楷体;宋体" w:hint="eastAsia" w:eastAsia="楷体_GB2312"/>
          <w:sz w:val="32"/>
          <w:szCs w:val="32"/>
        </w:rPr>
        <w:t>日内蒙古自治区第十一届人民代表大会常务委员会第十次会议关于批准《包头市人民代表大会常务委员会关于修改</w:t>
      </w:r>
      <w:r>
        <w:rPr>
          <w:rFonts w:eastAsia="楷体_GB2312" w:cs="楷体;宋体" w:hint="eastAsia" w:ascii="楷体_GB2312" w:hAnsi="楷体_GB2312"/>
          <w:sz w:val="32"/>
          <w:szCs w:val="32"/>
        </w:rPr>
        <w:t>&lt;</w:t>
      </w:r>
      <w:r>
        <w:rPr>
          <w:rFonts w:ascii="楷体_GB2312" w:hAnsi="楷体_GB2312" w:cs="楷体;宋体" w:hint="eastAsia" w:eastAsia="楷体_GB2312"/>
          <w:sz w:val="32"/>
          <w:szCs w:val="32"/>
        </w:rPr>
        <w:t>包头市社会市面蒙汉两种文字并用管理条例</w:t>
      </w:r>
      <w:r>
        <w:rPr>
          <w:rFonts w:eastAsia="楷体_GB2312" w:cs="楷体;宋体" w:hint="eastAsia" w:ascii="楷体_GB2312" w:hAnsi="楷体_GB2312"/>
          <w:sz w:val="32"/>
          <w:szCs w:val="32"/>
        </w:rPr>
        <w:t>&gt;</w:t>
      </w:r>
      <w:r>
        <w:rPr>
          <w:rFonts w:ascii="楷体_GB2312" w:hAnsi="楷体_GB2312" w:cs="楷体;宋体" w:hint="eastAsia" w:eastAsia="楷体_GB2312"/>
          <w:sz w:val="32"/>
          <w:szCs w:val="32"/>
        </w:rPr>
        <w:t>的决定》的决议修正  根据</w:t>
      </w:r>
      <w:r>
        <w:rPr>
          <w:rFonts w:eastAsia="楷体_GB2312" w:cs="楷体;宋体" w:hint="eastAsia" w:ascii="楷体_GB2312" w:hAnsi="楷体_GB2312"/>
          <w:sz w:val="32"/>
          <w:szCs w:val="32"/>
        </w:rPr>
        <w:t>2014</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日内蒙古自治区第十二届人民代表大会常务委员会第十一次会议关于批准《包头市人民代表大会常务委员会</w:t>
      </w:r>
    </w:p>
    <w:p>
      <w:pPr>
        <w:pStyle w:val="Normal"/>
        <w:keepNext w:val="true"/>
        <w:spacing w:lineRule="exact" w:line="580"/>
        <w:ind w:firstLineChars="0" w:firstLine="0" w:startChars="200" w:endChars="200"/>
        <w:rPr/>
      </w:pPr>
      <w:r>
        <w:rPr>
          <w:rFonts w:ascii="楷体_GB2312" w:hAnsi="楷体_GB2312" w:cs="楷体;宋体" w:hint="eastAsia" w:eastAsia="楷体_GB2312"/>
          <w:sz w:val="32"/>
          <w:szCs w:val="32"/>
        </w:rPr>
        <w:t>关于修改部分地方性法规的决定》的决议修正）</w:t>
      </w:r>
    </w:p>
    <w:p>
      <w:pPr>
        <w:pStyle w:val="Normal"/>
        <w:keepNext w:val="true"/>
        <w:snapToGrid w:val="false"/>
        <w:spacing w:lineRule="exact" w:line="580"/>
        <w:ind w:firstLineChars="0" w:firstLine="0" w:startChars="200" w:endChars="200"/>
        <w:rPr>
          <w:rFonts w:ascii="楷体_GB2312" w:hAnsi="楷体_GB2312" w:eastAsia="楷体_GB2312" w:cs="楷体;宋体" w:hint="eastAsia"/>
          <w:kern w:val="0"/>
          <w:sz w:val="32"/>
          <w:szCs w:val="32"/>
        </w:rPr>
      </w:pPr>
      <w:r>
        <w:rPr>
          <w:rFonts w:eastAsia="楷体_GB2312" w:cs="楷体;宋体" w:hint="eastAsia" w:ascii="楷体_GB2312" w:hAnsi="楷体_GB2312"/>
          <w:kern w:val="0"/>
          <w:sz w:val="32"/>
          <w:szCs w:val="32"/>
        </w:rPr>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第一条</w:t>
      </w:r>
      <w:r>
        <w:rPr>
          <w:rFonts w:hint="eastAsia" w:eastAsia="仿宋_GB2312"/>
          <w:b/>
          <w:kern w:val="0"/>
          <w:sz w:val="32"/>
          <w:szCs w:val="32"/>
        </w:rPr>
        <w:t xml:space="preserve"> </w:t>
      </w:r>
      <w:r>
        <w:rPr>
          <w:rFonts w:hint="eastAsia" w:eastAsia="仿宋_GB2312"/>
          <w:kern w:val="0"/>
          <w:sz w:val="32"/>
          <w:szCs w:val="32"/>
        </w:rPr>
        <w:t xml:space="preserve"> 为了加强社会市面蒙汉两种文字并用的管理，促进社会市面蒙汉两种文字并用的规范化、标准化，根据《中华人民共和国民族区域自治法》和《内蒙古自治区蒙古语言文字工作条例》</w:t>
      </w:r>
      <w:r>
        <w:rPr>
          <w:rFonts w:hint="eastAsia" w:eastAsia="仿宋_GB2312"/>
          <w:bCs/>
          <w:kern w:val="0"/>
          <w:sz w:val="32"/>
          <w:szCs w:val="32"/>
        </w:rPr>
        <w:t>，</w:t>
      </w:r>
      <w:r>
        <w:rPr>
          <w:rFonts w:hint="eastAsia" w:eastAsia="仿宋_GB2312"/>
          <w:kern w:val="0"/>
          <w:sz w:val="32"/>
          <w:szCs w:val="32"/>
        </w:rPr>
        <w:t>结合本市实际，制定本条例。</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第二条</w:t>
      </w:r>
      <w:r>
        <w:rPr>
          <w:rFonts w:hint="eastAsia" w:eastAsia="仿宋_GB2312"/>
          <w:b/>
          <w:kern w:val="0"/>
          <w:sz w:val="32"/>
          <w:szCs w:val="32"/>
        </w:rPr>
        <w:t xml:space="preserve"> </w:t>
      </w:r>
      <w:r>
        <w:rPr>
          <w:rFonts w:hint="eastAsia" w:eastAsia="仿宋_GB2312"/>
          <w:kern w:val="0"/>
          <w:sz w:val="32"/>
          <w:szCs w:val="32"/>
        </w:rPr>
        <w:t xml:space="preserve"> 本市行政区域内的任何单位和个人都应当遵守本条例。</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第三条</w:t>
      </w:r>
      <w:r>
        <w:rPr>
          <w:rFonts w:hint="eastAsia" w:eastAsia="仿宋_GB2312"/>
          <w:b/>
          <w:kern w:val="0"/>
          <w:sz w:val="32"/>
          <w:szCs w:val="32"/>
        </w:rPr>
        <w:t xml:space="preserve"> </w:t>
      </w:r>
      <w:r>
        <w:rPr>
          <w:rFonts w:hint="eastAsia" w:eastAsia="仿宋_GB2312"/>
          <w:kern w:val="0"/>
          <w:sz w:val="32"/>
          <w:szCs w:val="32"/>
        </w:rPr>
        <w:t xml:space="preserve"> 下列社会市面用文，应当蒙汉两种文字并用：</w:t>
      </w:r>
    </w:p>
    <w:p>
      <w:pPr>
        <w:pStyle w:val="Normal"/>
        <w:keepNext w:val="true"/>
        <w:snapToGrid w:val="false"/>
        <w:spacing w:lineRule="exact" w:line="580"/>
        <w:ind w:firstLineChars="200" w:startChars="0" w:start="0" w:endChars="0" w:end="0"/>
        <w:rPr/>
      </w:pPr>
      <w:r>
        <w:rPr>
          <w:rFonts w:hint="eastAsia" w:eastAsia="仿宋_GB2312"/>
          <w:kern w:val="0"/>
          <w:sz w:val="32"/>
          <w:szCs w:val="32"/>
        </w:rPr>
        <w:t>（一） 单位名称、报刊名称、公章、文件头、牌匾、证件、奖状、锦旗，信封、信纸上印有的单位名称；</w:t>
      </w:r>
    </w:p>
    <w:p>
      <w:pPr>
        <w:pStyle w:val="Normal"/>
        <w:keepNext w:val="true"/>
        <w:snapToGrid w:val="false"/>
        <w:spacing w:lineRule="exact" w:line="580"/>
        <w:ind w:firstLineChars="200" w:startChars="0" w:start="0" w:endChars="0" w:end="0"/>
        <w:rPr>
          <w:rFonts w:eastAsia="仿宋_GB2312" w:hint="eastAsia"/>
          <w:kern w:val="0"/>
          <w:sz w:val="32"/>
          <w:szCs w:val="32"/>
          <w:u w:val="single"/>
        </w:rPr>
      </w:pPr>
      <w:r>
        <w:rPr>
          <w:rFonts w:hint="eastAsia" w:eastAsia="仿宋_GB2312"/>
          <w:kern w:val="0"/>
          <w:sz w:val="32"/>
          <w:szCs w:val="32"/>
        </w:rPr>
        <w:t>（二） 大型会议、重大活动的会标、条幅、横幅、座签；</w:t>
      </w:r>
    </w:p>
    <w:p>
      <w:pPr>
        <w:pStyle w:val="Normal"/>
        <w:keepNext w:val="true"/>
        <w:snapToGrid w:val="false"/>
        <w:spacing w:lineRule="exact" w:line="580"/>
        <w:ind w:firstLineChars="200" w:startChars="0" w:start="0" w:endChars="0" w:end="0"/>
        <w:rPr/>
      </w:pPr>
      <w:r>
        <w:rPr>
          <w:rFonts w:hint="eastAsia" w:eastAsia="仿宋_GB2312"/>
          <w:kern w:val="0"/>
          <w:sz w:val="32"/>
          <w:szCs w:val="32"/>
        </w:rPr>
        <w:t>（三） 机场名称、车站名称、交通标志，机动车辆门上的单位名称；</w:t>
      </w:r>
    </w:p>
    <w:p>
      <w:pPr>
        <w:pStyle w:val="Normal"/>
        <w:keepNext w:val="true"/>
        <w:snapToGrid w:val="false"/>
        <w:spacing w:lineRule="exact" w:line="580"/>
        <w:ind w:firstLineChars="200" w:startChars="0" w:start="0" w:endChars="0" w:end="0"/>
        <w:rPr/>
      </w:pPr>
      <w:r>
        <w:rPr>
          <w:rFonts w:hint="eastAsia" w:eastAsia="仿宋_GB2312"/>
          <w:kern w:val="0"/>
          <w:sz w:val="32"/>
          <w:szCs w:val="32"/>
        </w:rPr>
        <w:t>（四） 街道名称、路标、店牌、门牌、公共场所的设施名称、界牌；</w:t>
      </w:r>
    </w:p>
    <w:p>
      <w:pPr>
        <w:pStyle w:val="Normal"/>
        <w:keepNext w:val="true"/>
        <w:snapToGrid w:val="false"/>
        <w:spacing w:lineRule="exact" w:line="580"/>
        <w:ind w:firstLineChars="200" w:startChars="0" w:start="0" w:endChars="0" w:end="0"/>
        <w:rPr>
          <w:rFonts w:eastAsia="仿宋_GB2312" w:hint="eastAsia"/>
          <w:kern w:val="0"/>
          <w:sz w:val="32"/>
          <w:szCs w:val="32"/>
          <w:u w:val="single"/>
        </w:rPr>
      </w:pPr>
      <w:r>
        <w:rPr>
          <w:rFonts w:hint="eastAsia" w:eastAsia="仿宋_GB2312"/>
          <w:kern w:val="0"/>
          <w:sz w:val="32"/>
          <w:szCs w:val="32"/>
        </w:rPr>
        <w:t>（五） 主要街道户外广告的主体字，电子显示屏显示的文字；</w:t>
      </w:r>
    </w:p>
    <w:p>
      <w:pPr>
        <w:pStyle w:val="Normal"/>
        <w:keepNext w:val="true"/>
        <w:snapToGrid w:val="false"/>
        <w:spacing w:lineRule="exact" w:line="580"/>
        <w:ind w:firstLineChars="200" w:startChars="0" w:start="0" w:endChars="0" w:end="0"/>
        <w:rPr>
          <w:rFonts w:eastAsia="仿宋_GB2312" w:hint="eastAsia"/>
          <w:kern w:val="0"/>
          <w:sz w:val="32"/>
          <w:szCs w:val="32"/>
          <w:u w:val="single"/>
        </w:rPr>
      </w:pPr>
      <w:r>
        <w:rPr>
          <w:rFonts w:hint="eastAsia" w:eastAsia="仿宋_GB2312"/>
          <w:kern w:val="0"/>
          <w:sz w:val="32"/>
          <w:szCs w:val="32"/>
        </w:rPr>
        <w:t>（六） 行政机关和司法机关的布告、通告等；</w:t>
      </w:r>
    </w:p>
    <w:p>
      <w:pPr>
        <w:pStyle w:val="Normal"/>
        <w:keepNext w:val="true"/>
        <w:snapToGrid w:val="false"/>
        <w:spacing w:lineRule="exact" w:line="580"/>
        <w:ind w:firstLineChars="200" w:startChars="0" w:start="0" w:endChars="0" w:end="0"/>
        <w:rPr/>
      </w:pPr>
      <w:r>
        <w:rPr>
          <w:rFonts w:hint="eastAsia" w:eastAsia="仿宋_GB2312"/>
          <w:kern w:val="0"/>
          <w:sz w:val="32"/>
          <w:szCs w:val="32"/>
        </w:rPr>
        <w:t>（七） 营业执照、税务登记证；</w:t>
      </w:r>
    </w:p>
    <w:p>
      <w:pPr>
        <w:pStyle w:val="Normal"/>
        <w:keepNext w:val="true"/>
        <w:snapToGrid w:val="false"/>
        <w:spacing w:lineRule="exact" w:line="580"/>
        <w:ind w:firstLineChars="200" w:startChars="0" w:start="0" w:endChars="0" w:end="0"/>
        <w:rPr/>
      </w:pPr>
      <w:r>
        <w:rPr>
          <w:rFonts w:hint="eastAsia" w:eastAsia="仿宋_GB2312"/>
          <w:kern w:val="0"/>
          <w:sz w:val="32"/>
          <w:szCs w:val="32"/>
        </w:rPr>
        <w:t>（八） 需要公众周知的其他社会市面用文。</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第四条</w:t>
      </w:r>
      <w:r>
        <w:rPr>
          <w:rFonts w:hint="eastAsia" w:eastAsia="仿宋_GB2312"/>
          <w:kern w:val="0"/>
          <w:sz w:val="32"/>
          <w:szCs w:val="32"/>
        </w:rPr>
        <w:t xml:space="preserve">  市和旗县区人民政府民族事务行政主管部门，负责本辖区社会市面蒙汉两种文字并用工作，做好蒙汉两种文字并用的指导、管理、督促、检查工作。</w:t>
      </w:r>
    </w:p>
    <w:p>
      <w:pPr>
        <w:pStyle w:val="Normal"/>
        <w:keepNext w:val="true"/>
        <w:snapToGrid w:val="false"/>
        <w:spacing w:lineRule="exact" w:line="580"/>
        <w:ind w:firstLineChars="200" w:startChars="0" w:start="0" w:endChars="0" w:end="0"/>
        <w:rPr/>
      </w:pPr>
      <w:r>
        <w:rPr>
          <w:rFonts w:hint="eastAsia" w:eastAsia="仿宋_GB2312"/>
          <w:kern w:val="0"/>
          <w:sz w:val="32"/>
          <w:szCs w:val="32"/>
        </w:rPr>
        <w:t>公安、城乡建设、城市管理行政执法、民政、工商、邮政、交通、税务等部门应当按照各自职责范围，做好社会市面蒙汉两种文字并用的管理工作。</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第五条</w:t>
      </w:r>
      <w:r>
        <w:rPr>
          <w:rFonts w:hint="eastAsia" w:eastAsia="仿宋_GB2312"/>
          <w:b/>
          <w:kern w:val="0"/>
          <w:sz w:val="32"/>
          <w:szCs w:val="32"/>
        </w:rPr>
        <w:t xml:space="preserve"> </w:t>
      </w:r>
      <w:r>
        <w:rPr>
          <w:rFonts w:hint="eastAsia" w:eastAsia="仿宋_GB2312"/>
          <w:kern w:val="0"/>
          <w:sz w:val="32"/>
          <w:szCs w:val="32"/>
        </w:rPr>
        <w:t xml:space="preserve"> 社会市面并用的蒙汉两种文字，应当使用规范用字，并按下列规定书写、制作、挂放：</w:t>
      </w:r>
    </w:p>
    <w:p>
      <w:pPr>
        <w:pStyle w:val="Normal"/>
        <w:keepNext w:val="true"/>
        <w:snapToGrid w:val="false"/>
        <w:spacing w:lineRule="exact" w:line="580"/>
        <w:ind w:firstLineChars="200" w:startChars="0" w:start="0" w:endChars="0" w:end="0"/>
        <w:rPr/>
      </w:pPr>
      <w:r>
        <w:rPr>
          <w:rFonts w:hint="eastAsia" w:eastAsia="仿宋_GB2312"/>
          <w:kern w:val="0"/>
          <w:sz w:val="32"/>
          <w:szCs w:val="32"/>
        </w:rPr>
        <w:t>（一） 横写的，蒙古文在上、汉文在下，或者蒙古文在前、汉文在后；</w:t>
      </w:r>
    </w:p>
    <w:p>
      <w:pPr>
        <w:pStyle w:val="Normal"/>
        <w:keepNext w:val="true"/>
        <w:snapToGrid w:val="false"/>
        <w:spacing w:lineRule="exact" w:line="580"/>
        <w:ind w:firstLineChars="200" w:startChars="0" w:start="0" w:endChars="0" w:end="0"/>
        <w:rPr/>
      </w:pPr>
      <w:r>
        <w:rPr>
          <w:rFonts w:hint="eastAsia" w:eastAsia="仿宋_GB2312"/>
          <w:kern w:val="0"/>
          <w:sz w:val="32"/>
          <w:szCs w:val="32"/>
        </w:rPr>
        <w:t>（二） 竖写的，蒙古文在左、汉文在右；</w:t>
      </w:r>
    </w:p>
    <w:p>
      <w:pPr>
        <w:pStyle w:val="Normal"/>
        <w:keepNext w:val="true"/>
        <w:snapToGrid w:val="false"/>
        <w:spacing w:lineRule="exact" w:line="580"/>
        <w:ind w:firstLineChars="200" w:startChars="0" w:start="0" w:endChars="0" w:end="0"/>
        <w:rPr/>
      </w:pPr>
      <w:r>
        <w:rPr>
          <w:rFonts w:hint="eastAsia" w:eastAsia="仿宋_GB2312"/>
          <w:kern w:val="0"/>
          <w:sz w:val="32"/>
          <w:szCs w:val="32"/>
        </w:rPr>
        <w:t>（三） 环形写的，从左向右蒙古文在外环、汉文在内环，或者蒙古文在左半环、汉文在右半环；</w:t>
      </w:r>
    </w:p>
    <w:p>
      <w:pPr>
        <w:pStyle w:val="Normal"/>
        <w:keepNext w:val="true"/>
        <w:snapToGrid w:val="false"/>
        <w:spacing w:lineRule="exact" w:line="580"/>
        <w:ind w:firstLineChars="200" w:startChars="0" w:start="0" w:endChars="0" w:end="0"/>
        <w:rPr/>
      </w:pPr>
      <w:r>
        <w:rPr>
          <w:rFonts w:hint="eastAsia" w:eastAsia="仿宋_GB2312"/>
          <w:kern w:val="0"/>
          <w:sz w:val="32"/>
          <w:szCs w:val="32"/>
        </w:rPr>
        <w:t>（四） 蒙汉两种文字分别写在两块牌匾上的，蒙古文牌匾挂在左边、汉文牌匾挂在右边，或者蒙古文牌匾挂在上边、汉文牌匾挂在下边；</w:t>
      </w:r>
    </w:p>
    <w:p>
      <w:pPr>
        <w:pStyle w:val="Normal"/>
        <w:keepNext w:val="true"/>
        <w:snapToGrid w:val="false"/>
        <w:spacing w:lineRule="exact" w:line="580"/>
        <w:ind w:firstLineChars="200" w:startChars="0" w:start="0" w:endChars="0" w:end="0"/>
        <w:rPr/>
      </w:pPr>
      <w:r>
        <w:rPr>
          <w:rFonts w:hint="eastAsia" w:eastAsia="仿宋_GB2312"/>
          <w:kern w:val="0"/>
          <w:sz w:val="32"/>
          <w:szCs w:val="32"/>
        </w:rPr>
        <w:t>（五） 书写、制作蒙汉两种文字使用的原材料应当相同。</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第六条</w:t>
      </w:r>
      <w:r>
        <w:rPr>
          <w:rFonts w:hint="eastAsia" w:eastAsia="仿宋_GB2312"/>
          <w:kern w:val="0"/>
          <w:sz w:val="32"/>
          <w:szCs w:val="32"/>
        </w:rPr>
        <w:t xml:space="preserve">  书写、刻字、制作所使用的蒙汉两种文字应当符合下列要求：</w:t>
      </w:r>
    </w:p>
    <w:p>
      <w:pPr>
        <w:pStyle w:val="Normal"/>
        <w:keepNext w:val="true"/>
        <w:snapToGrid w:val="false"/>
        <w:spacing w:lineRule="exact" w:line="580"/>
        <w:ind w:firstLineChars="200" w:startChars="0" w:start="0" w:endChars="0" w:end="0"/>
        <w:rPr/>
      </w:pPr>
      <w:r>
        <w:rPr>
          <w:rFonts w:hint="eastAsia" w:eastAsia="仿宋_GB2312"/>
          <w:kern w:val="0"/>
          <w:sz w:val="32"/>
          <w:szCs w:val="32"/>
        </w:rPr>
        <w:t>（一） 蒙古文字竖笔的宽度应为汉字规格宽度的四分之一至三分之一；</w:t>
      </w:r>
    </w:p>
    <w:p>
      <w:pPr>
        <w:pStyle w:val="Normal"/>
        <w:keepNext w:val="true"/>
        <w:snapToGrid w:val="false"/>
        <w:spacing w:lineRule="exact" w:line="580"/>
        <w:ind w:firstLineChars="200" w:startChars="0" w:start="0" w:endChars="0" w:end="0"/>
        <w:rPr/>
      </w:pPr>
      <w:r>
        <w:rPr>
          <w:rFonts w:hint="eastAsia" w:eastAsia="仿宋_GB2312"/>
          <w:kern w:val="0"/>
          <w:sz w:val="32"/>
          <w:szCs w:val="32"/>
        </w:rPr>
        <w:t>（二） 蒙古文字横向排版应取上齐规则；</w:t>
      </w:r>
    </w:p>
    <w:p>
      <w:pPr>
        <w:pStyle w:val="Normal"/>
        <w:keepNext w:val="true"/>
        <w:snapToGrid w:val="false"/>
        <w:spacing w:lineRule="exact" w:line="580"/>
        <w:ind w:firstLineChars="200" w:startChars="0" w:start="0" w:endChars="0" w:end="0"/>
        <w:rPr>
          <w:rFonts w:eastAsia="仿宋_GB2312" w:hint="eastAsia"/>
          <w:kern w:val="0"/>
          <w:sz w:val="32"/>
          <w:szCs w:val="32"/>
        </w:rPr>
      </w:pPr>
      <w:r>
        <w:rPr>
          <w:rFonts w:hint="eastAsia" w:eastAsia="仿宋_GB2312"/>
          <w:kern w:val="0"/>
          <w:sz w:val="32"/>
          <w:szCs w:val="32"/>
        </w:rPr>
        <w:t xml:space="preserve">（三） </w:t>
      </w:r>
      <w:r>
        <w:rPr>
          <w:rFonts w:hint="eastAsia" w:eastAsia="仿宋_GB2312"/>
          <w:spacing w:val="-2"/>
          <w:kern w:val="0"/>
          <w:sz w:val="32"/>
          <w:szCs w:val="32"/>
        </w:rPr>
        <w:t>蒙汉两种文字所占面积相等，规格比例应当为一比一。</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第七条</w:t>
      </w:r>
      <w:r>
        <w:rPr>
          <w:rFonts w:hint="eastAsia" w:eastAsia="仿宋_GB2312"/>
          <w:bCs/>
          <w:kern w:val="0"/>
          <w:sz w:val="32"/>
          <w:szCs w:val="32"/>
        </w:rPr>
        <w:t xml:space="preserve"> </w:t>
      </w:r>
      <w:r>
        <w:rPr>
          <w:rFonts w:hint="eastAsia" w:eastAsia="仿宋_GB2312"/>
          <w:kern w:val="0"/>
          <w:sz w:val="32"/>
          <w:szCs w:val="32"/>
        </w:rPr>
        <w:t xml:space="preserve"> 社会市面并用的蒙汉两种文字，应当保持翻译准确、字迹完整、清晰。</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第八条</w:t>
      </w:r>
      <w:r>
        <w:rPr>
          <w:rFonts w:hint="eastAsia" w:eastAsia="仿宋_GB2312"/>
          <w:b/>
          <w:kern w:val="0"/>
          <w:sz w:val="32"/>
          <w:szCs w:val="32"/>
        </w:rPr>
        <w:t xml:space="preserve">  </w:t>
      </w:r>
      <w:r>
        <w:rPr>
          <w:rFonts w:hint="eastAsia" w:eastAsia="仿宋_GB2312"/>
          <w:kern w:val="0"/>
          <w:sz w:val="32"/>
          <w:szCs w:val="32"/>
        </w:rPr>
        <w:t>企业、事业单位和个体工商户从事社会市面蒙汉两种文字并用方面的翻译、书写、制作业务，应当具有相应的从业资格。</w:t>
      </w:r>
    </w:p>
    <w:p>
      <w:pPr>
        <w:pStyle w:val="Normal"/>
        <w:keepNext w:val="true"/>
        <w:snapToGrid w:val="false"/>
        <w:spacing w:lineRule="exact" w:line="580"/>
        <w:ind w:firstLineChars="200" w:startChars="0" w:start="0" w:endChars="0" w:end="0"/>
        <w:rPr/>
      </w:pPr>
      <w:r>
        <w:rPr>
          <w:rFonts w:hint="eastAsia" w:eastAsia="仿宋_GB2312"/>
          <w:kern w:val="0"/>
          <w:sz w:val="32"/>
          <w:szCs w:val="32"/>
        </w:rPr>
        <w:t>从事社会市面蒙汉两种文字并用制作业务的企业、事业单位和个体工商户，在制作社会市面用文时，应当按照本条例</w:t>
      </w:r>
      <w:r>
        <w:rPr>
          <w:rFonts w:hint="eastAsia" w:eastAsia="黑体;SimHei"/>
          <w:kern w:val="0"/>
          <w:sz w:val="32"/>
          <w:szCs w:val="32"/>
        </w:rPr>
        <w:t>第五条</w:t>
      </w:r>
      <w:r>
        <w:rPr>
          <w:rFonts w:hint="eastAsia" w:eastAsia="仿宋_GB2312"/>
          <w:kern w:val="0"/>
          <w:sz w:val="32"/>
          <w:szCs w:val="32"/>
        </w:rPr>
        <w:t>规定进行设计，保证社会市面用文的规范、完整和准确。</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第九条</w:t>
      </w:r>
      <w:r>
        <w:rPr>
          <w:rFonts w:hint="eastAsia" w:eastAsia="仿宋_GB2312"/>
          <w:kern w:val="0"/>
          <w:sz w:val="32"/>
          <w:szCs w:val="32"/>
        </w:rPr>
        <w:t xml:space="preserve">  市和旗县区人民政府应当将社会市面蒙汉两种文字并用管理工作经费纳入财政预算。</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第十条</w:t>
      </w:r>
      <w:r>
        <w:rPr>
          <w:rFonts w:hint="eastAsia" w:eastAsia="仿宋_GB2312"/>
          <w:kern w:val="0"/>
          <w:sz w:val="32"/>
          <w:szCs w:val="32"/>
        </w:rPr>
        <w:t xml:space="preserve">  民族事务行政主管部门工作人员在执行任务时，应当出示证件。</w:t>
      </w:r>
    </w:p>
    <w:p>
      <w:pPr>
        <w:pStyle w:val="Normal"/>
        <w:keepNext w:val="true"/>
        <w:snapToGrid w:val="false"/>
        <w:spacing w:lineRule="exact" w:line="580"/>
        <w:ind w:firstLineChars="200" w:startChars="0" w:start="0" w:endChars="0" w:end="0"/>
        <w:rPr>
          <w:rFonts w:eastAsia="仿宋_GB2312" w:hint="eastAsia"/>
          <w:kern w:val="0"/>
          <w:sz w:val="32"/>
          <w:szCs w:val="32"/>
        </w:rPr>
      </w:pPr>
      <w:r>
        <w:rPr>
          <w:rFonts w:hint="eastAsia" w:eastAsia="仿宋_GB2312"/>
          <w:kern w:val="0"/>
          <w:sz w:val="32"/>
          <w:szCs w:val="32"/>
        </w:rPr>
        <w:t>民族事务行政主管部门应当建立社会市面蒙汉两种文字并用投诉、举报、监督、检查制度。可以聘请精通蒙汉两种文字的人员担任社会市面蒙汉两种文字并用监督员。</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第十一条</w:t>
      </w:r>
      <w:r>
        <w:rPr>
          <w:rFonts w:hint="eastAsia" w:eastAsia="仿宋_GB2312"/>
          <w:b/>
          <w:kern w:val="0"/>
          <w:sz w:val="32"/>
          <w:szCs w:val="32"/>
        </w:rPr>
        <w:t xml:space="preserve"> </w:t>
      </w:r>
      <w:r>
        <w:rPr>
          <w:rFonts w:hint="eastAsia" w:eastAsia="仿宋_GB2312"/>
          <w:kern w:val="0"/>
          <w:sz w:val="32"/>
          <w:szCs w:val="32"/>
        </w:rPr>
        <w:t xml:space="preserve"> 违反本条</w:t>
      </w:r>
      <w:r>
        <w:rPr>
          <w:rFonts w:ascii="仿宋_GB2312" w:hAnsi="仿宋_GB2312" w:hint="eastAsia" w:eastAsia="仿宋_GB2312"/>
          <w:kern w:val="0"/>
          <w:sz w:val="32"/>
          <w:szCs w:val="32"/>
        </w:rPr>
        <w:t>例第三条规定，社会市</w:t>
      </w:r>
      <w:r>
        <w:rPr>
          <w:rFonts w:hint="eastAsia" w:eastAsia="仿宋_GB2312"/>
          <w:kern w:val="0"/>
          <w:sz w:val="32"/>
          <w:szCs w:val="32"/>
        </w:rPr>
        <w:t>面用文未使用蒙古文的，由民族事务行政主管部门责令其限期改正；逾期不改正的，处以三百元以上二千元以下罚款。</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第十二条</w:t>
      </w:r>
      <w:r>
        <w:rPr>
          <w:rFonts w:hint="eastAsia" w:eastAsia="仿宋_GB2312"/>
          <w:b/>
          <w:kern w:val="0"/>
          <w:sz w:val="32"/>
          <w:szCs w:val="32"/>
        </w:rPr>
        <w:t xml:space="preserve">  </w:t>
      </w:r>
      <w:r>
        <w:rPr>
          <w:rFonts w:hint="eastAsia" w:eastAsia="仿宋_GB2312"/>
          <w:kern w:val="0"/>
          <w:sz w:val="32"/>
          <w:szCs w:val="32"/>
        </w:rPr>
        <w:t>违反本条例第五条、第六条、第七条规定，社会市面并用的蒙汉两种文字用字、书写、制作、挂放不规范，或者未按照规定字号、规格和要求书写、刻字、制作社会市面蒙汉两种文字，或者社会市面并用的蒙汉两种文字翻译不准确、字迹不完整、不清晰的，由民族事务行政主管部门责令其限期改正；逾期不改正的，处以五百元以上一千元以下罚款。</w:t>
      </w:r>
    </w:p>
    <w:p>
      <w:pPr>
        <w:pStyle w:val="Normal"/>
        <w:keepNext w:val="true"/>
        <w:snapToGrid w:val="false"/>
        <w:spacing w:lineRule="exact" w:line="580"/>
        <w:ind w:firstLineChars="200" w:startChars="0" w:start="0" w:endChars="0" w:end="0"/>
        <w:rPr>
          <w:rFonts w:eastAsia="仿宋_GB2312" w:hint="eastAsia"/>
          <w:kern w:val="0"/>
          <w:sz w:val="32"/>
          <w:szCs w:val="32"/>
        </w:rPr>
      </w:pPr>
      <w:r>
        <w:rPr>
          <w:rFonts w:hint="eastAsia" w:eastAsia="黑体;SimHei"/>
          <w:b/>
          <w:kern w:val="0"/>
          <w:sz w:val="32"/>
          <w:szCs w:val="32"/>
        </w:rPr>
        <w:t>第十三条</w:t>
      </w:r>
      <w:r>
        <w:rPr>
          <w:rFonts w:hint="eastAsia" w:eastAsia="仿宋_GB2312"/>
          <w:kern w:val="0"/>
          <w:sz w:val="32"/>
          <w:szCs w:val="32"/>
        </w:rPr>
        <w:t xml:space="preserve">  违反本条例第八条规定，未按规定设计蒙汉文字的，由民族事务行政主管部门责令限期改正；逾期未改正的，处二千元以上五千元以下的罚款。</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第十四条</w:t>
      </w:r>
      <w:r>
        <w:rPr>
          <w:rFonts w:hint="eastAsia" w:eastAsia="仿宋_GB2312"/>
          <w:b/>
          <w:kern w:val="0"/>
          <w:sz w:val="32"/>
          <w:szCs w:val="32"/>
        </w:rPr>
        <w:t xml:space="preserve">  </w:t>
      </w:r>
      <w:r>
        <w:rPr>
          <w:rFonts w:hint="eastAsia" w:eastAsia="仿宋_GB2312"/>
          <w:kern w:val="0"/>
          <w:sz w:val="32"/>
          <w:szCs w:val="32"/>
        </w:rPr>
        <w:t>社会市面蒙汉两种文字并用的行政主管部门工作人员，玩忽职守，滥用职权，徇私舞弊的，由其所在单位或者上级主管部门依法给予行政处分；构成犯罪的，依法追究刑事责任。</w:t>
      </w:r>
    </w:p>
    <w:p>
      <w:pPr>
        <w:pStyle w:val="Normal"/>
        <w:keepNext w:val="true"/>
        <w:snapToGrid w:val="false"/>
        <w:spacing w:lineRule="exact" w:line="580"/>
        <w:ind w:firstLineChars="200" w:startChars="0" w:start="0" w:endChars="0" w:end="0"/>
        <w:rPr/>
      </w:pPr>
      <w:r>
        <w:rPr>
          <w:rFonts w:hint="eastAsia" w:eastAsia="黑体;SimHei"/>
          <w:b/>
          <w:kern w:val="0"/>
          <w:sz w:val="32"/>
          <w:szCs w:val="32"/>
        </w:rPr>
        <w:t>第十五条</w:t>
      </w:r>
      <w:r>
        <w:rPr>
          <w:rFonts w:hint="eastAsia" w:eastAsia="仿宋_GB2312"/>
          <w:b/>
          <w:kern w:val="0"/>
          <w:sz w:val="32"/>
          <w:szCs w:val="32"/>
        </w:rPr>
        <w:t xml:space="preserve"> </w:t>
      </w:r>
      <w:r>
        <w:rPr>
          <w:rFonts w:hint="eastAsia" w:eastAsia="仿宋_GB2312"/>
          <w:kern w:val="0"/>
          <w:sz w:val="32"/>
          <w:szCs w:val="32"/>
        </w:rPr>
        <w:t xml:space="preserve"> 本条例自</w:t>
      </w:r>
      <w:r>
        <w:rPr>
          <w:rFonts w:eastAsia="仿宋_GB2312" w:hint="eastAsia"/>
          <w:kern w:val="0"/>
          <w:sz w:val="32"/>
          <w:szCs w:val="32"/>
        </w:rPr>
        <w:t>2002</w:t>
      </w:r>
      <w:r>
        <w:rPr>
          <w:rFonts w:hint="eastAsia" w:eastAsia="仿宋_GB2312"/>
          <w:kern w:val="0"/>
          <w:sz w:val="32"/>
          <w:szCs w:val="32"/>
        </w:rPr>
        <w:t>年</w:t>
      </w:r>
      <w:r>
        <w:rPr>
          <w:rFonts w:eastAsia="仿宋_GB2312" w:hint="eastAsia"/>
          <w:kern w:val="0"/>
          <w:sz w:val="32"/>
          <w:szCs w:val="32"/>
        </w:rPr>
        <w:t>7</w:t>
      </w:r>
      <w:r>
        <w:rPr>
          <w:rFonts w:hint="eastAsia" w:eastAsia="仿宋_GB2312"/>
          <w:kern w:val="0"/>
          <w:sz w:val="32"/>
          <w:szCs w:val="32"/>
        </w:rPr>
        <w:t>月</w:t>
      </w:r>
      <w:r>
        <w:rPr>
          <w:rFonts w:eastAsia="仿宋_GB2312" w:hint="eastAsia"/>
          <w:kern w:val="0"/>
          <w:sz w:val="32"/>
          <w:szCs w:val="32"/>
        </w:rPr>
        <w:t>1</w:t>
      </w:r>
      <w:r>
        <w:rPr>
          <w:rFonts w:hint="eastAsia" w:eastAsia="仿宋_GB2312"/>
          <w:kern w:val="0"/>
          <w:sz w:val="32"/>
          <w:szCs w:val="32"/>
        </w:rPr>
        <w:t>日起施行。</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szCs w:val="24"/>
    </w:rPr>
  </w:style>
  <w:style w:type="paragraph" w:styleId="Style15">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2014-09-04T09:02:00Z</dcterms:created>
  <dc:creator>微软中国</dc:creator>
  <dc:description/>
  <cp:keywords/>
  <dc:language>en-US</dc:language>
  <cp:lastModifiedBy>Administrator</cp:lastModifiedBy>
  <cp:lastPrinted>2013-04-01T09:33:00Z</cp:lastPrinted>
  <dcterms:modified xsi:type="dcterms:W3CDTF">2017-03-23T10:39:00Z</dcterms:modified>
  <cp:revision>5</cp:revision>
  <dc:subject/>
  <dc:title>包头市社会市面蒙汉</dc:title>
</cp:coreProperties>
</file>