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宋体;SimSun" w:hAnsi="宋体;SimSun" w:cs="宋体;SimSun" w:hint="eastAsia"/>
          <w:b/>
          <w:sz w:val="44"/>
          <w:szCs w:val="44"/>
        </w:rPr>
      </w:pPr>
      <w:r>
        <w:rPr>
          <w:rFonts w:cs="宋体;SimSun" w:hint="eastAsia" w:ascii="宋体;SimSun" w:hAnsi="宋体;SimSun"/>
          <w:b/>
          <w:sz w:val="44"/>
          <w:szCs w:val="44"/>
        </w:rPr>
      </w:r>
    </w:p>
    <w:p>
      <w:pPr>
        <w:pStyle w:val="Normal"/>
        <w:spacing w:lineRule="exact" w:line="580"/>
        <w:jc w:val="center"/>
        <w:rPr>
          <w:rFonts w:ascii="宋体;SimSun" w:hAnsi="宋体;SimSun" w:cs="宋体;SimSun" w:hint="eastAsia"/>
          <w:b/>
          <w:sz w:val="44"/>
          <w:szCs w:val="44"/>
        </w:rPr>
      </w:pPr>
      <w:r>
        <w:rPr>
          <w:rFonts w:cs="宋体;SimSun" w:hint="eastAsia" w:ascii="宋体;SimSun" w:hAnsi="宋体;SimSun"/>
          <w:b/>
          <w:sz w:val="44"/>
          <w:szCs w:val="44"/>
        </w:rPr>
      </w:r>
    </w:p>
    <w:p>
      <w:pPr>
        <w:pStyle w:val="Normal"/>
        <w:spacing w:lineRule="exact" w:line="580"/>
        <w:jc w:val="center"/>
        <w:rPr>
          <w:rFonts w:ascii="宋体;SimSun" w:hAnsi="宋体;SimSun" w:cs="宋体;SimSun" w:hint="eastAsia"/>
          <w:b/>
          <w:sz w:val="44"/>
          <w:szCs w:val="44"/>
        </w:rPr>
      </w:pPr>
      <w:r>
        <w:rPr>
          <w:rFonts w:ascii="宋体;SimSun" w:hAnsi="宋体;SimSun" w:cs="宋体;SimSun" w:hint="eastAsia"/>
          <w:b/>
          <w:sz w:val="44"/>
          <w:szCs w:val="44"/>
        </w:rPr>
        <w:t>内蒙古自治区耕地保养条例</w:t>
      </w:r>
    </w:p>
    <w:p>
      <w:pPr>
        <w:pStyle w:val="Normal"/>
        <w:snapToGrid w:val="false"/>
        <w:spacing w:lineRule="exact" w:line="580"/>
        <w:ind w:firstLineChars="200" w:startChars="0" w:start="0" w:endChars="0" w:end="0"/>
        <w:rPr>
          <w:rFonts w:ascii="仿宋_GB2312" w:hAnsi="仿宋_GB2312" w:eastAsia="仿宋_GB2312" w:cs="宋体;SimSun" w:hint="eastAsia"/>
          <w:b/>
          <w:sz w:val="32"/>
          <w:szCs w:val="32"/>
        </w:rPr>
      </w:pPr>
      <w:r>
        <w:rPr>
          <w:rFonts w:eastAsia="仿宋_GB2312" w:cs="宋体;SimSun" w:hint="eastAsia" w:ascii="仿宋_GB2312" w:hAnsi="仿宋_GB2312"/>
          <w:b/>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1998</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日内蒙古自治区第九届人民代表大会常务委员会第五次会议通过）</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耕地使用和保护</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耕地培肥改良</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耕地保养的保障措施</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罚则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附则</w:t>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第一章  总则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为保养耕地，改良土壤，提高地力，保证农业可持续发展，根据《中华人民共和国农业法》、《中华人民共和国土地管理法》和《基本农田保护条例》等法律、法规，结合自治区实际，制定本条例。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本条例所称耕地保养，是指耕地质量的保护和对耕地土壤的培肥改良。</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耕地使用要坚持用地和养地相结合，做到养分的投入和消耗平衡有余，禁止掠夺性耕作，保护和提高地力。</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第三条</w:t>
      </w:r>
      <w:r>
        <w:rPr>
          <w:rFonts w:ascii="仿宋_GB2312" w:hAnsi="仿宋_GB2312" w:hint="eastAsia" w:eastAsia="仿宋_GB2312"/>
          <w:sz w:val="32"/>
          <w:szCs w:val="32"/>
        </w:rPr>
        <w:t xml:space="preserve">  各级人民政府应当加强对本行政区域内耕地保养工作的领导，将耕地保养纳入国民经济和社会发展计划，确定耕地保养的目标和任务，制定有利于耕地保养的政策和措施，鼓励和支持利用各种途径和方式保养耕地。</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旗县级以上人民政府农业行政主管部门负责本行政区域内的耕地保养工作。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旗县级以上人民政府农业行政主管部门所属的土壤肥料管理机构或有关机构，负责耕地保养的指导和实施工作。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苏木乡（镇）人民政府负责本行政区域内的耕地保养管理工作。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第二章  耕地使用和保护</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第五条</w:t>
      </w:r>
      <w:r>
        <w:rPr>
          <w:rFonts w:ascii="仿宋_GB2312" w:hAnsi="仿宋_GB2312" w:hint="eastAsia" w:eastAsia="仿宋_GB2312"/>
          <w:sz w:val="32"/>
          <w:szCs w:val="32"/>
        </w:rPr>
        <w:t xml:space="preserve">  耕地使用者应当根据各类土壤特点，因地制宜地合理种植和施肥，保持和提高土壤的肥力。</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耕地使用者在农作物收获后要及时耕翻、耙耱、磙地，每三年至少深翻或者深松一次，实行合理的轮作倒茬和休闲制度，以利于耕地蓄水保墒。</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塑料地膜使用后，耕地使用者要及时回收和处理，防止土壤污染。有关部门应积极推广塑料地膜回收和再生利用技术。</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可作为耕地肥料的城市垃圾、污泥污水必须按照国家有关规定进行无害化处理，达到国家规定的标准后，方可使用。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第八条</w:t>
      </w:r>
      <w:r>
        <w:rPr>
          <w:rFonts w:ascii="仿宋_GB2312" w:hAnsi="仿宋_GB2312" w:hint="eastAsia" w:eastAsia="仿宋_GB2312"/>
          <w:sz w:val="32"/>
          <w:szCs w:val="32"/>
        </w:rPr>
        <w:t xml:space="preserve">  生产新型肥料、土壤调理剂、植物生长调节剂和复混肥料的，应当按照国家有关规定进行检验登记。未经检验登记，不得生产、销售和推广使用。</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第九条</w:t>
      </w:r>
      <w:r>
        <w:rPr>
          <w:rFonts w:ascii="仿宋_GB2312" w:hAnsi="仿宋_GB2312" w:hint="eastAsia" w:eastAsia="仿宋_GB2312"/>
          <w:sz w:val="32"/>
          <w:szCs w:val="32"/>
        </w:rPr>
        <w:t xml:space="preserve">  各级农业技术推广机构要推广使用安全、高效、低毒、低残留农药，并对农药使用情况进行监测。</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第十条</w:t>
      </w:r>
      <w:r>
        <w:rPr>
          <w:rFonts w:ascii="仿宋_GB2312" w:hAnsi="仿宋_GB2312" w:hint="eastAsia" w:eastAsia="仿宋_GB2312"/>
          <w:sz w:val="32"/>
          <w:szCs w:val="32"/>
        </w:rPr>
        <w:t xml:space="preserve">  各级人民政府应当组织耕地使用者建设农田防护林体系。风蚀沙化严重地区，森林覆盖率应当达到２０％以上，并在风口地段营造乔灌结合的防护林带，防止土壤风蚀沙化。</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第十一条</w:t>
      </w:r>
      <w:r>
        <w:rPr>
          <w:rFonts w:ascii="仿宋_GB2312" w:hAnsi="仿宋_GB2312" w:hint="eastAsia" w:eastAsia="仿宋_GB2312"/>
          <w:sz w:val="32"/>
          <w:szCs w:val="32"/>
        </w:rPr>
        <w:t xml:space="preserve">  ３</w:t>
      </w:r>
      <w:r>
        <w:rPr>
          <w:rFonts w:eastAsia="仿宋_GB2312" w:hint="eastAsia" w:ascii="仿宋_GB2312" w:hAnsi="仿宋_GB2312"/>
          <w:sz w:val="32"/>
          <w:szCs w:val="32"/>
        </w:rPr>
        <w:t>°</w:t>
      </w:r>
      <w:r>
        <w:rPr>
          <w:rFonts w:ascii="仿宋_GB2312" w:hAnsi="仿宋_GB2312" w:hint="eastAsia" w:eastAsia="仿宋_GB2312"/>
          <w:sz w:val="32"/>
          <w:szCs w:val="32"/>
        </w:rPr>
        <w:t>－１５</w:t>
      </w:r>
      <w:r>
        <w:rPr>
          <w:rFonts w:eastAsia="仿宋_GB2312" w:hint="eastAsia" w:ascii="仿宋_GB2312" w:hAnsi="仿宋_GB2312"/>
          <w:sz w:val="32"/>
          <w:szCs w:val="32"/>
        </w:rPr>
        <w:t>°</w:t>
      </w:r>
      <w:r>
        <w:rPr>
          <w:rFonts w:ascii="仿宋_GB2312" w:hAnsi="仿宋_GB2312" w:hint="eastAsia" w:eastAsia="仿宋_GB2312"/>
          <w:sz w:val="32"/>
          <w:szCs w:val="32"/>
        </w:rPr>
        <w:t>的坡耕地应当采取等高种植、筑埂打堰、定向耕翻和建设水平梯田的方法，防止水土及养分的流失。</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第十二条</w:t>
      </w:r>
      <w:r>
        <w:rPr>
          <w:rFonts w:ascii="仿宋_GB2312" w:hAnsi="仿宋_GB2312" w:hint="eastAsia" w:eastAsia="仿宋_GB2312"/>
          <w:sz w:val="32"/>
          <w:szCs w:val="32"/>
        </w:rPr>
        <w:t xml:space="preserve">  旗县级以上人民政府应当组织农业和水利行政主管部门确定本行政区域内水浇地的合理灌溉定额，积极推广喷灌等节水灌溉技术，完善灌排设施，改进灌溉制度，防止土壤盐渍化。对已盐渍化的土壤要采取相应的措施进行改良。灌溉水质要符合国家规定的标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耕地使用者应当采取平整土地、修渠筑堰等措施，提高灌溉质量。</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第三章  耕地培肥改良</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第十三条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在各级土壤肥料管理机构的指导下，耕地使用者要按照有机肥与无机肥结合使用的原则培肥改良土壤。基本农田施用农家肥的数量和质量应当达到自治区农业行政主管部门规定的标准。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第十四条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耕地使用者应当按照规定进行厕所、棚圈、积肥坑、灰仓等积肥设施建设，提高农家肥积制数量和质量。</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城市环卫等部门要支持城肥还田工作，为耕地使用者利用城肥创造条件。</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第十五条</w:t>
      </w:r>
      <w:r>
        <w:rPr>
          <w:rFonts w:ascii="仿宋_GB2312" w:hAnsi="仿宋_GB2312" w:hint="eastAsia" w:eastAsia="仿宋_GB2312"/>
          <w:sz w:val="32"/>
          <w:szCs w:val="32"/>
        </w:rPr>
        <w:t xml:space="preserve">  耕地使用者应当通过秸秆过腹还田、粉碎还田或者沤制堆肥等方法，使秸秆还田量逐步达到６０％以上。在田间焚烧秸秆必须遵守国家的有关规定。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耕地使用者要根据土壤状况，采取间种、混种、套种和复种等方式种植绿肥。</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各级土壤肥料管理机构要积极推广测土配方施肥和化肥深施等技术，科学确定氮、磷、钾施肥比例，有针对性地使用微肥，实行因土施肥，提高化肥利用率，逐步做到平衡施肥。</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第十八条</w:t>
      </w:r>
      <w:r>
        <w:rPr>
          <w:rFonts w:ascii="仿宋_GB2312" w:hAnsi="仿宋_GB2312" w:hint="eastAsia" w:eastAsia="仿宋_GB2312"/>
          <w:sz w:val="32"/>
          <w:szCs w:val="32"/>
        </w:rPr>
        <w:t xml:space="preserve">  旗县级以上人民政府农业行政主管部门应当制定本行政区域内中低产田改良规划方案，报同级人民政府批准后组织实施。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土壤肥料管理机构要按照中低产田的不同类型进行勘测设计，指导耕地使用者采取相应措施进行中低产田改良。</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中低产田改良以农民投资投劳为主，各级人民政府应当从征地造地费中安排５０％的经费用于中低产田改良。</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第四章  耕地保养的保障措施</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第十九条</w:t>
      </w:r>
      <w:r>
        <w:rPr>
          <w:rFonts w:ascii="仿宋_GB2312" w:hAnsi="仿宋_GB2312" w:hint="eastAsia" w:eastAsia="仿宋_GB2312"/>
          <w:sz w:val="32"/>
          <w:szCs w:val="32"/>
        </w:rPr>
        <w:t xml:space="preserve">  耕地保养以农民投资投劳为主。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旗县级以上人民政府应当从农业投入资金中安排一定的耕地保养经费，逐年增加对耕地保养的投入。</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第二十条</w:t>
      </w:r>
      <w:r>
        <w:rPr>
          <w:rFonts w:ascii="仿宋_GB2312" w:hAnsi="仿宋_GB2312" w:hint="eastAsia" w:eastAsia="仿宋_GB2312"/>
          <w:sz w:val="32"/>
          <w:szCs w:val="32"/>
        </w:rPr>
        <w:t xml:space="preserve">  各级人民政府及其农业行政主管部门要加强土壤肥料服务体系建设，为耕地使用者提供服务。</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第二十一条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各级土壤肥料管理机构应当建立耕地肥力与施肥效益长期定位监测网点，配备必要的仪器设施，定期定点对耕地养分状况进行调查和监测，定期向本级人民政府提出耕地肥力状况报告以及相应的肥力保护措施，并负责组织实施。</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第二十二条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旗县级人民政府要根据自治区有关规定，制定耕地地力分等定级标准。农业行政主管部门会同土地管理部门根据耕地分等定级标准，建立耕地等级档案。</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第二十三条</w:t>
      </w:r>
      <w:r>
        <w:rPr>
          <w:rFonts w:ascii="仿宋_GB2312" w:hAnsi="仿宋_GB2312" w:hint="eastAsia" w:eastAsia="仿宋_GB2312"/>
          <w:sz w:val="32"/>
          <w:szCs w:val="32"/>
        </w:rPr>
        <w:t xml:space="preserve">  耕地保养要与耕地承包相衔接配套，在耕地承包中应当明确耕地地力等级和保养要求以及保养耕地的义务和责任。</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第五章  罚  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第二十四条</w:t>
      </w:r>
      <w:r>
        <w:rPr>
          <w:rFonts w:ascii="仿宋_GB2312" w:hAnsi="仿宋_GB2312" w:hint="eastAsia" w:eastAsia="仿宋_GB2312"/>
          <w:sz w:val="32"/>
          <w:szCs w:val="32"/>
        </w:rPr>
        <w:t xml:space="preserve">  耕地使用者不按规定用地养地，造成耕地肥力下降的，由农业生产经营组织责令其限期按规定养地；情节严重者，依照《内蒙古自治区农牧业承包合同条例》的规定承担相应的责任。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对组织和管理耕地保养工作不力，造成严重损失的单位，由农业行政主管部门给予警告，直接责任人由有关部门给予行政处分。</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第二十五条</w:t>
      </w:r>
      <w:r>
        <w:rPr>
          <w:rFonts w:ascii="仿宋_GB2312" w:hAnsi="仿宋_GB2312" w:hint="eastAsia" w:eastAsia="仿宋_GB2312"/>
          <w:sz w:val="32"/>
          <w:szCs w:val="32"/>
        </w:rPr>
        <w:t xml:space="preserve">  违反本条例第七条规定，塑料地膜使用后不及时回收的，依照《内蒙古自治区农业环境保护条例》的规定处罚。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第二十六条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违反本条例第八条规定，生产、销售假冒伪劣肥料药剂的，依照《中华人民共和国农业法》的规定处罚。</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第二十七条</w:t>
      </w:r>
      <w:r>
        <w:rPr>
          <w:rFonts w:ascii="仿宋_GB2312" w:hAnsi="仿宋_GB2312" w:hint="eastAsia" w:eastAsia="仿宋_GB2312"/>
          <w:b/>
          <w:sz w:val="32"/>
          <w:szCs w:val="32"/>
        </w:rPr>
        <w:t xml:space="preserve"> </w:t>
      </w:r>
      <w:r>
        <w:rPr>
          <w:rFonts w:ascii="仿宋_GB2312" w:hAnsi="仿宋_GB2312" w:hint="eastAsia" w:eastAsia="仿宋_GB2312"/>
          <w:sz w:val="32"/>
          <w:szCs w:val="32"/>
        </w:rPr>
        <w:t xml:space="preserve"> 当事人对行政处罚不服的，可以依法申请行政复议或者向人民法院提起诉讼。逾期不申请行政复议，不提起诉讼，又不履行行政处罚决定的，由作出行政处罚决定的机关申请人民法院强制执行。</w:t>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第二十八条</w:t>
      </w:r>
      <w:r>
        <w:rPr>
          <w:rFonts w:ascii="仿宋_GB2312" w:hAnsi="仿宋_GB2312" w:hint="eastAsia" w:eastAsia="仿宋_GB2312"/>
          <w:sz w:val="32"/>
          <w:szCs w:val="32"/>
        </w:rPr>
        <w:t xml:space="preserve">  农业行政主管部门及土壤肥料管理机构的工作人员违反本条例规定，玩忽职守、滥用职权、徇私舞弊的，给予行政处分；构成犯罪的，依法追究刑事责任。</w:t>
      </w:r>
    </w:p>
    <w:p>
      <w:pPr>
        <w:pStyle w:val="Normal"/>
        <w:snapToGrid w:val="false"/>
        <w:spacing w:lineRule="exact" w:line="580"/>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jc w:val="center"/>
        <w:rPr>
          <w:rFonts w:ascii="仿宋_GB2312" w:hAnsi="仿宋_GB2312" w:eastAsia="黑体;SimHei" w:hint="eastAsia"/>
          <w:b/>
          <w:sz w:val="32"/>
          <w:szCs w:val="32"/>
        </w:rPr>
      </w:pPr>
      <w:r>
        <w:rPr>
          <w:rFonts w:ascii="仿宋_GB2312" w:hAnsi="仿宋_GB2312" w:hint="eastAsia" w:eastAsia="黑体;SimHei"/>
          <w:b/>
          <w:sz w:val="32"/>
          <w:szCs w:val="32"/>
        </w:rPr>
        <w:t>第六章  附则</w:t>
      </w:r>
    </w:p>
    <w:p>
      <w:pPr>
        <w:pStyle w:val="Normal"/>
        <w:snapToGrid w:val="false"/>
        <w:spacing w:lineRule="exact" w:line="580"/>
        <w:jc w:val="center"/>
        <w:rPr>
          <w:rFonts w:ascii="仿宋_GB2312" w:hAnsi="仿宋_GB2312" w:eastAsia="黑体;SimHei" w:hint="eastAsia"/>
          <w:b/>
          <w:sz w:val="32"/>
          <w:szCs w:val="32"/>
        </w:rPr>
      </w:pPr>
      <w:r>
        <w:rPr>
          <w:rFonts w:eastAsia="黑体;SimHei" w:hint="eastAsia" w:ascii="仿宋_GB2312" w:hAnsi="仿宋_GB2312"/>
          <w:b/>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b/>
          <w:sz w:val="32"/>
          <w:szCs w:val="32"/>
        </w:rPr>
        <w:t>第二十九条</w:t>
      </w:r>
      <w:r>
        <w:rPr>
          <w:rFonts w:ascii="仿宋_GB2312" w:hAnsi="仿宋_GB2312" w:hint="eastAsia" w:eastAsia="仿宋_GB2312"/>
          <w:sz w:val="32"/>
          <w:szCs w:val="32"/>
        </w:rPr>
        <w:t xml:space="preserve">  本条例自公布之日起施行。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7</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428.7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7</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2016-08-09T15:25:00Z</dcterms:created>
  <dc:creator>X</dc:creator>
  <dc:description/>
  <cp:keywords/>
  <dc:language>en-US</dc:language>
  <cp:lastModifiedBy>微软中国</cp:lastModifiedBy>
  <dcterms:modified xsi:type="dcterms:W3CDTF">2017-03-22T22:05:00Z</dcterms:modified>
  <cp:revision>6</cp:revision>
  <dc:subject/>
  <dc:title>内蒙古自治区耕地保养条例</dc:title>
</cp:coreProperties>
</file>