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hint="eastAsia"/>
          <w:b/>
        </w:rPr>
      </w:pPr>
      <w:r>
        <w:rPr>
          <w:rFonts w:hint="eastAsia"/>
          <w:b/>
        </w:rPr>
      </w:r>
    </w:p>
    <w:p>
      <w:pPr>
        <w:pStyle w:val="Normal"/>
        <w:spacing w:lineRule="exact" w:line="58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700"/>
        <w:ind w:hangingChars="595" w:startChars="7.00000000000003" w:endChars="0" w:end="0"/>
        <w:jc w:val="center"/>
        <w:rPr>
          <w:rFonts w:ascii="宋体;SimSun" w:hAnsi="宋体;SimSun" w:cs="宋体;SimSun"/>
          <w:b/>
          <w:spacing w:val="-10"/>
          <w:sz w:val="44"/>
          <w:szCs w:val="44"/>
        </w:rPr>
      </w:pPr>
      <w:r>
        <w:rPr>
          <w:rFonts w:ascii="宋体;SimSun" w:hAnsi="宋体;SimSun" w:cs="宋体;SimSun" w:hint="eastAsia"/>
          <w:b/>
          <w:spacing w:val="-10"/>
          <w:sz w:val="44"/>
          <w:szCs w:val="44"/>
        </w:rPr>
        <w:t>包头市禁牧休牧条例</w:t>
      </w:r>
    </w:p>
    <w:p>
      <w:pPr>
        <w:pStyle w:val="Normal"/>
        <w:spacing w:lineRule="exact" w:line="580" w:before="312" w:after="0"/>
        <w:ind w:firstLineChars="0" w:firstLine="0" w:startChars="200" w:endChars="200"/>
        <w:rPr>
          <w:rFonts w:ascii="楷体_GB2312" w:hAnsi="楷体_GB2312" w:eastAsia="楷体_GB2312" w:hint="eastAsia"/>
          <w:b/>
          <w:bCs/>
          <w:kern w:val="0"/>
          <w:sz w:val="32"/>
          <w:szCs w:val="30"/>
        </w:rPr>
      </w:pPr>
      <w:r>
        <w:rPr>
          <w:rFonts w:ascii="楷体_GB2312" w:hAnsi="楷体_GB2312" w:cs="宋体;SimSun" w:hint="eastAsia" w:eastAsia="楷体_GB2312"/>
          <w:b/>
          <w:bCs/>
          <w:kern w:val="0"/>
          <w:sz w:val="32"/>
          <w:szCs w:val="30"/>
        </w:rPr>
        <w:t>（</w:t>
      </w:r>
      <w:r>
        <w:rPr>
          <w:rFonts w:eastAsia="楷体_GB2312" w:hint="eastAsia" w:ascii="楷体_GB2312" w:hAnsi="楷体_GB2312"/>
          <w:b/>
          <w:bCs/>
          <w:kern w:val="0"/>
          <w:sz w:val="32"/>
          <w:szCs w:val="30"/>
        </w:rPr>
        <w:t>2019</w:t>
      </w:r>
      <w:r>
        <w:rPr>
          <w:rFonts w:ascii="楷体_GB2312" w:hAnsi="楷体_GB2312" w:cs="宋体;SimSun" w:hint="eastAsia" w:eastAsia="楷体_GB2312"/>
          <w:b/>
          <w:bCs/>
          <w:kern w:val="0"/>
          <w:sz w:val="32"/>
          <w:szCs w:val="30"/>
        </w:rPr>
        <w:t>年</w:t>
      </w:r>
      <w:r>
        <w:rPr>
          <w:rFonts w:eastAsia="楷体_GB2312" w:hint="eastAsia" w:ascii="楷体_GB2312" w:hAnsi="楷体_GB2312"/>
          <w:b/>
          <w:bCs/>
          <w:kern w:val="0"/>
          <w:sz w:val="32"/>
          <w:szCs w:val="30"/>
        </w:rPr>
        <w:t>4</w:t>
      </w:r>
      <w:r>
        <w:rPr>
          <w:rFonts w:ascii="楷体_GB2312" w:hAnsi="楷体_GB2312" w:cs="宋体;SimSun" w:hint="eastAsia" w:eastAsia="楷体_GB2312"/>
          <w:b/>
          <w:bCs/>
          <w:kern w:val="0"/>
          <w:sz w:val="32"/>
          <w:szCs w:val="30"/>
        </w:rPr>
        <w:t>月</w:t>
      </w:r>
      <w:r>
        <w:rPr>
          <w:rFonts w:eastAsia="楷体_GB2312" w:hint="eastAsia" w:ascii="楷体_GB2312" w:hAnsi="楷体_GB2312"/>
          <w:b/>
          <w:bCs/>
          <w:kern w:val="0"/>
          <w:sz w:val="32"/>
          <w:szCs w:val="30"/>
        </w:rPr>
        <w:t>23</w:t>
      </w:r>
      <w:r>
        <w:rPr>
          <w:rFonts w:ascii="楷体_GB2312" w:hAnsi="楷体_GB2312" w:cs="宋体;SimSun" w:hint="eastAsia" w:eastAsia="楷体_GB2312"/>
          <w:b/>
          <w:bCs/>
          <w:kern w:val="0"/>
          <w:sz w:val="32"/>
          <w:szCs w:val="30"/>
        </w:rPr>
        <w:t xml:space="preserve">日包头市第十五届人民代表大会常务委员会第十一次会议通过  </w:t>
      </w:r>
      <w:r>
        <w:rPr>
          <w:rFonts w:eastAsia="楷体_GB2312" w:cs="宋体;SimSun" w:hint="eastAsia" w:ascii="楷体_GB2312" w:hAnsi="楷体_GB2312"/>
          <w:b/>
          <w:bCs/>
          <w:kern w:val="0"/>
          <w:sz w:val="32"/>
          <w:szCs w:val="30"/>
        </w:rPr>
        <w:t>2019</w:t>
      </w:r>
      <w:r>
        <w:rPr>
          <w:rFonts w:ascii="楷体_GB2312" w:hAnsi="楷体_GB2312" w:cs="宋体;SimSun" w:hint="eastAsia" w:eastAsia="楷体_GB2312"/>
          <w:b/>
          <w:bCs/>
          <w:kern w:val="0"/>
          <w:sz w:val="32"/>
          <w:szCs w:val="30"/>
        </w:rPr>
        <w:t>年</w:t>
      </w:r>
      <w:r>
        <w:rPr>
          <w:rFonts w:eastAsia="楷体_GB2312" w:cs="宋体;SimSun" w:hint="eastAsia" w:ascii="楷体_GB2312" w:hAnsi="楷体_GB2312"/>
          <w:b/>
          <w:bCs/>
          <w:kern w:val="0"/>
          <w:sz w:val="32"/>
          <w:szCs w:val="30"/>
        </w:rPr>
        <w:t>8</w:t>
      </w:r>
      <w:r>
        <w:rPr>
          <w:rFonts w:ascii="楷体_GB2312" w:hAnsi="楷体_GB2312" w:cs="宋体;SimSun" w:hint="eastAsia" w:eastAsia="楷体_GB2312"/>
          <w:b/>
          <w:bCs/>
          <w:kern w:val="0"/>
          <w:sz w:val="32"/>
          <w:szCs w:val="30"/>
        </w:rPr>
        <w:t>月</w:t>
      </w:r>
      <w:r>
        <w:rPr>
          <w:rFonts w:eastAsia="楷体_GB2312" w:cs="宋体;SimSun" w:hint="eastAsia" w:ascii="楷体_GB2312" w:hAnsi="楷体_GB2312"/>
          <w:b/>
          <w:bCs/>
          <w:kern w:val="0"/>
          <w:sz w:val="32"/>
          <w:szCs w:val="30"/>
        </w:rPr>
        <w:t>1</w:t>
      </w:r>
      <w:r>
        <w:rPr>
          <w:rFonts w:ascii="楷体_GB2312" w:hAnsi="楷体_GB2312" w:cs="宋体;SimSun" w:hint="eastAsia" w:eastAsia="楷体_GB2312"/>
          <w:b/>
          <w:bCs/>
          <w:kern w:val="0"/>
          <w:sz w:val="32"/>
          <w:szCs w:val="30"/>
        </w:rPr>
        <w:t>日内蒙古自治区第十三届人民代表大会常务委员会第十四次会议批准）</w:t>
      </w:r>
    </w:p>
    <w:p>
      <w:pPr>
        <w:pStyle w:val="Normal"/>
        <w:spacing w:lineRule="exact" w:line="570"/>
        <w:rPr>
          <w:b/>
          <w:bCs/>
          <w:kern w:val="0"/>
        </w:rPr>
      </w:pPr>
      <w:r>
        <w:rPr>
          <w:b/>
          <w:bCs/>
          <w:kern w:val="0"/>
        </w:rPr>
        <w:t xml:space="preserve"> </w:t>
      </w:r>
    </w:p>
    <w:p>
      <w:pPr>
        <w:pStyle w:val="Normal"/>
        <w:spacing w:lineRule="exact" w:line="570"/>
        <w:ind w:firstLineChars="200" w:startChars="0" w:start="0" w:endChars="0" w:end="0"/>
        <w:rPr>
          <w:b/>
          <w:bCs/>
          <w:kern w:val="0"/>
          <w:sz w:val="32"/>
          <w:szCs w:val="30"/>
        </w:rPr>
      </w:pPr>
      <w:r>
        <w:rPr>
          <w:rFonts w:ascii="黑体;SimHei" w:hAnsi="黑体;SimHei" w:cs="宋体;SimSun" w:hint="eastAsia" w:eastAsia="黑体;SimHei"/>
          <w:b/>
          <w:bCs/>
          <w:kern w:val="0"/>
          <w:sz w:val="32"/>
          <w:szCs w:val="30"/>
        </w:rPr>
        <w:t>第一条</w:t>
      </w:r>
      <w:r>
        <w:rPr>
          <w:rFonts w:hint="eastAsia"/>
          <w:b/>
          <w:bCs/>
          <w:kern w:val="0"/>
          <w:sz w:val="32"/>
          <w:szCs w:val="30"/>
        </w:rPr>
        <w:t>　</w:t>
      </w:r>
      <w:r>
        <w:rPr>
          <w:rFonts w:ascii="仿宋_GB2312" w:hAnsi="仿宋_GB2312" w:cs="宋体;SimSun" w:hint="eastAsia" w:eastAsia="仿宋_GB2312"/>
          <w:b/>
          <w:bCs/>
          <w:kern w:val="0"/>
          <w:sz w:val="32"/>
          <w:szCs w:val="30"/>
        </w:rPr>
        <w:t>为了保护和培育林草植被，改善生态环境，促进经济社会可持续发展，根据《中华人民共和国草原法》《中华人民共和国森林法》《内蒙古自治区草原管理条例》和《内蒙古自治区基本草原保护条例》等相关法律法规规定，结合本市实际，制定本条例。</w:t>
      </w:r>
    </w:p>
    <w:p>
      <w:pPr>
        <w:pStyle w:val="Normal"/>
        <w:spacing w:lineRule="exact" w:line="570"/>
        <w:ind w:firstLine="641" w:end="0"/>
        <w:rPr>
          <w:b/>
          <w:bCs/>
          <w:kern w:val="0"/>
          <w:sz w:val="32"/>
          <w:szCs w:val="30"/>
        </w:rPr>
      </w:pPr>
      <w:r>
        <w:rPr>
          <w:rFonts w:ascii="黑体;SimHei" w:hAnsi="黑体;SimHei" w:cs="宋体;SimSun" w:hint="eastAsia" w:eastAsia="黑体;SimHei"/>
          <w:b/>
          <w:bCs/>
          <w:kern w:val="0"/>
          <w:sz w:val="32"/>
          <w:szCs w:val="30"/>
        </w:rPr>
        <w:t>第二条</w:t>
      </w:r>
      <w:r>
        <w:rPr>
          <w:rFonts w:hint="eastAsia"/>
          <w:b/>
          <w:bCs/>
          <w:kern w:val="0"/>
          <w:sz w:val="32"/>
          <w:szCs w:val="30"/>
        </w:rPr>
        <w:t>　</w:t>
      </w:r>
      <w:r>
        <w:rPr>
          <w:rFonts w:ascii="仿宋_GB2312" w:hAnsi="仿宋_GB2312" w:cs="宋体;SimSun" w:hint="eastAsia" w:eastAsia="仿宋_GB2312"/>
          <w:b/>
          <w:bCs/>
          <w:kern w:val="0"/>
          <w:sz w:val="32"/>
          <w:szCs w:val="30"/>
        </w:rPr>
        <w:t>本市行政区域内禁牧、休牧活动适用本条例。</w:t>
      </w:r>
    </w:p>
    <w:p>
      <w:pPr>
        <w:pStyle w:val="Normal"/>
        <w:spacing w:lineRule="exact" w:line="570"/>
        <w:ind w:firstLine="641" w:end="0"/>
        <w:rPr>
          <w:b/>
          <w:bCs/>
          <w:kern w:val="0"/>
          <w:sz w:val="32"/>
          <w:szCs w:val="30"/>
        </w:rPr>
      </w:pPr>
      <w:r>
        <w:rPr>
          <w:rFonts w:ascii="仿宋_GB2312" w:hAnsi="仿宋_GB2312" w:cs="宋体;SimSun" w:hint="eastAsia" w:eastAsia="仿宋_GB2312"/>
          <w:b/>
          <w:bCs/>
          <w:kern w:val="0"/>
          <w:sz w:val="32"/>
          <w:szCs w:val="30"/>
        </w:rPr>
        <w:t>上位法已经作出规定的，从其规定。</w:t>
      </w:r>
    </w:p>
    <w:p>
      <w:pPr>
        <w:pStyle w:val="Normal"/>
        <w:spacing w:lineRule="exact" w:line="570"/>
        <w:ind w:firstLine="640" w:end="0"/>
        <w:rPr>
          <w:b/>
          <w:bCs/>
          <w:spacing w:val="-2"/>
          <w:kern w:val="0"/>
          <w:sz w:val="32"/>
          <w:szCs w:val="30"/>
        </w:rPr>
      </w:pPr>
      <w:r>
        <w:rPr>
          <w:rFonts w:ascii="仿宋_GB2312" w:hAnsi="仿宋_GB2312" w:cs="宋体;SimSun" w:hint="eastAsia" w:eastAsia="仿宋_GB2312"/>
          <w:b/>
          <w:bCs/>
          <w:spacing w:val="-2"/>
          <w:kern w:val="0"/>
          <w:sz w:val="32"/>
          <w:szCs w:val="30"/>
        </w:rPr>
        <w:t>本条例所称禁牧是指在划定的区域内实行一年以上全面禁止放养羊、马、牛等草食性牲畜的生态管护措施；休牧是指在划定的区域内实行季节性禁止放养羊、马、牛等草食性牲畜的生态管护措施。</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第三条</w:t>
      </w:r>
      <w:r>
        <w:rPr>
          <w:rFonts w:hint="eastAsia"/>
          <w:b/>
          <w:bCs/>
          <w:kern w:val="0"/>
          <w:sz w:val="32"/>
          <w:szCs w:val="30"/>
        </w:rPr>
        <w:t>　</w:t>
      </w:r>
      <w:r>
        <w:rPr>
          <w:rFonts w:ascii="仿宋_GB2312" w:hAnsi="仿宋_GB2312" w:cs="宋体;SimSun" w:hint="eastAsia" w:eastAsia="仿宋_GB2312"/>
          <w:b/>
          <w:bCs/>
          <w:kern w:val="0"/>
          <w:sz w:val="32"/>
          <w:szCs w:val="30"/>
        </w:rPr>
        <w:t>禁牧、休牧坚持统筹规划、保护优先、恢复生态与兼顾农牧民利益的原则。</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第四条</w:t>
      </w:r>
      <w:r>
        <w:rPr>
          <w:b/>
          <w:bCs/>
          <w:kern w:val="0"/>
          <w:sz w:val="32"/>
          <w:szCs w:val="30"/>
        </w:rPr>
        <w:t xml:space="preserve">  </w:t>
      </w:r>
      <w:r>
        <w:rPr>
          <w:rFonts w:ascii="仿宋_GB2312" w:hAnsi="仿宋_GB2312" w:cs="宋体;SimSun" w:hint="eastAsia" w:eastAsia="仿宋_GB2312"/>
          <w:b/>
          <w:bCs/>
          <w:kern w:val="0"/>
          <w:sz w:val="32"/>
          <w:szCs w:val="30"/>
        </w:rPr>
        <w:t>市和旗县区人民政府应当加强对禁牧、休牧工作的领导，将禁牧、休牧工作纳入国民经济和社会发展规划、领导干部自然资源资产离任审计，建立目标责任考核制度和责任追究制度。</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第五条</w:t>
      </w:r>
      <w:r>
        <w:rPr>
          <w:b/>
          <w:bCs/>
          <w:kern w:val="0"/>
          <w:sz w:val="32"/>
          <w:szCs w:val="30"/>
        </w:rPr>
        <w:t xml:space="preserve">  </w:t>
      </w:r>
      <w:r>
        <w:rPr>
          <w:rFonts w:ascii="仿宋_GB2312" w:hAnsi="仿宋_GB2312" w:cs="宋体;SimSun" w:hint="eastAsia" w:eastAsia="仿宋_GB2312"/>
          <w:b/>
          <w:bCs/>
          <w:spacing w:val="4"/>
          <w:kern w:val="0"/>
          <w:sz w:val="32"/>
          <w:szCs w:val="30"/>
        </w:rPr>
        <w:t>市和旗县区人民政府负责本行政区域内禁牧、休牧工作。</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市和旗县区人民政府林业和草原主管部门负责本行政区域内禁牧、休牧监督管理工作。</w:t>
      </w:r>
    </w:p>
    <w:p>
      <w:pPr>
        <w:pStyle w:val="Normal"/>
        <w:spacing w:lineRule="exact" w:line="570"/>
        <w:ind w:firstLine="641" w:end="0"/>
        <w:rPr>
          <w:b/>
          <w:bCs/>
          <w:kern w:val="0"/>
          <w:sz w:val="32"/>
          <w:szCs w:val="30"/>
        </w:rPr>
      </w:pPr>
      <w:r>
        <w:rPr>
          <w:rFonts w:ascii="仿宋_GB2312" w:hAnsi="仿宋_GB2312" w:cs="宋体;SimSun" w:hint="eastAsia" w:eastAsia="仿宋_GB2312"/>
          <w:b/>
          <w:bCs/>
          <w:kern w:val="0"/>
          <w:sz w:val="32"/>
          <w:szCs w:val="30"/>
        </w:rPr>
        <w:t>市和旗县区人民政府林业和草原主管部门草原监督管理机构负责本行政区域内草原禁牧、休牧监督管理具体工作。</w:t>
      </w:r>
    </w:p>
    <w:p>
      <w:pPr>
        <w:pStyle w:val="Normal"/>
        <w:spacing w:lineRule="exact" w:line="570"/>
        <w:ind w:firstLine="641" w:end="0"/>
        <w:rPr>
          <w:b/>
          <w:bCs/>
          <w:kern w:val="0"/>
          <w:sz w:val="32"/>
          <w:szCs w:val="30"/>
        </w:rPr>
      </w:pPr>
      <w:r>
        <w:rPr>
          <w:rFonts w:ascii="仿宋_GB2312" w:hAnsi="仿宋_GB2312" w:cs="宋体;SimSun" w:hint="eastAsia" w:eastAsia="仿宋_GB2312"/>
          <w:b/>
          <w:bCs/>
          <w:kern w:val="0"/>
          <w:sz w:val="32"/>
          <w:szCs w:val="30"/>
        </w:rPr>
        <w:t>大青山国家级自然保护区管理局包头分局负责大青山国家级自然保护区包头市区域内禁牧监督管理工作。</w:t>
      </w:r>
    </w:p>
    <w:p>
      <w:pPr>
        <w:pStyle w:val="Normal"/>
        <w:spacing w:lineRule="exact" w:line="570"/>
        <w:ind w:firstLine="641" w:end="0"/>
        <w:rPr>
          <w:b/>
          <w:bCs/>
          <w:kern w:val="0"/>
          <w:sz w:val="32"/>
          <w:szCs w:val="30"/>
        </w:rPr>
      </w:pPr>
      <w:r>
        <w:rPr>
          <w:rFonts w:ascii="仿宋_GB2312" w:hAnsi="仿宋_GB2312" w:cs="宋体;SimSun" w:hint="eastAsia" w:eastAsia="仿宋_GB2312"/>
          <w:b/>
          <w:bCs/>
          <w:kern w:val="0"/>
          <w:sz w:val="32"/>
          <w:szCs w:val="30"/>
        </w:rPr>
        <w:t>市和旗县区人民政府相关部门按照各自职责负责本行政区域内禁牧、休牧有关监督管理工作。</w:t>
      </w:r>
    </w:p>
    <w:p>
      <w:pPr>
        <w:pStyle w:val="Normal"/>
        <w:spacing w:lineRule="exact" w:line="570"/>
        <w:ind w:firstLine="641" w:end="0"/>
        <w:rPr>
          <w:b/>
          <w:bCs/>
          <w:spacing w:val="-4"/>
          <w:kern w:val="0"/>
          <w:sz w:val="32"/>
          <w:szCs w:val="30"/>
        </w:rPr>
      </w:pPr>
      <w:r>
        <w:rPr>
          <w:rFonts w:ascii="仿宋_GB2312" w:hAnsi="仿宋_GB2312" w:cs="宋体;SimSun" w:hint="eastAsia" w:eastAsia="仿宋_GB2312"/>
          <w:b/>
          <w:bCs/>
          <w:spacing w:val="-4"/>
          <w:kern w:val="0"/>
          <w:sz w:val="32"/>
          <w:szCs w:val="30"/>
        </w:rPr>
        <w:t>苏木乡镇人民政府负责辖区内禁牧、休牧日常监督检查工作。</w:t>
      </w:r>
    </w:p>
    <w:p>
      <w:pPr>
        <w:pStyle w:val="Normal"/>
        <w:spacing w:lineRule="exact" w:line="570"/>
        <w:ind w:firstLine="641" w:end="0"/>
        <w:rPr>
          <w:b/>
          <w:bCs/>
          <w:kern w:val="0"/>
          <w:sz w:val="32"/>
          <w:szCs w:val="30"/>
        </w:rPr>
      </w:pPr>
      <w:r>
        <w:rPr>
          <w:rFonts w:ascii="黑体;SimHei" w:hAnsi="黑体;SimHei" w:cs="宋体;SimSun" w:hint="eastAsia" w:eastAsia="黑体;SimHei"/>
          <w:b/>
          <w:bCs/>
          <w:kern w:val="0"/>
          <w:sz w:val="32"/>
          <w:szCs w:val="30"/>
        </w:rPr>
        <w:t>第六条</w:t>
      </w:r>
      <w:r>
        <w:rPr>
          <w:b/>
          <w:bCs/>
          <w:kern w:val="0"/>
          <w:sz w:val="32"/>
          <w:szCs w:val="30"/>
        </w:rPr>
        <w:t xml:space="preserve">  </w:t>
      </w:r>
      <w:r>
        <w:rPr>
          <w:rFonts w:ascii="仿宋_GB2312" w:hAnsi="仿宋_GB2312" w:cs="宋体;SimSun" w:hint="eastAsia" w:eastAsia="仿宋_GB2312"/>
          <w:b/>
          <w:bCs/>
          <w:kern w:val="0"/>
          <w:sz w:val="32"/>
          <w:szCs w:val="30"/>
        </w:rPr>
        <w:t>下列区域实行禁牧：</w:t>
      </w:r>
    </w:p>
    <w:p>
      <w:pPr>
        <w:pStyle w:val="Normal"/>
        <w:spacing w:lineRule="exact" w:line="570"/>
        <w:ind w:firstLine="641" w:end="0"/>
        <w:rPr>
          <w:b/>
          <w:bCs/>
          <w:kern w:val="0"/>
          <w:sz w:val="32"/>
          <w:szCs w:val="30"/>
        </w:rPr>
      </w:pPr>
      <w:r>
        <w:rPr>
          <w:rFonts w:ascii="仿宋_GB2312" w:hAnsi="仿宋_GB2312" w:cs="宋体;SimSun" w:hint="eastAsia" w:eastAsia="仿宋_GB2312"/>
          <w:b/>
          <w:bCs/>
          <w:kern w:val="0"/>
          <w:sz w:val="32"/>
          <w:szCs w:val="30"/>
        </w:rPr>
        <w:t>（一）享受国家或者地方草原生态保护禁牧补助奖励政策的草原区域；</w:t>
      </w:r>
    </w:p>
    <w:p>
      <w:pPr>
        <w:pStyle w:val="Normal"/>
        <w:spacing w:lineRule="exact" w:line="570"/>
        <w:ind w:firstLine="641" w:end="0"/>
        <w:rPr>
          <w:b/>
          <w:bCs/>
          <w:kern w:val="0"/>
          <w:sz w:val="32"/>
          <w:szCs w:val="30"/>
        </w:rPr>
      </w:pPr>
      <w:r>
        <w:rPr>
          <w:rFonts w:ascii="仿宋_GB2312" w:hAnsi="仿宋_GB2312" w:cs="宋体;SimSun" w:hint="eastAsia" w:eastAsia="仿宋_GB2312"/>
          <w:b/>
          <w:bCs/>
          <w:kern w:val="0"/>
          <w:sz w:val="32"/>
          <w:szCs w:val="30"/>
        </w:rPr>
        <w:t>（二）天然林、林业工程项目区；</w:t>
      </w:r>
    </w:p>
    <w:p>
      <w:pPr>
        <w:pStyle w:val="Normal"/>
        <w:spacing w:lineRule="exact" w:line="570"/>
        <w:ind w:firstLine="641" w:end="0"/>
        <w:rPr>
          <w:b/>
          <w:bCs/>
          <w:kern w:val="0"/>
          <w:sz w:val="32"/>
          <w:szCs w:val="30"/>
        </w:rPr>
      </w:pPr>
      <w:r>
        <w:rPr>
          <w:rFonts w:ascii="仿宋_GB2312" w:hAnsi="仿宋_GB2312" w:cs="宋体;SimSun" w:hint="eastAsia" w:eastAsia="仿宋_GB2312"/>
          <w:b/>
          <w:bCs/>
          <w:kern w:val="0"/>
          <w:sz w:val="32"/>
          <w:szCs w:val="30"/>
        </w:rPr>
        <w:t>（三）自然保护区内依法应当禁牧的区域；</w:t>
      </w:r>
    </w:p>
    <w:p>
      <w:pPr>
        <w:pStyle w:val="Normal"/>
        <w:spacing w:lineRule="exact" w:line="570"/>
        <w:ind w:firstLine="641" w:end="0"/>
        <w:rPr>
          <w:b/>
          <w:bCs/>
          <w:kern w:val="0"/>
          <w:sz w:val="32"/>
          <w:szCs w:val="30"/>
        </w:rPr>
      </w:pPr>
      <w:r>
        <w:rPr>
          <w:rFonts w:ascii="仿宋_GB2312" w:hAnsi="仿宋_GB2312" w:cs="宋体;SimSun" w:hint="eastAsia" w:eastAsia="仿宋_GB2312"/>
          <w:b/>
          <w:bCs/>
          <w:kern w:val="0"/>
          <w:sz w:val="32"/>
          <w:szCs w:val="30"/>
        </w:rPr>
        <w:t>（四）生态保护红线区域；</w:t>
      </w:r>
    </w:p>
    <w:p>
      <w:pPr>
        <w:pStyle w:val="Normal"/>
        <w:spacing w:lineRule="exact" w:line="570"/>
        <w:ind w:firstLine="641" w:end="0"/>
        <w:rPr>
          <w:b/>
          <w:bCs/>
          <w:kern w:val="0"/>
          <w:sz w:val="32"/>
          <w:szCs w:val="30"/>
        </w:rPr>
      </w:pPr>
      <w:r>
        <w:rPr>
          <w:rFonts w:ascii="仿宋_GB2312" w:hAnsi="仿宋_GB2312" w:cs="宋体;SimSun" w:hint="eastAsia" w:eastAsia="仿宋_GB2312"/>
          <w:b/>
          <w:bCs/>
          <w:kern w:val="0"/>
          <w:sz w:val="32"/>
          <w:szCs w:val="30"/>
        </w:rPr>
        <w:t>（五）相关法律法规规定禁牧的区域。</w:t>
      </w:r>
    </w:p>
    <w:p>
      <w:pPr>
        <w:pStyle w:val="Normal"/>
        <w:spacing w:lineRule="exact" w:line="570"/>
        <w:ind w:firstLine="641" w:end="0"/>
        <w:rPr>
          <w:b/>
          <w:bCs/>
          <w:kern w:val="0"/>
          <w:sz w:val="32"/>
          <w:szCs w:val="30"/>
        </w:rPr>
      </w:pPr>
      <w:r>
        <w:rPr>
          <w:rFonts w:ascii="仿宋_GB2312" w:hAnsi="仿宋_GB2312" w:cs="宋体;SimSun" w:hint="eastAsia" w:eastAsia="仿宋_GB2312"/>
          <w:b/>
          <w:bCs/>
          <w:kern w:val="0"/>
          <w:sz w:val="32"/>
          <w:szCs w:val="30"/>
        </w:rPr>
        <w:t>实行休牧的区域和期限由旗县区人民政府确定。</w:t>
      </w:r>
    </w:p>
    <w:p>
      <w:pPr>
        <w:pStyle w:val="Normal"/>
        <w:spacing w:lineRule="exact" w:line="570"/>
        <w:ind w:firstLineChars="200" w:startChars="0" w:start="0" w:endChars="0" w:end="0"/>
        <w:rPr>
          <w:b/>
          <w:bCs/>
          <w:kern w:val="0"/>
          <w:sz w:val="32"/>
          <w:szCs w:val="30"/>
        </w:rPr>
      </w:pPr>
      <w:r>
        <w:rPr>
          <w:rFonts w:ascii="黑体;SimHei" w:hAnsi="黑体;SimHei" w:cs="宋体;SimSun" w:hint="eastAsia" w:eastAsia="黑体;SimHei"/>
          <w:b/>
          <w:bCs/>
          <w:kern w:val="0"/>
          <w:sz w:val="32"/>
          <w:szCs w:val="30"/>
        </w:rPr>
        <w:t>第七条</w:t>
      </w:r>
      <w:r>
        <w:rPr>
          <w:rFonts w:hint="eastAsia"/>
          <w:b/>
          <w:bCs/>
          <w:kern w:val="0"/>
          <w:sz w:val="32"/>
          <w:szCs w:val="30"/>
        </w:rPr>
        <w:t>　</w:t>
      </w:r>
      <w:r>
        <w:rPr>
          <w:rFonts w:ascii="仿宋_GB2312" w:hAnsi="仿宋_GB2312" w:cs="宋体;SimSun" w:hint="eastAsia" w:eastAsia="仿宋_GB2312"/>
          <w:b/>
          <w:bCs/>
          <w:kern w:val="0"/>
          <w:sz w:val="32"/>
          <w:szCs w:val="30"/>
        </w:rPr>
        <w:t>旗县区人民政府林业和草原主管部门应当按照管理职责，在禁牧、休牧区域设立禁牧、休牧标志和界桩等设施，公示禁牧、休牧要求。</w:t>
      </w:r>
    </w:p>
    <w:p>
      <w:pPr>
        <w:pStyle w:val="Normal"/>
        <w:spacing w:lineRule="exact" w:line="570"/>
        <w:ind w:firstLineChars="200" w:startChars="0" w:start="0" w:endChars="0" w:end="0"/>
        <w:rPr>
          <w:b/>
          <w:bCs/>
          <w:kern w:val="0"/>
          <w:sz w:val="32"/>
          <w:szCs w:val="30"/>
        </w:rPr>
      </w:pPr>
      <w:r>
        <w:rPr>
          <w:rFonts w:ascii="黑体;SimHei" w:hAnsi="黑体;SimHei" w:cs="宋体;SimSun" w:hint="eastAsia" w:eastAsia="黑体;SimHei"/>
          <w:b/>
          <w:bCs/>
          <w:kern w:val="0"/>
          <w:sz w:val="32"/>
          <w:szCs w:val="30"/>
        </w:rPr>
        <w:t>第八条</w:t>
      </w:r>
      <w:r>
        <w:rPr>
          <w:rFonts w:hint="eastAsia"/>
          <w:b/>
          <w:bCs/>
          <w:kern w:val="0"/>
          <w:sz w:val="32"/>
          <w:szCs w:val="30"/>
        </w:rPr>
        <w:t>　</w:t>
      </w:r>
      <w:r>
        <w:rPr>
          <w:rFonts w:ascii="仿宋_GB2312" w:hAnsi="仿宋_GB2312" w:cs="宋体;SimSun" w:hint="eastAsia" w:eastAsia="仿宋_GB2312"/>
          <w:b/>
          <w:bCs/>
          <w:kern w:val="0"/>
          <w:sz w:val="32"/>
          <w:szCs w:val="30"/>
        </w:rPr>
        <w:t>在禁牧区域和休牧期间的休牧区域内禁止从事下列活动：</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（一）放养羊、马、牛等草食性牲畜；</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（二）擅自移动或者毁坏禁牧、休牧标志和界桩等设施；</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（三）法律法规规定禁止的其他活动。</w:t>
      </w:r>
    </w:p>
    <w:p>
      <w:pPr>
        <w:pStyle w:val="Normal"/>
        <w:spacing w:lineRule="exact" w:line="570"/>
        <w:ind w:firstLine="640" w:end="0"/>
        <w:rPr/>
      </w:pPr>
      <w:r>
        <w:rPr>
          <w:rFonts w:ascii="黑体;SimHei" w:hAnsi="黑体;SimHei" w:cs="宋体;SimSun" w:hint="eastAsia" w:eastAsia="黑体;SimHei"/>
          <w:b/>
          <w:bCs/>
          <w:kern w:val="0"/>
          <w:sz w:val="32"/>
          <w:szCs w:val="30"/>
        </w:rPr>
        <w:t>第九条</w:t>
      </w:r>
      <w:r>
        <w:rPr>
          <w:b/>
          <w:bCs/>
          <w:kern w:val="0"/>
          <w:sz w:val="32"/>
          <w:szCs w:val="30"/>
        </w:rPr>
        <w:t xml:space="preserve">  </w:t>
      </w:r>
      <w:r>
        <w:rPr>
          <w:rFonts w:ascii="仿宋_GB2312" w:hAnsi="仿宋_GB2312" w:cs="宋体;SimSun" w:hint="eastAsia" w:eastAsia="仿宋_GB2312"/>
          <w:b/>
          <w:bCs/>
          <w:kern w:val="0"/>
          <w:sz w:val="32"/>
          <w:szCs w:val="30"/>
        </w:rPr>
        <w:t>旗县区人民政府林业和草原主管部门、苏木乡镇人民政府应当建立禁牧、休牧区域管护制度，明确管护人员，落实管护责任。</w:t>
      </w:r>
      <w:r>
        <w:rPr>
          <w:b/>
          <w:bCs/>
          <w:kern w:val="0"/>
          <w:sz w:val="32"/>
          <w:szCs w:val="30"/>
        </w:rPr>
        <w:t xml:space="preserve"> </w:t>
      </w:r>
    </w:p>
    <w:p>
      <w:pPr>
        <w:pStyle w:val="Normal"/>
        <w:spacing w:lineRule="exact" w:line="570"/>
        <w:ind w:firstLine="642" w:end="0"/>
        <w:rPr>
          <w:b/>
          <w:bCs/>
          <w:kern w:val="0"/>
          <w:sz w:val="32"/>
          <w:szCs w:val="30"/>
        </w:rPr>
      </w:pPr>
      <w:r>
        <w:rPr>
          <w:rFonts w:ascii="黑体;SimHei" w:hAnsi="黑体;SimHei" w:cs="宋体;SimSun" w:hint="eastAsia" w:eastAsia="黑体;SimHei"/>
          <w:b/>
          <w:bCs/>
          <w:kern w:val="0"/>
          <w:sz w:val="32"/>
          <w:szCs w:val="30"/>
        </w:rPr>
        <w:t>第十条</w:t>
      </w:r>
      <w:r>
        <w:rPr>
          <w:b/>
          <w:bCs/>
          <w:kern w:val="0"/>
          <w:sz w:val="32"/>
          <w:szCs w:val="30"/>
        </w:rPr>
        <w:t xml:space="preserve">  </w:t>
      </w:r>
      <w:r>
        <w:rPr>
          <w:rFonts w:ascii="仿宋_GB2312" w:hAnsi="仿宋_GB2312" w:cs="宋体;SimSun" w:hint="eastAsia" w:eastAsia="仿宋_GB2312"/>
          <w:b/>
          <w:bCs/>
          <w:kern w:val="0"/>
          <w:sz w:val="32"/>
          <w:szCs w:val="30"/>
        </w:rPr>
        <w:t>市和旗县区人民政府应当根据国家和自治区规定，建立禁牧、休牧生态补偿机制，并将禁牧、休牧生态补偿资金和管护资金列入本级财政预算。</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禁牧、休牧生态补偿资金和管护资金具体管理使用办法由市人民政府另行制定。</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第十一条</w:t>
      </w:r>
      <w:r>
        <w:rPr>
          <w:b/>
          <w:bCs/>
          <w:kern w:val="0"/>
          <w:sz w:val="32"/>
          <w:szCs w:val="30"/>
        </w:rPr>
        <w:t xml:space="preserve">  </w:t>
      </w:r>
      <w:r>
        <w:rPr>
          <w:rFonts w:ascii="仿宋_GB2312" w:hAnsi="仿宋_GB2312" w:cs="宋体;SimSun" w:hint="eastAsia" w:eastAsia="仿宋_GB2312"/>
          <w:b/>
          <w:bCs/>
          <w:kern w:val="0"/>
          <w:sz w:val="32"/>
          <w:szCs w:val="30"/>
        </w:rPr>
        <w:t>禁牧区域和休牧期间的休牧区域内的羊、马、牛等草食性牲畜应当实行舍饲圈养。</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市和旗县区人民政府应当对在草原禁牧、休牧区域实施舍饲圈养的牧民给予资金和技术等方面的补助和扶持。</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第十二条</w:t>
      </w:r>
      <w:r>
        <w:rPr>
          <w:b/>
          <w:bCs/>
          <w:kern w:val="0"/>
          <w:sz w:val="32"/>
          <w:szCs w:val="30"/>
        </w:rPr>
        <w:t xml:space="preserve">  </w:t>
      </w:r>
      <w:r>
        <w:rPr>
          <w:rFonts w:ascii="仿宋_GB2312" w:hAnsi="仿宋_GB2312" w:cs="宋体;SimSun" w:hint="eastAsia" w:eastAsia="仿宋_GB2312"/>
          <w:b/>
          <w:bCs/>
          <w:kern w:val="0"/>
          <w:sz w:val="32"/>
          <w:szCs w:val="30"/>
        </w:rPr>
        <w:t>旗县区人民政府经市人民政府批准，可以结合本地区实际，实施国家和自治区的合理利用草原试验示范、标准化养殖示范、草牧业试点示范等项目。</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禁牧、休牧活动涉及达尔罕茂明安联合旗边境一线戍边工作的，按照国家、自治区有关规定执行。</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第十三条</w:t>
      </w:r>
      <w:r>
        <w:rPr>
          <w:b/>
          <w:bCs/>
          <w:kern w:val="0"/>
          <w:sz w:val="32"/>
          <w:szCs w:val="30"/>
        </w:rPr>
        <w:t xml:space="preserve">  </w:t>
      </w:r>
      <w:r>
        <w:rPr>
          <w:rFonts w:ascii="仿宋_GB2312" w:hAnsi="仿宋_GB2312" w:cs="宋体;SimSun" w:hint="eastAsia" w:eastAsia="仿宋_GB2312"/>
          <w:b/>
          <w:bCs/>
          <w:kern w:val="0"/>
          <w:sz w:val="32"/>
          <w:szCs w:val="30"/>
        </w:rPr>
        <w:t>市和旗县区人民政府应当加强禁牧、休牧区域内农村牧区产业结构调整，引导、扶持适宜当地发展的产业，促进农牧民增收。</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第十四条</w:t>
      </w:r>
      <w:r>
        <w:rPr>
          <w:b/>
          <w:bCs/>
          <w:kern w:val="0"/>
          <w:sz w:val="32"/>
          <w:szCs w:val="30"/>
        </w:rPr>
        <w:t xml:space="preserve">  </w:t>
      </w:r>
      <w:r>
        <w:rPr>
          <w:rFonts w:ascii="仿宋_GB2312" w:hAnsi="仿宋_GB2312" w:cs="宋体;SimSun" w:hint="eastAsia" w:eastAsia="仿宋_GB2312"/>
          <w:b/>
          <w:bCs/>
          <w:kern w:val="0"/>
          <w:sz w:val="32"/>
          <w:szCs w:val="30"/>
        </w:rPr>
        <w:t>市和旗县区人民政府林业和草原主管部门应当加强对禁牧、休牧区域内的草原、林地生态植被恢复效果的监测预报，并定期向本级人民政府报告监测结果。</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第十五条</w:t>
      </w:r>
      <w:r>
        <w:rPr>
          <w:b/>
          <w:bCs/>
          <w:kern w:val="0"/>
          <w:sz w:val="32"/>
          <w:szCs w:val="30"/>
        </w:rPr>
        <w:t xml:space="preserve">  </w:t>
      </w:r>
      <w:r>
        <w:rPr>
          <w:rFonts w:ascii="仿宋_GB2312" w:hAnsi="仿宋_GB2312" w:cs="宋体;SimSun" w:hint="eastAsia" w:eastAsia="仿宋_GB2312"/>
          <w:b/>
          <w:bCs/>
          <w:kern w:val="0"/>
          <w:sz w:val="32"/>
          <w:szCs w:val="30"/>
        </w:rPr>
        <w:t>市人民政府林业和草原主管部门及其草原监督管理机构应当对旗县区和苏木乡镇人民政府的禁牧、休牧工作进行监督检查，对发现的问题，督促旗县区、苏木乡镇人民政府及时整改。</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市和旗县区人民政府林业和草原主管部门应当建立禁牧、休牧巡查、举报制度，加强对禁牧、休牧工作的监督管理。</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苏木乡镇人民政府应当建立完善禁牧、休牧日常监督检查责任制，开展日常巡查，对发现的违法行为及时制止，并向旗县区人民政府林业和草原主管部门报告。</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第十六条</w:t>
      </w:r>
      <w:r>
        <w:rPr>
          <w:b/>
          <w:bCs/>
          <w:kern w:val="0"/>
          <w:sz w:val="32"/>
          <w:szCs w:val="30"/>
        </w:rPr>
        <w:t xml:space="preserve">  </w:t>
      </w:r>
      <w:r>
        <w:rPr>
          <w:rFonts w:ascii="仿宋_GB2312" w:hAnsi="仿宋_GB2312" w:cs="宋体;SimSun" w:hint="eastAsia" w:eastAsia="仿宋_GB2312"/>
          <w:b/>
          <w:bCs/>
          <w:kern w:val="0"/>
          <w:sz w:val="32"/>
          <w:szCs w:val="30"/>
        </w:rPr>
        <w:t>任何组织和公民都有权向市和旗县区人民政府林业和草原主管部门及其草原监督管理机构、苏木乡镇人民政府举报违反本条例规定的行为。</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接到举报的林业和草原主管部门及其草原监督管理机构应当依法查处违反本条例的行为，并为举报的组织和公民保密。</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第十七条</w:t>
      </w:r>
      <w:r>
        <w:rPr>
          <w:b/>
          <w:bCs/>
          <w:kern w:val="0"/>
          <w:sz w:val="32"/>
          <w:szCs w:val="30"/>
        </w:rPr>
        <w:t xml:space="preserve">  </w:t>
      </w:r>
      <w:r>
        <w:rPr>
          <w:rFonts w:ascii="仿宋_GB2312" w:hAnsi="仿宋_GB2312" w:cs="宋体;SimSun" w:hint="eastAsia" w:eastAsia="仿宋_GB2312"/>
          <w:b/>
          <w:bCs/>
          <w:kern w:val="0"/>
          <w:sz w:val="32"/>
          <w:szCs w:val="30"/>
        </w:rPr>
        <w:t>违反本条例第八条第一项规定，在禁牧区域、休牧期间的休牧区域的草原放牧的，由旗县区人民政府草原监督管理机构责令停止违法行为，给予警告，并处以每个羊单位三十元的罚款；在其他禁牧、休牧区域放牧的，由旗县区人民政府林业和草原主管部门责令停止违法行为，给予警告，并处以每个羊单位三十元的罚款；相关法律法规对违反禁牧、休牧规定的行为已作出处罚规定的，从其规定。</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对违反本条例第八条第二项规定，擅自移动或者毁坏禁牧、休牧标志和界桩等设施，由旗县区人民政府林业和草原主管部门责令限期恢复原状，并处以实际损失一倍以上三倍以下的罚款。</w:t>
      </w:r>
    </w:p>
    <w:p>
      <w:pPr>
        <w:pStyle w:val="Normal"/>
        <w:spacing w:lineRule="exact" w:line="570"/>
        <w:ind w:firstLine="640" w:end="0"/>
        <w:rPr>
          <w:b/>
          <w:bCs/>
          <w:kern w:val="0"/>
          <w:sz w:val="32"/>
          <w:szCs w:val="30"/>
        </w:rPr>
      </w:pPr>
      <w:r>
        <w:rPr>
          <w:rFonts w:ascii="仿宋_GB2312" w:hAnsi="仿宋_GB2312" w:cs="宋体;SimSun" w:hint="eastAsia" w:eastAsia="仿宋_GB2312"/>
          <w:b/>
          <w:bCs/>
          <w:kern w:val="0"/>
          <w:sz w:val="32"/>
          <w:szCs w:val="30"/>
        </w:rPr>
        <w:t>本条第一款所称</w:t>
      </w:r>
      <w:r>
        <w:rPr>
          <w:rFonts w:hint="eastAsia"/>
          <w:b/>
          <w:bCs/>
          <w:kern w:val="0"/>
          <w:sz w:val="32"/>
          <w:szCs w:val="30"/>
        </w:rPr>
        <w:t>“</w:t>
      </w:r>
      <w:r>
        <w:rPr>
          <w:rFonts w:ascii="仿宋_GB2312" w:hAnsi="仿宋_GB2312" w:cs="宋体;SimSun" w:hint="eastAsia" w:eastAsia="仿宋_GB2312"/>
          <w:b/>
          <w:bCs/>
          <w:kern w:val="0"/>
          <w:sz w:val="32"/>
          <w:szCs w:val="30"/>
        </w:rPr>
        <w:t>羊单位”是指牲畜的计算单位。一只羊等于一个羊单位，一头牛等于五个羊单位，一匹马等于六个羊单位，一头驴等于三个羊单位，一匹骡等于五个羊单位，一峰驼等于七个羊单位。</w:t>
      </w:r>
    </w:p>
    <w:p>
      <w:pPr>
        <w:pStyle w:val="Normal"/>
        <w:spacing w:lineRule="exact" w:line="570"/>
        <w:ind w:firstLine="640" w:end="0"/>
        <w:rPr>
          <w:b/>
          <w:bCs/>
          <w:kern w:val="0"/>
          <w:sz w:val="32"/>
          <w:szCs w:val="30"/>
        </w:rPr>
      </w:pPr>
      <w:r>
        <w:rPr>
          <w:rFonts w:ascii="黑体;SimHei" w:hAnsi="黑体;SimHei" w:cs="宋体;SimSun" w:hint="eastAsia" w:eastAsia="黑体;SimHei"/>
          <w:b/>
          <w:bCs/>
          <w:kern w:val="0"/>
          <w:sz w:val="32"/>
          <w:szCs w:val="30"/>
        </w:rPr>
        <w:t>第十八条</w:t>
      </w:r>
      <w:r>
        <w:rPr>
          <w:b/>
          <w:bCs/>
          <w:kern w:val="0"/>
          <w:sz w:val="32"/>
          <w:szCs w:val="30"/>
        </w:rPr>
        <w:t xml:space="preserve">  </w:t>
      </w:r>
      <w:r>
        <w:rPr>
          <w:rFonts w:ascii="仿宋_GB2312" w:hAnsi="仿宋_GB2312" w:cs="宋体;SimSun" w:hint="eastAsia" w:eastAsia="仿宋_GB2312"/>
          <w:b/>
          <w:bCs/>
          <w:kern w:val="0"/>
          <w:sz w:val="32"/>
          <w:szCs w:val="30"/>
        </w:rPr>
        <w:t>旗县区、苏木乡镇人民政府在禁牧、休牧目标管理责任制落实过程中失职，造成生态环境损害的，对直接负责的主管人员和其他直接责任人员依法给予处分。</w:t>
      </w:r>
    </w:p>
    <w:p>
      <w:pPr>
        <w:pStyle w:val="Normal"/>
        <w:spacing w:lineRule="exact" w:line="570"/>
        <w:ind w:firstLine="640" w:end="0"/>
        <w:rPr>
          <w:b/>
          <w:bCs/>
          <w:spacing w:val="-4"/>
          <w:kern w:val="0"/>
          <w:sz w:val="32"/>
          <w:szCs w:val="30"/>
        </w:rPr>
      </w:pPr>
      <w:r>
        <w:rPr>
          <w:rFonts w:ascii="黑体;SimHei" w:hAnsi="黑体;SimHei" w:cs="宋体;SimSun" w:hint="eastAsia" w:eastAsia="黑体;SimHei"/>
          <w:b/>
          <w:bCs/>
          <w:kern w:val="0"/>
          <w:sz w:val="32"/>
          <w:szCs w:val="30"/>
        </w:rPr>
        <w:t>第十九条</w:t>
      </w:r>
      <w:r>
        <w:rPr>
          <w:b/>
          <w:bCs/>
          <w:kern w:val="0"/>
          <w:sz w:val="32"/>
          <w:szCs w:val="30"/>
        </w:rPr>
        <w:t xml:space="preserve">  </w:t>
      </w:r>
      <w:r>
        <w:rPr>
          <w:rFonts w:ascii="仿宋_GB2312" w:hAnsi="仿宋_GB2312" w:cs="宋体;SimSun" w:hint="eastAsia" w:eastAsia="仿宋_GB2312"/>
          <w:b/>
          <w:bCs/>
          <w:spacing w:val="-4"/>
          <w:kern w:val="0"/>
          <w:sz w:val="32"/>
          <w:szCs w:val="30"/>
        </w:rPr>
        <w:t>市和旗县区人民政府林业和草原主管部门及其草原监督管理机构在禁牧、休牧工作中监督管理不力，造成严重后果的，对直接负责的主管人员和其他直接责任人员依法给予处分。</w:t>
      </w:r>
    </w:p>
    <w:p>
      <w:pPr>
        <w:pStyle w:val="Normal"/>
        <w:spacing w:lineRule="exact" w:line="570"/>
        <w:ind w:firstLine="640" w:end="0"/>
        <w:rPr>
          <w:rFonts w:ascii="仿宋_GB2312" w:hAnsi="仿宋_GB2312" w:eastAsia="仿宋_GB2312" w:cs="宋体;SimSun" w:hint="eastAsia"/>
          <w:b/>
          <w:bCs/>
          <w:spacing w:val="-4"/>
          <w:kern w:val="0"/>
          <w:sz w:val="32"/>
          <w:szCs w:val="30"/>
        </w:rPr>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pPr>
      <w:r>
        <w:rPr>
          <w:rFonts w:ascii="仿宋_GB2312" w:hAnsi="仿宋_GB2312" w:cs="宋体;SimSun" w:hint="eastAsia" w:eastAsia="仿宋_GB2312"/>
          <w:b/>
          <w:bCs/>
          <w:spacing w:val="-4"/>
          <w:kern w:val="0"/>
          <w:sz w:val="32"/>
          <w:szCs w:val="30"/>
        </w:rPr>
        <w:t>第二十条</w:t>
      </w:r>
      <w:r>
        <w:rPr>
          <w:rFonts w:ascii="仿宋_GB2312" w:hAnsi="仿宋_GB2312" w:cs="宋体;SimSun" w:eastAsia="仿宋_GB2312"/>
          <w:b/>
          <w:bCs/>
          <w:spacing w:val="-4"/>
          <w:kern w:val="0"/>
          <w:sz w:val="32"/>
          <w:szCs w:val="30"/>
        </w:rPr>
        <w:t xml:space="preserve">  </w:t>
      </w:r>
      <w:r>
        <w:rPr>
          <w:rFonts w:ascii="仿宋_GB2312" w:hAnsi="仿宋_GB2312" w:cs="宋体;SimSun" w:hint="eastAsia" w:eastAsia="仿宋_GB2312"/>
          <w:b/>
          <w:bCs/>
          <w:spacing w:val="-4"/>
          <w:kern w:val="0"/>
          <w:sz w:val="32"/>
          <w:szCs w:val="30"/>
        </w:rPr>
        <w:t>本条例自</w:t>
      </w:r>
      <w:r>
        <w:rPr>
          <w:rFonts w:eastAsia="仿宋_GB2312" w:cs="宋体;SimSun" w:hint="eastAsia" w:ascii="仿宋_GB2312" w:hAnsi="仿宋_GB2312"/>
          <w:b/>
          <w:bCs/>
          <w:spacing w:val="-4"/>
          <w:kern w:val="0"/>
          <w:sz w:val="32"/>
          <w:szCs w:val="30"/>
        </w:rPr>
        <w:t>2019</w:t>
      </w:r>
      <w:r>
        <w:rPr>
          <w:rFonts w:ascii="仿宋_GB2312" w:hAnsi="仿宋_GB2312" w:cs="宋体;SimSun" w:hint="eastAsia" w:eastAsia="仿宋_GB2312"/>
          <w:b/>
          <w:bCs/>
          <w:spacing w:val="-4"/>
          <w:kern w:val="0"/>
          <w:sz w:val="32"/>
          <w:szCs w:val="30"/>
        </w:rPr>
        <w:t>年</w:t>
      </w:r>
      <w:r>
        <w:rPr>
          <w:rFonts w:eastAsia="仿宋_GB2312" w:cs="宋体;SimSun" w:hint="eastAsia" w:ascii="仿宋_GB2312" w:hAnsi="仿宋_GB2312"/>
          <w:b/>
          <w:bCs/>
          <w:spacing w:val="-4"/>
          <w:kern w:val="0"/>
          <w:sz w:val="32"/>
          <w:szCs w:val="30"/>
        </w:rPr>
        <w:t>10</w:t>
      </w:r>
      <w:r>
        <w:rPr>
          <w:rFonts w:ascii="仿宋_GB2312" w:hAnsi="仿宋_GB2312" w:cs="宋体;SimSun" w:hint="eastAsia" w:eastAsia="仿宋_GB2312"/>
          <w:b/>
          <w:bCs/>
          <w:spacing w:val="-4"/>
          <w:kern w:val="0"/>
          <w:sz w:val="32"/>
          <w:szCs w:val="30"/>
        </w:rPr>
        <w:t>月</w:t>
      </w:r>
      <w:r>
        <w:rPr>
          <w:rFonts w:eastAsia="仿宋_GB2312" w:cs="宋体;SimSun" w:hint="eastAsia" w:ascii="仿宋_GB2312" w:hAnsi="仿宋_GB2312"/>
          <w:b/>
          <w:bCs/>
          <w:spacing w:val="-4"/>
          <w:kern w:val="0"/>
          <w:sz w:val="32"/>
          <w:szCs w:val="30"/>
        </w:rPr>
        <w:t>1</w:t>
      </w:r>
      <w:r>
        <w:rPr>
          <w:rFonts w:ascii="仿宋_GB2312" w:hAnsi="仿宋_GB2312" w:cs="宋体;SimSun" w:hint="eastAsia" w:eastAsia="仿宋_GB2312"/>
          <w:b/>
          <w:bCs/>
          <w:spacing w:val="-4"/>
          <w:kern w:val="0"/>
          <w:sz w:val="32"/>
          <w:szCs w:val="30"/>
        </w:rPr>
        <w:t>日起施行。</w:t>
      </w:r>
    </w:p>
    <w:p>
      <w:pPr>
        <w:pStyle w:val="Normal"/>
        <w:spacing w:lineRule="exact" w:line="580"/>
        <w:rPr>
          <w:rFonts w:ascii="仿宋_GB2312" w:hAnsi="仿宋_GB2312" w:eastAsia="仿宋_GB2312" w:cs="宋体;SimSun" w:hint="eastAsia"/>
          <w:b/>
          <w:bCs/>
          <w:spacing w:val="-4"/>
          <w:kern w:val="0"/>
          <w:sz w:val="32"/>
          <w:szCs w:val="30"/>
        </w:rPr>
      </w:pPr>
      <w:r>
        <w:rPr>
          <w:rFonts w:eastAsia="仿宋_GB2312" w:cs="宋体;SimSun" w:hint="eastAsia" w:ascii="仿宋_GB2312" w:hAnsi="仿宋_GB2312"/>
          <w:b/>
          <w:bCs/>
          <w:spacing w:val="-4"/>
          <w:kern w:val="0"/>
          <w:sz w:val="32"/>
          <w:szCs w:val="30"/>
        </w:rPr>
      </w:r>
    </w:p>
    <w:sectPr>
      <w:footerReference w:type="default" r:id="rId3"/>
      <w:footerReference w:type="first" r:id="rId4"/>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2019-10-10T11:06:00Z</dcterms:created>
  <dc:creator>Lenovo User</dc:creator>
  <dc:description/>
  <cp:keywords/>
  <dc:language>en-US</dc:language>
  <cp:lastModifiedBy>User</cp:lastModifiedBy>
  <cp:lastPrinted>2019-09-12T14:57:00Z</cp:lastPrinted>
  <dcterms:modified xsi:type="dcterms:W3CDTF">2019-10-10T11:06:00Z</dcterms:modified>
  <cp:revision>2</cp:revision>
  <dc:subject/>
  <dc:title>关于自治区人大常委会</dc:title>
</cp:coreProperties>
</file>