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内蒙古自治区邮政条例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2011</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16</w:t>
      </w:r>
      <w:r>
        <w:rPr>
          <w:rFonts w:ascii="楷体_GB2312;楷体" w:hAnsi="楷体_GB2312;楷体" w:cs="宋体;方正书宋_GBK" w:hint="eastAsia" w:eastAsia="楷体_GB2312;楷体"/>
          <w:sz w:val="32"/>
          <w:szCs w:val="32"/>
        </w:rPr>
        <w:t>日内蒙古自治区第十一届人民代表大会常务委员会第二十五次会议通过  根据</w:t>
      </w:r>
      <w:r>
        <w:rPr>
          <w:rFonts w:eastAsia="楷体_GB2312;楷体" w:cs="宋体;方正书宋_GBK" w:hint="eastAsia" w:ascii="楷体_GB2312;楷体" w:hAnsi="楷体_GB2312;楷体"/>
          <w:sz w:val="32"/>
          <w:szCs w:val="32"/>
        </w:rPr>
        <w:t>2016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30</w:t>
      </w:r>
      <w:r>
        <w:rPr>
          <w:rFonts w:ascii="楷体_GB2312;楷体" w:hAnsi="楷体_GB2312;楷体" w:cs="宋体;方正书宋_GBK" w:hint="eastAsia" w:eastAsia="楷体_GB2312;楷体"/>
          <w:sz w:val="32"/>
          <w:szCs w:val="32"/>
        </w:rPr>
        <w:t>日内蒙古自治区第十二届人民代表大会常务委员会第二十二次会议《关于修改部分地方性法规的决定》第一次修正  根据</w:t>
      </w:r>
      <w:r>
        <w:rPr>
          <w:rFonts w:eastAsia="楷体_GB2312;楷体" w:cs="宋体;方正书宋_GBK" w:hint="eastAsia" w:ascii="楷体_GB2312;楷体" w:hAnsi="楷体_GB2312;楷体"/>
          <w:sz w:val="32"/>
          <w:szCs w:val="32"/>
        </w:rPr>
        <w:t>2020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日内蒙古自治区第十三届人民代表大会常务委员会第二十二次会议《关于修改〈内蒙古自治区城市房地产开发经营管理条例〉等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件地方性法规的决定》第二次修正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日内蒙古自治区第十三届人民代表大会常务委员会第三十八次会议《关于修改〈内蒙古自治区电力设施保护条例〉等</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件地方性法规的决定》第三次修正）</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第一条  </w:t>
      </w:r>
      <w:r>
        <w:rPr>
          <w:rFonts w:ascii="仿宋_GB2312" w:hAnsi="仿宋_GB2312" w:cs="宋体;方正书宋_GBK" w:hint="eastAsia" w:eastAsia="仿宋_GB2312"/>
          <w:sz w:val="32"/>
          <w:szCs w:val="32"/>
        </w:rPr>
        <w:t>为了保障邮政普遍服务，加强对邮政市场的监督管理，维护用户合法权益，促进邮政业健康发展，适应经济社会发展和人民生活需要，根据《中华人民共和国邮政法》和国家有关法律、法规的规定，结合自治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在自治区行政区域内从事邮政业规划、建设、服务、经营和监督管理等活动，应当遵守本条例。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邮政普遍服务是国家重要的社会公用事业。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旗县级以上人民政府应当将邮政业纳入国民经济和社会发展规划，保障邮政业与当地经济社会协调发展，支持邮政企业提供邮政普遍服务。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自治区邮政管理部门负责对本行政区域内的邮政普遍服务和邮政市场实施监督管理。按照国务院规定设立的盟行政公署、设区的市和旗县级邮政管理部门负责对本辖区的邮政普遍服务和邮政市场实施监督管理。邮政管理部门可以在其法定权限内委托依法成立的管理邮政事务的事业组织从事邮政普遍服务和邮政市场监督检查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发展和改革、公安、国家安全、民政、财政、自然资源、生态环境、住房和城乡建设、交通运输、商务、市场监督管理、海关、铁路、民航等有关部门按照各自职责，做好邮政管理的相关工作。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第五条  </w:t>
      </w:r>
      <w:r>
        <w:rPr>
          <w:rFonts w:ascii="仿宋_GB2312" w:hAnsi="仿宋_GB2312" w:cs="宋体;方正书宋_GBK" w:hint="eastAsia" w:eastAsia="仿宋_GB2312"/>
          <w:sz w:val="32"/>
          <w:szCs w:val="32"/>
        </w:rPr>
        <w:t>鼓励、支持和规范多种所有制快递企业发展，推进快递服务体系建设，满足社会各方面需求。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邮政企业、快递企业应当加强服务质量管理，完善安全保障措施，为用户提供迅速、准确、安全、方便的服务，保障用户的合法权益。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邮政企业、快递企业应当践行绿色发展理念，坚持绿色化、减量化、可循环原则，履行生态环境保护社会责任，建立实施绿色采购制度，优先采购和使用绿色产品、服务、技术，使用环保材料，在确保内件安全的前提下大力推行简约包装，杜绝过度包装，在营业网点设置回收装置，回收邮件、快件包装材料，促进包装材料的再利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鼓励倡导寄件人采取绿色寄递方式。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规划与建设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旗县级以上人民政府应当将邮政设施的布局和建设纳入城乡规划，对邮政营业场所、邮件和快件处理场所、快递园区的规划建设和使用土地提供支持，并将智能快件箱、快递末端综合服务场所建设纳入公共服务设施规划。重点扶持农村牧区邮政、快递设施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编制苏木乡镇、嘎查村规划，应当含有邮政设施设置内容。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各级人民政府应当按照城乡公共服务均等化的要求，对农村牧区通邮给予重点扶持。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苏木乡镇人民政府应当指导、支持嘎查村民委员会设立嘎查村邮站或者其他接收邮件的场所，承担本嘎查村邮件接收和投递。鼓励和倡导嘎查村集体经济组织投入嘎查村邮站建设。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邮政企业应当按照有关规定加大对嘎查村邮站建设的投入，并对嘎查村邮站提供业务指导。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建设城市新区、独立工矿区、开发区、住宅区和商业区或者对旧城区进行改造，应当按照城市总体规划建设配套的提供邮政普遍服务的邮政设施。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第十一条 </w:t>
      </w:r>
      <w:r>
        <w:rPr>
          <w:rFonts w:ascii="仿宋_GB2312" w:hAnsi="仿宋_GB2312" w:cs="宋体;方正书宋_GBK" w:hint="eastAsia" w:eastAsia="仿宋_GB2312"/>
          <w:sz w:val="32"/>
          <w:szCs w:val="32"/>
        </w:rPr>
        <w:t xml:space="preserve"> 邮政企业应当按照国家规定的邮政普遍服务标准和城乡规划在机场、车站、城市街道、广场、公园等公共场所设置邮筒（箱）、邮政报刊亭等邮政设施。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较大的车站、机场、陆路口岸、高等院校、宾馆、旅游区和集贸市场应当设置提供邮政普遍服务的邮政营业场所、邮件处理场所等邮政设施，并为邮政企业装卸、转运邮件和邮政车辆出入提供必要的场所和通道。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新建城镇居民楼，建设单位应当按照国家和自治区规定标准在便于投递的位置设置接收邮件快件的智能信报（快件）箱，并与主体工程同时设计、同时施工、同时验收。对未设置智能信报（快件）箱或者设置的智能信报（快件）箱未达到国家或者自治区规定标准的，不予验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已建成的城镇居民楼未设置智能信报（快件）箱的，可以由邮政企业或者第三方平台企业进行代建，物业服务企业应当积极配合代建企业。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城镇居民楼维修改造时，应当将智能信报（快件）箱作为公用设施进行维修和更换，所需费用由该居民楼的产权所有者协商解决或者由业主大会决定。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机关、团体、企业、事业单位以及其他组织应当在楼房地面层或者单位主出入口设置接收邮件的收发室；两个以上单位使用同一用邮地址的，可以设置联合收发室。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商用写字楼应当设置接收邮件的收发室，未设置收发室的，由物业管理单位负责代收。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提供邮政普遍服务的邮政设施建设所需的土地按照城市基础设施用地依法划拨，免征市政公用基础设施建设配套费。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邮政企业设置占地面积四平方米以内的邮筒（箱）、邮政报刊亭和其他邮政设施，经所在地人民政府批准，免缴城市道路占用费。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因城市改造、重点建设等确需征收邮政营业场所或者邮件处理场所的，城乡规划主管部门应当按照方便用邮、就近安置和不少于原有面积的原则，对邮政营业场所或者邮件处理场所的重新设置作出妥善安排；未作出妥善安排前，不得征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重新设置的邮政营业场所、邮件处理场所交付使用前，应当安排过渡场所，保证邮政普遍服务正常进行。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邮筒（箱）、邮政报刊亭确需迁移的，应当就近安置。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第三章  邮政服务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邮政企业应当按照国家规定承担自治区行政区域内的邮政普遍服务义务。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邮政企业向用户提供邮政普遍服务，应当符合邮政普遍服务标准。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邮政营业场所调整营业时间，应当提前五日发布公告。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邮政企业设置邮政营业场所，应当事先书面告知自治区邮政管理部门。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撤销提供邮政普遍服务的邮政营业场所、停止办理或者限制办理邮政普遍服务和特殊服务，应当向自治区邮政管理部门提出书面申请。自治区邮政管理部门在受理申请之日起二十日内作出是否批准的决定，并在作出批准决定之日起十日内向社会公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因不可抗力或者其他特殊原因暂时停止办理或者限制办理邮政普遍服务业务的，邮政企业应当及时公告，采取相应的补救措施，并向自治区邮政管理部门报告。暂时停止办理或者限制办理邮政普遍服务业务的时间不得超过三个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邮政企业应当在苏木乡镇人民政府所在地设置至少一个提供邮政普遍服务的邮政营业场所。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苏木乡镇人民政府所在地邮政场所每周营业时间不少于五日且逢赶集日应当营业，投递邮件每周不少于五次；嘎查村投递邮件每周不少于二次。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自治区邮政管理部门应当按照国家有关规定，根据经济社会发展需要，对自治区行政区域内邮件寄递的全程时限标准适时调整。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邮政企业应当按照国家规定的邮件投递方式或者与用户约定的方式及时、准确、安全投递邮件。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邮政企业对具备通邮条件的新用户，应当自办理邮件投递登记之日起十五日内通邮；对不具备通邮条件的新用户，应当将邮件投递至与用户商定的邮件代收点。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第二十四条 </w:t>
      </w:r>
      <w:r>
        <w:rPr>
          <w:rFonts w:ascii="仿宋_GB2312" w:hAnsi="仿宋_GB2312" w:cs="宋体;方正书宋_GBK" w:hint="eastAsia" w:eastAsia="仿宋_GB2312"/>
          <w:sz w:val="32"/>
          <w:szCs w:val="32"/>
        </w:rPr>
        <w:t xml:space="preserve"> 苏木乡镇人民政府所在地的给据邮件，邮政企业应当及时投递到户；其他邮件投递到嘎查村邮站或者与用户协商的邮件代收人，并逐步实现全部邮件投递到户。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邮政企业应当设置用户监督信箱或者意见簿、公布监督电话号码，接受用户对邮政服务质量的监督，并对用户的举报和投诉在十五日内予以答复。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第二十六条 </w:t>
      </w:r>
      <w:r>
        <w:rPr>
          <w:rFonts w:ascii="仿宋_GB2312" w:hAnsi="仿宋_GB2312" w:cs="宋体;方正书宋_GBK" w:hint="eastAsia" w:eastAsia="仿宋_GB2312"/>
          <w:sz w:val="32"/>
          <w:szCs w:val="32"/>
        </w:rPr>
        <w:t xml:space="preserve"> 邮政企业及其从业人员不得有下列行为：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（一）私自开拆、隐匿、毁弃、盗窃邮件，撕揭邮票，冒领用户款物；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（二）无故拒绝、拖延、中断邮政业务；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（三）泄露用户使用邮政服务的信息；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（四）擅自变更邮政普遍服务业务收费标准或者增加收费项目；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（五）强迫、误导用户使用高资费邮政业务；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（六）转让、出借、出租邮政专用的用品用具；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（七）法律、法规禁止的其他行为。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民政部门应当确定城镇街道、农村牧区自然村标准地名，对单位和居民住宅设置统一编制的门牌号码，标明邮政编码。标准地名和门牌号码发生变更，民政部门应当及时公布，邮政企业应当定期核对，并根据变更后的标准地名和门牌号码进行投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用户交寄信函、明信片时，应当使用符合国家标准的信封、明信片，并正确书写收件人姓名、地址、邮政编码。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用户变更名称、投递地址的，应当在变更十日前书面通知邮政企业；未及时通知或者变更后地址不具备通邮条件导致邮件无法投递的，邮政企业应当退回寄件人。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用户对交寄的给据邮件和汇款，可以在国家规定的时间内持据向收寄、收汇的邮政企业查询。邮政企业应当提供免费查询服务，并按照国家规定的期限将查询结果告知查询人。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第三十一条 </w:t>
      </w:r>
      <w:r>
        <w:rPr>
          <w:rFonts w:ascii="仿宋_GB2312" w:hAnsi="仿宋_GB2312" w:cs="宋体;方正书宋_GBK" w:hint="eastAsia" w:eastAsia="仿宋_GB2312"/>
          <w:sz w:val="32"/>
          <w:szCs w:val="32"/>
        </w:rPr>
        <w:t xml:space="preserve"> 有下列情形之一的，城镇居民楼的物业管理单位应当为投递提供必要协助：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（一）尚未设置信报箱（群、间）的；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（二）信报箱（群、间）因维修、破损等原因无法投递邮件的；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（三）信报箱（群、间）设置于城镇居民楼门禁以内无法投递邮件的。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快递业务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在自治区行政区域内经营快递业务，应当按照《中华人民共和国邮政法》相关规定，向自治区邮政管理部门申请快递业务经营许可。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自治区邮政管理部门应当向社会公布取得快递业务经营许可企业的名单。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《快递业务经营许可证》记载事项发生变化的，经营快递业务的企业应当向作出行政许可决定的邮政管理部门提出申请；邮政管理部门依法办理变更手续。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快递企业向用户提供快递服务，应当符合快递服务标准。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快递企业临时性停止经营快递业务的，应当提前七日向社会公布，并书面告知自治区邮政管理部门。对已收寄的快件，应当按照原服务承诺进行投递。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快递企业及其从业人员不得冒领、私自开拆、隐匿、毁弃或者非法检查快件；不得向任何单位和个人泄露用户使用快递服务的信息。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安全保障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用户交寄的邮件、快件和汇款在运输、传递以及处理过程中，除法律另有规定外，任何单位或者个人不得阻碍、检查、扣留。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任何单位和个人不得交寄、夹寄带爆炸性、易燃性、腐蚀性、放射性、毒害性、传染病病原体等危险有害物品以及非法出版物等国家规定禁止寄递的物品。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邮政企业和快递企业应当建立并严格执行收寄验视制度。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对用户交寄的信件，必要时邮政企业和快递企业可以要求用户开拆，进行验视，但不得检查信件内容。用户拒绝开拆的，不予收寄。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邮政企业和快递企业对用户交寄的除信件以外的邮件、快件，应当当场验视内件。用户拒绝验视的，不予收寄。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邮政企业和快递企业在收寄过程中，发现有国家规定禁止寄递或者限制寄递物品的，应当按照国家有关规定处理。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邮政企业、快递企业应当依法建立并执行邮件、快件收寄验视制度。对寄件人交寄的物品，经验视符合寄递要求的，应当在包装物上加盖或者粘贴验视标识。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邮政企业、快递企业应当对邮件、快件进行安全检查，安全检查设备应当由经过专业培训的安检员进行操作，并遵守安全检查设备操作规程。安检作业时安检员不得从事与安检无关的活动。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旗县级以上人民政府应当将邮政业突发事件应急预案和应急保障机制纳入应急管理体系。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邮政企业和快递企业应当落实安全责任，建立突发事件应急预案和应急保障机制。发生突发事件时，应当及时向邮政管理、应急管理等相关部门报告。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经自治区邮政管理部门和自治区道路运输管理机构核定的带有邮政专用标志的普遍服务运邮车辆，免办道路运输营运证。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带有邮政专用标志的车辆运递邮件时，凭公安交通管理部门核准的通行证，在确保安全畅通的情况下，可以不受禁行路线、禁停地段的限制；进出陆路口岸和通过桥梁、检查站、高速公路时，应当优先放行。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带有邮政专用标志的车辆运递邮件时，发生严重违章或者重大交通事故，公安交通管理部门应当及时通知邮政企业，并协助保护邮件安全。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邮政企业不得利用带有邮政专用标志的车辆从事邮件运递以外的经营性活动，不得以出租等方式允许其他单位或者个人使用带有邮政专用标志的车辆。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第四十三条 </w:t>
      </w:r>
      <w:r>
        <w:rPr>
          <w:rFonts w:ascii="仿宋_GB2312" w:hAnsi="仿宋_GB2312" w:cs="宋体;方正书宋_GBK" w:hint="eastAsia" w:eastAsia="仿宋_GB2312"/>
          <w:sz w:val="32"/>
          <w:szCs w:val="32"/>
        </w:rPr>
        <w:t xml:space="preserve"> 快递企业凭自治区邮政管理部门的有关文件，向公安交通管理部门申请核发快递揽收、投递车辆通行证。凭通行证，快递揽收、投递车辆可以在市区通行、停靠。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任何单位和个人不得有下列行为：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（一）擅自迁移、毁损邮筒（箱）、邮政报刊亭、信报箱（群、间）等邮政设施；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（二）在邮政出入通道设摊、堆物，妨害用邮或者影响运邮车辆通行；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（三）伪造、涂改邮资凭证以及其他邮政有价证券、卡；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（四）伪造、买卖、盗用、转借邮政专用标志或者邮政用品用具生产监制证；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（五）私自开拆、非法扣留、隐匿、抽取、毁弃、盗窃他人邮件、快件或者撕揭邮票；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（六）非法拦截邮政专用运邮车辆，阻碍邮件、快件运输；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（七）擅自仿印邮票或者邮资图案；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（八）法律、法规禁止的其他行为。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监督管理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自治区邮政管理部门应当加强对邮政行业协会的监督指导，并指导职业技能鉴定机构开展邮政行业特有工种职业技能鉴定工作。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自治区邮政管理部门应当建立健全邮政和快递服务社会监督体系。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第四十七条  </w:t>
      </w:r>
      <w:r>
        <w:rPr>
          <w:rFonts w:ascii="仿宋_GB2312" w:hAnsi="仿宋_GB2312" w:cs="宋体;方正书宋_GBK" w:hint="eastAsia" w:eastAsia="仿宋_GB2312"/>
          <w:sz w:val="32"/>
          <w:szCs w:val="32"/>
        </w:rPr>
        <w:t>邮政企业和快递企业应当根据自治区邮政管理部门的要求报告企业有关经营情况，及时、准确报送统计资料。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自治区邮政管理部门依法行使监督检查职责时，被检查单位和个人应当予以配合，如实提供情况和有关资料，不得拒绝、拖延、阻拦；不得隐匿、销毁、转移原始资料。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自治区邮政管理部门进行监督检查时，监督检查人员不得少于二人，并应当出示自治区人民政府核发的行政执法证件；对监督检查中知悉的国家秘密、商业秘密、个人隐私负有保密义务。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邮政企业应当按年度向自治区邮政管理部门提交邮政普遍服务工作情况报告，经自治区邮政管理部门审核，报自治区人民政府批准后，向社会发布。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xml:space="preserve">  自治区邮政管理部门应当加强对邮政普遍服务和特殊服务补贴资金使用的监督管理。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邮政企业对邮政普遍服务和特殊服务的补贴资金应当专款专用，补贴资金项目计划报自治区邮政管理部门审核，并接受监督和评估。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第五十一条 </w:t>
      </w:r>
      <w:r>
        <w:rPr>
          <w:rFonts w:ascii="仿宋_GB2312" w:hAnsi="仿宋_GB2312" w:cs="宋体;方正书宋_GBK" w:hint="eastAsia" w:eastAsia="仿宋_GB2312"/>
          <w:sz w:val="32"/>
          <w:szCs w:val="32"/>
        </w:rPr>
        <w:t xml:space="preserve"> 违反本条例第二十条规定，邮政企业未按照寄递时限送达邮件的，由自治区邮政管理部门责令改正，并可处以</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万元以下的罚款；情节严重的，处以</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第五十二条</w:t>
      </w:r>
      <w:r>
        <w:rPr>
          <w:rFonts w:ascii="仿宋_GB2312" w:hAnsi="仿宋_GB2312" w:cs="宋体;方正书宋_GBK" w:hint="eastAsia" w:eastAsia="仿宋_GB2312"/>
          <w:sz w:val="32"/>
          <w:szCs w:val="32"/>
        </w:rPr>
        <w:t xml:space="preserve">  违反本条例第二十三条规定，新用户具备通邮条件，并办理了投递登记，十五日内未通邮的，由自治区邮政管理部门责令限期改正；逾期未改正的，处以</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第五十三条 </w:t>
      </w:r>
      <w:r>
        <w:rPr>
          <w:rFonts w:ascii="仿宋_GB2312" w:hAnsi="仿宋_GB2312" w:cs="宋体;方正书宋_GBK" w:hint="eastAsia" w:eastAsia="仿宋_GB2312"/>
          <w:sz w:val="32"/>
          <w:szCs w:val="32"/>
        </w:rPr>
        <w:t xml:space="preserve"> 违反本条例第二十六条规定，邮政企业有下列行为之一的，由自治区邮政管理部门责令改正，并处以</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（一）无故拒绝、中断邮政业务的；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（二）擅自变更邮政普遍服务业务收费标准或者增加收费项目的；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（三）强迫、误导用户使用高资费邮政业务的。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xml:space="preserve">  违反本条例第三十四条规定，快递企业经营快递业务不符合快递服务标准的，由自治区邮政管理部门责令改正，并按照国家有关规定处理。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第五十五条 </w:t>
      </w:r>
      <w:r>
        <w:rPr>
          <w:rFonts w:ascii="仿宋_GB2312" w:hAnsi="仿宋_GB2312" w:cs="宋体;方正书宋_GBK" w:hint="eastAsia" w:eastAsia="仿宋_GB2312"/>
          <w:sz w:val="32"/>
          <w:szCs w:val="32"/>
        </w:rPr>
        <w:t xml:space="preserve"> 违反本条例第三十五条规定，快递企业临时性停止经营快递业务，未书面告知自治区邮政管理部门或者对已收寄的快件未按照原服务承诺进行投递的，由自治区邮政管理部门责令限期改正；逾期未改正的，处以</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第五十六条</w:t>
      </w:r>
      <w:r>
        <w:rPr>
          <w:rFonts w:ascii="仿宋_GB2312" w:hAnsi="仿宋_GB2312" w:cs="宋体;方正书宋_GBK" w:hint="eastAsia" w:eastAsia="仿宋_GB2312"/>
          <w:sz w:val="32"/>
          <w:szCs w:val="32"/>
        </w:rPr>
        <w:t xml:space="preserve">  邮政企业、快递企业有下列行为之一的，由邮政管理部门责令限期改正；逾期未改正的，处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元以下的罚款：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（一）未在寄件人交寄的物品包装物上加盖或者粘贴验视标识的；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（二）未经过专业培训的安检员操作安全检查设备或者未遵守安全检查设备操作规程的；安检作业时安检员从事与安检无关活动的。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第五十七条</w:t>
      </w:r>
      <w:r>
        <w:rPr>
          <w:rFonts w:ascii="仿宋_GB2312" w:hAnsi="仿宋_GB2312" w:cs="宋体;方正书宋_GBK" w:hint="eastAsia" w:eastAsia="仿宋_GB2312"/>
          <w:sz w:val="32"/>
          <w:szCs w:val="32"/>
        </w:rPr>
        <w:t xml:space="preserve">  邮政管理部门工作人员有下列行为之一的，由其所在单位或者上级主管部门对直接负责的主管人员和其他直接责任人员依法给予行政处分；构成犯罪的，依法追究刑事责任：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（一）未依法审批快递业务经营许可证的；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（二）未依法履行监督检查职责的；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（三）未依法受理有关服务质量投诉的；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（四）有其他滥用职权、玩忽职守、徇私舞弊行为的。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第五十八条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r>
        <w:rPr>
          <w:rFonts w:eastAsia="仿宋_GB2312" w:cs="宋体;方正书宋_GBK" w:hint="eastAsia" w:ascii="仿宋_GB2312" w:hAnsi="仿宋_GB2312"/>
          <w:sz w:val="32"/>
          <w:szCs w:val="32"/>
        </w:rPr>
        <w:t>2002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8</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23</w:t>
      </w:r>
      <w:r>
        <w:rPr>
          <w:rFonts w:ascii="仿宋_GB2312" w:hAnsi="仿宋_GB2312" w:cs="宋体;方正书宋_GBK" w:hint="eastAsia" w:eastAsia="仿宋_GB2312"/>
          <w:sz w:val="32"/>
          <w:szCs w:val="32"/>
        </w:rPr>
        <w:t>日经自治区人民政府第九次常务会议审议通过的《内蒙古自治区邮政管理办法》同时废止。</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lang w:val="en-US" w:eastAsia="en-US"/>
        </w:rPr>
      </w:pPr>
      <w:r>
        <w:rPr>
          <w:rFonts w:eastAsia="楷体_GB2312;楷体" w:cs="宋体;方正书宋_GBK" w:hint="eastAsia" w:ascii="楷体_GB2312;楷体" w:hAnsi="楷体_GB2312;楷体"/>
          <w:sz w:val="32"/>
          <w:szCs w:val="32"/>
          <w:lang w:val="en-US" w:eastAsia="en-US"/>
        </w:rPr>
        <mc:AlternateContent>
          <mc:Choice Requires="wps">
            <w:drawing>
              <wp:anchor distT="0" distB="0" distL="114935" distR="114935" simplePos="0" relativeHeight="17" behindDoc="0" locked="0" layoutInCell="1" allowOverlap="1">
                <wp:simplePos x="0" y="0"/>
                <wp:positionH relativeFrom="column">
                  <wp:posOffset>-52705</wp:posOffset>
                </wp:positionH>
                <wp:positionV relativeFrom="paragraph">
                  <wp:posOffset>127000</wp:posOffset>
                </wp:positionV>
                <wp:extent cx="714375" cy="390525"/>
                <wp:effectExtent l="5715" t="5715" r="4445" b="4445"/>
                <wp:wrapNone/>
                <wp:docPr id="1" name="矩形 13"/>
                <a:graphic xmlns:a="http://schemas.openxmlformats.org/drawingml/2006/main">
                  <a:graphicData uri="http://schemas.microsoft.com/office/word/2010/wordprocessingShape">
                    <wps:wsp>
                      <wps:cNvSpPr/>
                      <wps:spPr>
                        <a:xfrm>
                          <a:off x="0" y="0"/>
                          <a:ext cx="714240" cy="3906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4.15pt;margin-top:10pt;width:56.2pt;height:30.7pt;mso-wrap-style:none;v-text-anchor:middle">
                <v:fill o:detectmouseclick="t" type="solid" color2="black"/>
                <v:stroke color="white" weight="9360" joinstyle="miter" endcap="flat"/>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15</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15</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2022-12-21T18:33:00Z</dcterms:created>
  <dc:creator>Lenovo User</dc:creator>
  <dc:description/>
  <dc:language>en-US</dc:language>
  <cp:lastModifiedBy>rd</cp:lastModifiedBy>
  <cp:lastPrinted>2022-12-21T15:33:00Z</cp:lastPrinted>
  <dcterms:modified xsi:type="dcterms:W3CDTF">2022-12-24T05:17:15Z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