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内蒙古自治区呼伦湖国家级自然保护区条例</w:t>
      </w:r>
    </w:p>
    <w:p>
      <w:pPr>
        <w:pStyle w:val="Normal"/>
        <w:spacing w:lineRule="exact" w:line="580" w:before="312" w:after="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日内蒙古自治区第十二届人民代表大会常务委员会第二十四次会议通过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日内蒙古自治区第十三届人民代表大会常务委员会第六次会议《关于修改〈内蒙古自治区农牧业机械化促进条例〉等</w:t>
      </w:r>
      <w:r>
        <w:rPr>
          <w:rFonts w:eastAsia="楷体_GB2312" w:hint="eastAsia" w:ascii="楷体_GB2312" w:hAnsi="楷体_GB2312"/>
          <w:sz w:val="32"/>
          <w:szCs w:val="32"/>
        </w:rPr>
        <w:t>7</w:t>
      </w:r>
      <w:r>
        <w:rPr>
          <w:rFonts w:ascii="楷体_GB2312" w:hAnsi="楷体_GB2312" w:hint="eastAsia" w:eastAsia="楷体_GB2312"/>
          <w:sz w:val="32"/>
          <w:szCs w:val="32"/>
        </w:rPr>
        <w:t>件地方性法规的决定》修正）</w:t>
      </w:r>
    </w:p>
    <w:p>
      <w:pPr>
        <w:pStyle w:val="Normal"/>
        <w:spacing w:lineRule="exact" w:line="580"/>
        <w:ind w:firstLineChars="200" w:startChars="0" w:start="0" w:endChars="0" w:end="0"/>
        <w:rPr>
          <w:rFonts w:ascii="楷体_GB2312" w:hAnsi="楷体_GB2312" w:eastAsia="楷体_GB2312" w:hint="eastAsia"/>
          <w:spacing w:val="-2"/>
          <w:sz w:val="32"/>
          <w:szCs w:val="32"/>
        </w:rPr>
      </w:pPr>
      <w:r>
        <w:rPr>
          <w:rFonts w:eastAsia="楷体_GB2312" w:hint="eastAsia" w:ascii="楷体_GB2312" w:hAnsi="楷体_GB2312"/>
          <w:spacing w:val="-2"/>
          <w:sz w:val="32"/>
          <w:szCs w:val="32"/>
        </w:rPr>
      </w:r>
    </w:p>
    <w:p>
      <w:pPr>
        <w:pStyle w:val="Normal"/>
        <w:spacing w:lineRule="exact" w:line="580"/>
        <w:ind w:firstLineChars="0" w:firstLine="0" w:startChars="200" w:endChars="200"/>
        <w:jc w:val="center"/>
        <w:rPr/>
      </w:pPr>
      <w:r>
        <w:rPr>
          <w:rFonts w:ascii="楷体_GB2312" w:hAnsi="楷体_GB2312" w:cs="华文中宋" w:hint="eastAsia" w:eastAsia="楷体_GB2312"/>
          <w:sz w:val="32"/>
          <w:szCs w:val="32"/>
        </w:rPr>
        <w:t>目  录</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　则</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规划与保护</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利用与管理</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hint="eastAsia" w:eastAsia="楷体_GB2312"/>
          <w:sz w:val="32"/>
          <w:szCs w:val="32"/>
        </w:rPr>
        <w:t>第五章　附　则</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spacing w:lineRule="exact" w:line="580" w:before="0" w:after="156"/>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加强呼伦湖国家级自然保护区（以下简称保护区）的保护和管理，维护其生态功能和生物多样性，促进经济社会协调发展，根据《中华人民共和国环境保护法》《中华人民共和国自然保护区条例》和国家有关法律、法规，结合保护区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保护区位于呼伦贝尔市新巴尔虎右旗、新巴尔虎左旗、满洲里市和扎赉诺尔区境内，属于野生动物类型、湿地生态系统类型、草原生态系统类型的综合型自然保护区。保护区面积、界线以国务院批准的面积、界线为准。</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在保护区内从事规划、保护、建设、利用、管理等活动，应当遵守本条例。</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保护区的管理应当坚持保护优先、科学规划、合理利用、永续发展的原则，妥善处理生态环境保护与当地经济社会发展以及居民生产生活的关系。</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自治区人民政府、呼伦贝尔市人民政府以及保护区所在地旗县级人民政府应当将保护区的规划、建设和保护纳入国民经济和社会发展规划，建立保护投入和生态补偿的长效机制。保护区的建设、保护和管理所需经费，由保护区所在地旗县级以上人民政府安排。</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自治区人民政府应当加强对保护区工作的领导，呼伦贝尔市人民政府负责保护区的保护和管理工作，协调解决保护区关于自然环境保护、生态建设、流域治理与经济社会发展等方面的重大事项。</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呼伦贝尔市人民政府所属的保护区管理机构负责保护区保护和管理的具体工作。保护区管理机构的主要职责</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（一）贯彻执行国家和自治区有关法律、法规、规章和方针、政策；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（二）负责组织保护区总体规划和专项规划的编制、修订和实施工作，制定和实施各项管理制度；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（三）负责保护区内自然环境、自然资源的保护和管理工作；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（四）组织开展资源调查、生态保护建设和环境监测工作，协调开展野生动植物保护、繁育和疫源疫病防治工作；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（五）组织开展科学研究和宣传教育活动；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（六）在不影响保护区的自然环境和自然资源的前提下，按照保护区总体规划，组织开展参观、旅游等活动；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（七）组织开展保护区的国内、国际合作；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（八）依法统一查处保护区内涉及保护区的建设、保护和管理方面的违法行为；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（九）保护区的其他管理工作。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保护区所在地旗县级以上人民政府环境保护、林业、公安、水利、农牧业、旅游、国土资源、交通运输、住房和城乡建设等部门应当按照各自职责，做好保护区相关管理工作。</w:t>
      </w:r>
    </w:p>
    <w:p>
      <w:pPr>
        <w:pStyle w:val="Normal"/>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自治区鼓励社会力量投资或者以其他方式参与保护区的建设和保护。</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任何单位和个人都有保护保护区自然环境和自然资源的义务，并有权对破坏、侵占自然环境、自然资源的行为进行举报。</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保护区所在地旗县级以上人民政府对在保护区建设、保护和管理以及科学研究中做出显著成绩的单位和个人，应当给予表彰和奖励。</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第二章　规划与保护</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保护区管理机构应当会同同级人民政府有关部门编制保护区总体规划，按照国家规定的程序报批。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经批准的保护区总体规划应当严格执行，任何单位和个人不得擅自变更；确需变更的，应当按照原批准程序报批。</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保护区管理机构应当根据国务院批准的保护区的范围和界线，设置保护区区界标志和功能区区界标志，并向社会公布。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未经原审批机关批准，任何单位和个人不得改变保护区的性质以及区界范围。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任何单位和个人不得破坏或者擅自移动保护区的界标以及其他保护设施。</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保护区划分为核心区、缓冲区和实验区，其范围、界线以国务院批准的为准。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核心区为保存完好的天然状态的生态系统以及珍稀、濒危动植物的集中分布地，任何单位和个人不得擅自进入核心区。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核心区外围为缓冲区，只准进入从事科学研究观测活动，禁止开展旅游和生产经营活动。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缓冲区外围为实验区，可以进行科学试验、教学实习、参观考察、旅游以及驯化、繁殖珍稀、濒危野生动植物等活动。</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呼伦贝尔市人民政府以及保护区所在地旗县级人民政府应当制定本辖区保护区生态移民规划，核心区应当逐步实现无人居住，缓冲区和实验区应当逐步减少居住人口。</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保护区内禁止迁入新的住户。保护区内的单位、居民和经批准进入保护区的人员应当遵守保护区的有关规定，服从保护区管理机构的管理。</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禁止任何单位和个人在保护区内从事下列活动</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（一）砍伐、放牧、狩猎、捕捞、采药、开垦、烧荒、开矿、采石、挖沙、取土等活动，法律、行政法规另有规定的除外</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（二）建设工业固体废物集中贮存、处置设施、场所和生活垃圾填埋场以及其他污染环境、破坏自然资源或者景观的项目</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（三）向保护区水体倾倒排放固体、液体废弃物</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（四）在保护区水体清洗车辆、装贮过油类或者有毒污染物的容器和其他可能污染水体的物品</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（五）非法出售、收购国家和自治区重点保护野生动物及其制品</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（六）破坏鱼类等水生野生动物的洄游通道</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（七）捡拾鸟卵、捣毁鸟巢等破坏鸟类及其他野生动物繁殖区及其栖息地</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（八）开采地下水资源，经依法批准的饮水安全建设工程除外</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（九）破坏湖岸和河岸的芦苇、柳条、锦鸡儿等护岸固沙植被</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（十）挖沟筑坝，排放湿地水资源等</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（十一）法律、法规禁止的其他行为。</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船舶排放含油污水、生活污水，应当符合船舶污染物排放标准。船舶的残油、废油应当回收，不得排入水体。</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保护区严格控制引进外来物种。确有必要引入外来物种的，按照国家有关规定进行审批和实验。在试种、试养期，应当接受保护区管理机构和有关行政管理部门的监督管理。</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保护区管理机构应当建立鸟类以及其他野生动物救护机构，负责救护、放生工作。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发现受伤、病弱、饥饿、受困、迷途的国家和自治区重点保护野生动物时，应当及时报告保护区管理机构，由其采取救护措施；也可以就近送至具备救护条件的单位救护。救护单位应当及时救护，并报告保护区管理机构。</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保护区所在地旗县级以上人民政府和保护区管理机构应当组织保护区与周边单位、居民建立防火联防机制，制定防火公约，监督检查保护区的防火工作。</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保护区管理机构应当在科学论证的基础上，采取河道险工治理、河道清淤疏浚、河道湿地恢复和河道景观建设等措施，对保护区河道进行综合治理，有关部门应当按照各自职责予以配合。</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保护区管理机构应当在科学论证的基础上，有计划地种植有利于净化水体的植物、放养有利于净化水体的底栖动物和鱼类，并对各类水生植物的残体进行清除。</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保护区管理机构应当结合水文、水质、生态监测站点和断面，建立保护区生态环境指标体系和综合监控网络体系以及相应的信息数据库。</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保护区管理机构应当在进出保护区的主要路口设置检查哨卡，对进出保护区的车辆、人员进行检查登记，有关人员应当配合。</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第三章　利用与管理</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在保护区依法从事有关建设、经营、利用等活动，应当符合保护区总体规划。</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在核心区和缓冲区内，不得建设任何生产经营设施。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在实验区内不得建设污染环境、破坏资源或者影响景观的生产经营设施。经批准建设的其他项目，其污染物排放不得超过国家和自治区规定的排放标准。</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保护区内未经批准的建设项目应当依法限期关闭。造成生态破坏的，相关责任人应当依法承担生态恢复治理责任。</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因科学研究需要，必须进入核心区从事科学研究观测、调查活动的，应当于三十日前向保护区管理机构提交书面申请和活动计划，并按照国家有关规定办理审批手续。</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因教学科研观测需要，进入缓冲区从事非破坏性的科学研究、教学实习和标本采集活动的，应当于三十日前向保护区管理机构提交书面申请和活动计划，经保护区管理机构批准后方可进入。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从事前款活动的单位和个人，应当向保护区管理机构提交活动成果副本。</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在实验区从事旅游、食宿、餐饮、娱乐业等经营活动的单位和个人，应当依法办理有关手续，在保护区管理机构指定地点或者范围从事经营活动，并设置垃圾、废水处理等设施，服从保护区管理机构的监督管理。</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保护区内的建设项目和与保护区有关的规划应当依法进行环境影响评价。</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第三十二条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保护区内水域中的船舶，应当按照保护区总体规划实行总量控制。有关单位和个人应当将从事旅游经营等船舶的活动范围书面告知保护区管理机构，服从保护区管理机构的管理。</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保护区所在地旗县级人民政府农牧业主管部门应当将保护区内草原承包、流转情况及时书面告知保护区管理机构。</w:t>
      </w:r>
    </w:p>
    <w:p>
      <w:pPr>
        <w:pStyle w:val="Normal"/>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经依法批准占用实验区自然资源的，应当实行资源有偿使用制度，具体办法由自治区人民政府制定。</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违反本条例规定的行为，《中华人民共和国环境保护法》《中华人民共和国自然保护区条例》等有关法律、法规已经作出具体处罚规定的，从其规定，由保护区管理机构依照职责进行处罚。</w:t>
      </w:r>
    </w:p>
    <w:p>
      <w:pPr>
        <w:pStyle w:val="Normal"/>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违反本条例第十六条规定，在保护区内有下列行为之一的，由保护区管理机构责令停止违法行为，并按照下列规定进行处罚</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（一）破坏鱼类等水生野生动物的洄游通道的，处以恢复原状所需费用的一倍以上三倍以下罚款；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（二）破坏鸟类及其他野生动物繁殖区及其栖息地的，处以恢复原状所需费用的一倍以上三倍以下罚款；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（三）破坏湖岸、河岸护岸固沙植被的，处以恢复原状所需费用的一倍以上三倍以下罚款。</w:t>
      </w:r>
    </w:p>
    <w:p>
      <w:pPr>
        <w:pStyle w:val="Normal"/>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保护区所在地人民政府及其有关部门和保护区管理机构违反本条例规定，有下列情形之一的，对直接负责的主管人员和其他直接责任人员依法给予行政处分；构成犯罪的，依法追究刑事责任</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（一）不执行或者擅自变更保护区总体规划的；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（二）超越权限批准进入保护区从事相关活动的；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（三）未依法履行监督管理职责或者发现违法行为不予查处，造成严重后果的；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（四）其他玩忽职守、滥用职权、徇私舞弊的行为。</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第五章　附　则</w:t>
      </w:r>
    </w:p>
    <w:p>
      <w:pPr>
        <w:pStyle w:val="Normal"/>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2018-09-13T14:14:00Z</dcterms:created>
  <dc:creator>Lenovo User</dc:creator>
  <dc:description/>
  <cp:keywords/>
  <dc:language>en-US</dc:language>
  <cp:lastModifiedBy>User</cp:lastModifiedBy>
  <cp:lastPrinted>2018-08-28T15:32:00Z</cp:lastPrinted>
  <dcterms:modified xsi:type="dcterms:W3CDTF">2018-09-13T14:14:00Z</dcterms:modified>
  <cp:revision>3</cp:revision>
  <dc:subject/>
  <dc:title>关于自治区人大常委会</dc:title>
</cp:coreProperties>
</file>