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700"/>
        <w:jc w:val="center"/>
        <w:rPr>
          <w:rFonts w:cs="宋体" w:hint="eastAsia"/>
          <w:sz w:val="44"/>
          <w:szCs w:val="44"/>
        </w:rPr>
      </w:pPr>
      <w:r>
        <w:rPr>
          <w:rFonts w:cs="宋体" w:hint="eastAsia"/>
          <w:sz w:val="44"/>
          <w:szCs w:val="44"/>
        </w:rPr>
        <w:t>内蒙古自治区规章设定罚款限额规定</w:t>
      </w:r>
    </w:p>
    <w:p>
      <w:pPr>
        <w:pStyle w:val="Style15"/>
        <w:spacing w:lineRule="exact" w:line="580"/>
        <w:ind w:firstLineChars="200" w:startChars="0" w:start="0" w:endChars="0" w:end="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spacing w:lineRule="exact" w:line="580"/>
        <w:ind w:firstLineChars="0" w:firstLine="0" w:startChars="400" w:endChars="400"/>
        <w:jc w:val="both"/>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1996</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7</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27</w:t>
      </w:r>
      <w:r>
        <w:rPr>
          <w:rFonts w:ascii="楷体_GB2312;楷体" w:hAnsi="楷体_GB2312;楷体" w:cs="宋体" w:hint="eastAsia" w:eastAsia="楷体_GB2312;楷体"/>
          <w:sz w:val="32"/>
          <w:szCs w:val="32"/>
        </w:rPr>
        <w:t>日内蒙古自治区第八届人民代表大会常务委员会第二十一次会议通过  根据</w:t>
      </w:r>
      <w:r>
        <w:rPr>
          <w:rFonts w:eastAsia="楷体_GB2312;楷体" w:cs="宋体" w:hint="eastAsia" w:ascii="楷体_GB2312;楷体" w:hAnsi="楷体_GB2312;楷体"/>
          <w:sz w:val="32"/>
          <w:szCs w:val="32"/>
        </w:rPr>
        <w:t>2003</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11</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30</w:t>
      </w:r>
      <w:r>
        <w:rPr>
          <w:rFonts w:ascii="楷体_GB2312;楷体" w:hAnsi="楷体_GB2312;楷体" w:cs="宋体" w:hint="eastAsia" w:eastAsia="楷体_GB2312;楷体"/>
          <w:sz w:val="32"/>
          <w:szCs w:val="32"/>
        </w:rPr>
        <w:t>日内蒙古自治区第十届人民代表大会常务委员会第六次会议《关于修改〈内蒙古自治区规章设定罚款限额规定〉的决定》第一次修正  根据</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9</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28</w:t>
      </w:r>
      <w:r>
        <w:rPr>
          <w:rFonts w:ascii="楷体_GB2312;楷体" w:hAnsi="楷体_GB2312;楷体" w:cs="宋体" w:hint="eastAsia" w:eastAsia="楷体_GB2312;楷体"/>
          <w:sz w:val="32"/>
          <w:szCs w:val="32"/>
        </w:rPr>
        <w:t>日内蒙古自治区第十三届人民代表大会常务委员会第三十七次会议《关于修改〈内蒙古自治区动物防疫条例〉等</w:t>
      </w:r>
      <w:r>
        <w:rPr>
          <w:rFonts w:eastAsia="楷体_GB2312;楷体" w:cs="宋体" w:hint="eastAsia" w:ascii="楷体_GB2312;楷体" w:hAnsi="楷体_GB2312;楷体"/>
          <w:sz w:val="32"/>
          <w:szCs w:val="32"/>
        </w:rPr>
        <w:t>4</w:t>
      </w:r>
      <w:r>
        <w:rPr>
          <w:rFonts w:ascii="楷体_GB2312;楷体" w:hAnsi="楷体_GB2312;楷体" w:cs="宋体" w:hint="eastAsia" w:eastAsia="楷体_GB2312;楷体"/>
          <w:sz w:val="32"/>
          <w:szCs w:val="32"/>
        </w:rPr>
        <w:t>件地方性法规的决定》第二次修正）</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根据《中华人民共和国行政处罚法》第十四条的规定，结合自治区实际，制定本规定。</w:t>
      </w:r>
      <w:r>
        <w:rPr>
          <w:rFonts w:ascii="仿宋_GB2312;仿宋" w:hAnsi="仿宋_GB2312;仿宋" w:cs="黑体" w:hint="eastAsia" w:eastAsia="仿宋_GB2312;仿宋"/>
          <w:sz w:val="32"/>
          <w:szCs w:val="32"/>
        </w:rPr>
        <w:t></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第二条</w:t>
      </w:r>
      <w:r>
        <w:rPr>
          <w:rFonts w:ascii="仿宋_GB2312;仿宋" w:hAnsi="仿宋_GB2312;仿宋" w:cs="宋体" w:hint="eastAsia" w:eastAsia="仿宋_GB2312;仿宋"/>
          <w:sz w:val="32"/>
          <w:szCs w:val="32"/>
        </w:rPr>
        <w:t xml:space="preserve">  自治区人民政府、设区的市人民政府制定的规章，对违反行政管理秩序的行为设定罚款的，适用本规定。</w:t>
      </w:r>
      <w:r>
        <w:rPr>
          <w:rFonts w:ascii="仿宋_GB2312;仿宋" w:hAnsi="仿宋_GB2312;仿宋" w:cs="黑体" w:hint="eastAsia" w:eastAsia="仿宋_GB2312;仿宋"/>
          <w:sz w:val="32"/>
          <w:szCs w:val="32"/>
        </w:rPr>
        <w:t></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第三条 </w:t>
      </w:r>
      <w:r>
        <w:rPr>
          <w:rFonts w:ascii="仿宋_GB2312;仿宋" w:hAnsi="仿宋_GB2312;仿宋" w:cs="宋体" w:hint="eastAsia" w:eastAsia="仿宋_GB2312;仿宋"/>
          <w:sz w:val="32"/>
          <w:szCs w:val="32"/>
        </w:rPr>
        <w:t xml:space="preserve"> 尚未制定法律、法规，因行政管理迫切需要依法先以政府规章设定罚款的，设定的罚款数额最高不得超过</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且不得超过法律、法规对相似违法行为的罚款数额；涉及公民生命健康安全、金融安全、生态环境保护、历史文化保护、有限自然资源开发利用、矿山企业安全生产且有危害后果的，设定的罚款数额最高不得超过</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w:t>
      </w:r>
      <w:r>
        <w:rPr>
          <w:rFonts w:ascii="仿宋_GB2312;仿宋" w:hAnsi="仿宋_GB2312;仿宋" w:cs="黑体" w:hint="eastAsia" w:eastAsia="仿宋_GB2312;仿宋"/>
          <w:sz w:val="32"/>
          <w:szCs w:val="32"/>
        </w:rPr>
        <w:t></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法律、法规已经设定了罚款，规章需要在其范围内作具体规定的，不适用本规定。</w:t>
      </w:r>
      <w:r>
        <w:rPr>
          <w:rFonts w:ascii="仿宋_GB2312;仿宋" w:hAnsi="仿宋_GB2312;仿宋" w:cs="黑体" w:hint="eastAsia" w:eastAsia="仿宋_GB2312;仿宋"/>
          <w:sz w:val="32"/>
          <w:szCs w:val="32"/>
        </w:rPr>
        <w:t></w:t>
      </w:r>
    </w:p>
    <w:p>
      <w:pPr>
        <w:pStyle w:val="Style15"/>
        <w:spacing w:lineRule="exact" w:line="58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本规定自</w:t>
      </w:r>
      <w:r>
        <w:rPr>
          <w:rFonts w:eastAsia="仿宋_GB2312;仿宋" w:cs="宋体" w:hint="eastAsia" w:ascii="仿宋_GB2312;仿宋" w:hAnsi="仿宋_GB2312;仿宋"/>
          <w:sz w:val="32"/>
          <w:szCs w:val="32"/>
        </w:rPr>
        <w:t>1996</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20" w:before="62" w:after="0"/>
        <w:ind w:end="119"/>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4"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5"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2022-12-20T23:50:00Z</dcterms:created>
  <dc:creator>Lenovo User</dc:creator>
  <dc:description/>
  <dc:language>en-US</dc:language>
  <cp:lastModifiedBy>諳語</cp:lastModifiedBy>
  <cp:lastPrinted>2022-12-18T23:43:00Z</cp:lastPrinted>
  <dcterms:modified xsi:type="dcterms:W3CDTF">2023-03-22T17:10:33Z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8B4547A71A004DA5A06EAF931305AD1C</vt:lpwstr>
  </property>
  <property fmtid="{D5CDD505-2E9C-101B-9397-08002B2CF9AE}" pid="3" name="KSOProductBuildVer">
    <vt:lpwstr>2052-11.1.0.13703</vt:lpwstr>
  </property>
</Properties>
</file>