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宋体;方正书宋_GBK" w:hAnsi="宋体;方正书宋_GBK" w:eastAsia="宋体;方正书宋_GBK" w:cs="宋体;方正书宋_GBK" w:hint="eastAsia"/>
          <w:kern w:val="0"/>
          <w:sz w:val="32"/>
          <w:szCs w:val="32"/>
        </w:rPr>
      </w:pPr>
      <w:r>
        <w:rPr>
          <w:rFonts w:eastAsia="宋体;方正书宋_GBK" w:cs="宋体;方正书宋_GBK" w:hint="eastAsia" w:ascii="宋体;方正书宋_GBK" w:hAnsi="宋体;方正书宋_GBK"/>
          <w:kern w:val="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宋体;方正书宋_GBK" w:hAnsi="宋体;方正书宋_GBK" w:eastAsia="宋体;方正书宋_GBK" w:cs="宋体;方正书宋_GBK" w:hint="eastAsia"/>
          <w:kern w:val="0"/>
          <w:sz w:val="32"/>
          <w:szCs w:val="32"/>
        </w:rPr>
      </w:pPr>
      <w:r>
        <w:rPr>
          <w:rFonts w:eastAsia="宋体;方正书宋_GBK" w:cs="宋体;方正书宋_GBK" w:hint="eastAsia" w:ascii="宋体;方正书宋_GBK" w:hAnsi="宋体;方正书宋_GBK"/>
          <w:kern w:val="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jc w:val="center"/>
        <w:textAlignment w:val="auto"/>
        <w:rPr>
          <w:rFonts w:ascii="Times New Roman;DejaVu Sans" w:hAnsi="Times New Roman;DejaVu Sans" w:eastAsia="宋体;方正书宋_GBK" w:cs="宋体;方正书宋_GBK" w:hint="eastAsia"/>
          <w:kern w:val="0"/>
          <w:sz w:val="44"/>
          <w:szCs w:val="44"/>
        </w:rPr>
      </w:pPr>
      <w:r>
        <w:rPr>
          <w:rFonts w:ascii="Times New Roman;DejaVu Sans" w:hAnsi="Times New Roman;DejaVu Sans" w:cs="宋体;方正书宋_GBK" w:hint="eastAsia"/>
          <w:kern w:val="0"/>
          <w:sz w:val="44"/>
          <w:szCs w:val="44"/>
        </w:rPr>
        <w:t>全国人民代表大会常务委员会关于</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jc w:val="center"/>
        <w:textAlignment w:val="auto"/>
        <w:rPr>
          <w:rFonts w:ascii="Times New Roman;DejaVu Sans" w:hAnsi="Times New Roman;DejaVu Sans" w:eastAsia="宋体;方正书宋_GBK" w:cs="宋体;方正书宋_GBK" w:hint="eastAsia"/>
          <w:kern w:val="0"/>
          <w:sz w:val="44"/>
          <w:szCs w:val="44"/>
        </w:rPr>
      </w:pPr>
      <w:r>
        <w:rPr>
          <w:rFonts w:ascii="Times New Roman;DejaVu Sans" w:hAnsi="Times New Roman;DejaVu Sans" w:cs="宋体;方正书宋_GBK" w:hint="eastAsia"/>
          <w:kern w:val="0"/>
          <w:sz w:val="44"/>
          <w:szCs w:val="44"/>
        </w:rPr>
        <w:t>《中华人民共和国香港特别行政区基本法》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jc w:val="center"/>
        <w:textAlignment w:val="auto"/>
        <w:rPr>
          <w:rFonts w:ascii="Times New Roman;DejaVu Sans" w:hAnsi="Times New Roman;DejaVu Sans" w:eastAsia="宋体;方正书宋_GBK" w:cs="宋体;方正书宋_GBK" w:hint="eastAsia"/>
          <w:kern w:val="0"/>
          <w:sz w:val="44"/>
          <w:szCs w:val="44"/>
        </w:rPr>
      </w:pPr>
      <w:r>
        <w:rPr>
          <w:rFonts w:ascii="Times New Roman;DejaVu Sans" w:hAnsi="Times New Roman;DejaVu Sans" w:cs="宋体;方正书宋_GBK" w:hint="eastAsia"/>
          <w:kern w:val="0"/>
          <w:sz w:val="44"/>
          <w:szCs w:val="44"/>
        </w:rPr>
        <w:t>第二十二条第四款和第二十四条第二款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jc w:val="center"/>
        <w:textAlignment w:val="auto"/>
        <w:rPr>
          <w:rFonts w:ascii="Times New Roman;DejaVu Sans" w:hAnsi="Times New Roman;DejaVu Sans" w:eastAsia="宋体;方正书宋_GBK" w:cs="宋体;方正书宋_GBK" w:hint="eastAsia"/>
          <w:kern w:val="0"/>
          <w:sz w:val="44"/>
          <w:szCs w:val="44"/>
        </w:rPr>
      </w:pPr>
      <w:r>
        <w:rPr>
          <w:rFonts w:ascii="Times New Roman;DejaVu Sans" w:hAnsi="Times New Roman;DejaVu Sans" w:cs="宋体;方正书宋_GBK" w:hint="eastAsia"/>
          <w:kern w:val="0"/>
          <w:sz w:val="44"/>
          <w:szCs w:val="44"/>
        </w:rPr>
        <w:t>第（三）项的解释</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宋体;方正书宋_GBK" w:hAnsi="宋体;方正书宋_GBK" w:eastAsia="宋体;方正书宋_GBK" w:cs="宋体;方正书宋_GBK" w:hint="eastAsia"/>
          <w:kern w:val="0"/>
          <w:sz w:val="32"/>
          <w:szCs w:val="32"/>
        </w:rPr>
      </w:pPr>
      <w:r>
        <w:rPr>
          <w:rFonts w:eastAsia="宋体;方正书宋_GBK" w:cs="宋体;方正书宋_GBK" w:hint="eastAsia" w:ascii="宋体;方正书宋_GBK" w:hAnsi="宋体;方正书宋_GBK"/>
          <w:kern w:val="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ind w:firstLineChars="0" w:firstLine="0" w:startChars="200" w:endChars="200"/>
        <w:textAlignment w:val="auto"/>
        <w:rPr>
          <w:rFonts w:ascii="Times New Roman;DejaVu Sans" w:hAnsi="Times New Roman;DejaVu Sans" w:eastAsia="仿宋_GB2312;方正仿宋_GBK" w:cs="Arial;DejaVu Sans" w:hint="eastAsia"/>
          <w:kern w:val="0"/>
          <w:sz w:val="32"/>
          <w:szCs w:val="32"/>
        </w:rPr>
      </w:pPr>
      <w:r>
        <w:rPr>
          <w:rFonts w:ascii="Times New Roman;DejaVu Sans" w:hAnsi="Times New Roman;DejaVu Sans" w:cs="楷体_GB2312;方正楷体_GBK" w:hint="eastAsia" w:eastAsia="楷体_GB2312;方正楷体_GBK"/>
          <w:kern w:val="0"/>
          <w:sz w:val="32"/>
          <w:szCs w:val="32"/>
        </w:rPr>
        <w:t>（</w:t>
      </w:r>
      <w:r>
        <w:rPr>
          <w:rFonts w:eastAsia="楷体_GB2312;方正楷体_GBK" w:cs="楷体_GB2312;方正楷体_GBK" w:hint="eastAsia" w:ascii="Times New Roman;DejaVu Sans" w:hAnsi="Times New Roman;DejaVu Sans"/>
          <w:kern w:val="0"/>
          <w:sz w:val="32"/>
          <w:szCs w:val="32"/>
        </w:rPr>
        <w:t>1999</w:t>
      </w:r>
      <w:r>
        <w:rPr>
          <w:rFonts w:ascii="Times New Roman;DejaVu Sans" w:hAnsi="Times New Roman;DejaVu Sans" w:cs="楷体_GB2312;方正楷体_GBK" w:hint="eastAsia" w:eastAsia="楷体_GB2312;方正楷体_GBK"/>
          <w:kern w:val="0"/>
          <w:sz w:val="32"/>
          <w:szCs w:val="32"/>
        </w:rPr>
        <w:t>年</w:t>
      </w:r>
      <w:r>
        <w:rPr>
          <w:rFonts w:eastAsia="楷体_GB2312;方正楷体_GBK" w:cs="楷体_GB2312;方正楷体_GBK" w:hint="eastAsia" w:ascii="Times New Roman;DejaVu Sans" w:hAnsi="Times New Roman;DejaVu Sans"/>
          <w:kern w:val="0"/>
          <w:sz w:val="32"/>
          <w:szCs w:val="32"/>
        </w:rPr>
        <w:t>6</w:t>
      </w:r>
      <w:r>
        <w:rPr>
          <w:rFonts w:ascii="Times New Roman;DejaVu Sans" w:hAnsi="Times New Roman;DejaVu Sans" w:cs="楷体_GB2312;方正楷体_GBK" w:hint="eastAsia" w:eastAsia="楷体_GB2312;方正楷体_GBK"/>
          <w:kern w:val="0"/>
          <w:sz w:val="32"/>
          <w:szCs w:val="32"/>
        </w:rPr>
        <w:t>月</w:t>
      </w:r>
      <w:r>
        <w:rPr>
          <w:rFonts w:eastAsia="楷体_GB2312;方正楷体_GBK" w:cs="楷体_GB2312;方正楷体_GBK" w:hint="eastAsia" w:ascii="Times New Roman;DejaVu Sans" w:hAnsi="Times New Roman;DejaVu Sans"/>
          <w:kern w:val="0"/>
          <w:sz w:val="32"/>
          <w:szCs w:val="32"/>
        </w:rPr>
        <w:t>26</w:t>
      </w:r>
      <w:r>
        <w:rPr>
          <w:rFonts w:ascii="Times New Roman;DejaVu Sans" w:hAnsi="Times New Roman;DejaVu Sans" w:cs="楷体_GB2312;方正楷体_GBK" w:hint="eastAsia" w:eastAsia="楷体_GB2312;方正楷体_GBK"/>
          <w:kern w:val="0"/>
          <w:sz w:val="32"/>
          <w:szCs w:val="32"/>
        </w:rPr>
        <w:t>日第九届全国人民代表大会常务委员会第十次会议通过）</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宋体;方正书宋_GBK" w:hAnsi="宋体;方正书宋_GBK" w:eastAsia="宋体;方正书宋_GBK" w:cs="宋体;方正书宋_GBK" w:hint="eastAsia"/>
          <w:kern w:val="0"/>
          <w:sz w:val="32"/>
          <w:szCs w:val="32"/>
        </w:rPr>
      </w:pPr>
      <w:r>
        <w:rPr>
          <w:rFonts w:eastAsia="宋体;方正书宋_GBK" w:cs="宋体;方正书宋_GBK" w:hint="eastAsia" w:ascii="宋体;方正书宋_GBK" w:hAnsi="宋体;方正书宋_GBK"/>
          <w:kern w:val="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Times New Roman;DejaVu Sans" w:hAnsi="Times New Roman;DejaVu Sans" w:eastAsia="仿宋_GB2312;方正仿宋_GBK" w:cs="Arial;DejaVu Sans" w:hint="eastAsia"/>
          <w:kern w:val="0"/>
          <w:sz w:val="32"/>
          <w:szCs w:val="32"/>
        </w:rPr>
      </w:pPr>
      <w:r>
        <w:rPr>
          <w:rFonts w:ascii="Times New Roman;DejaVu Sans" w:hAnsi="Times New Roman;DejaVu Sans" w:cs="Arial;DejaVu Sans" w:hint="eastAsia" w:eastAsia="仿宋_GB2312;方正仿宋_GBK"/>
          <w:kern w:val="0"/>
          <w:sz w:val="32"/>
          <w:szCs w:val="32"/>
        </w:rPr>
        <w:t>　　第九届全国人民代表大会常务委员会第十次会议审议了国务院《关于提请解释</w:t>
      </w:r>
      <w:r>
        <w:rPr>
          <w:rFonts w:eastAsia="仿宋_GB2312;方正仿宋_GBK" w:cs="Arial;DejaVu Sans" w:hint="eastAsia" w:ascii="Times New Roman;DejaVu Sans" w:hAnsi="Times New Roman;DejaVu Sans"/>
          <w:kern w:val="0"/>
          <w:sz w:val="32"/>
          <w:szCs w:val="32"/>
        </w:rPr>
        <w:t>&lt;</w:t>
      </w:r>
      <w:r>
        <w:rPr>
          <w:rFonts w:ascii="Times New Roman;DejaVu Sans" w:hAnsi="Times New Roman;DejaVu Sans" w:cs="Arial;DejaVu Sans" w:hint="eastAsia" w:eastAsia="仿宋_GB2312;方正仿宋_GBK"/>
          <w:kern w:val="0"/>
          <w:sz w:val="32"/>
          <w:szCs w:val="32"/>
        </w:rPr>
        <w:t>中华人民共和国香港特别行政区基本法</w:t>
      </w:r>
      <w:r>
        <w:rPr>
          <w:rFonts w:eastAsia="仿宋_GB2312;方正仿宋_GBK" w:cs="Arial;DejaVu Sans" w:hint="eastAsia" w:ascii="Times New Roman;DejaVu Sans" w:hAnsi="Times New Roman;DejaVu Sans"/>
          <w:kern w:val="0"/>
          <w:sz w:val="32"/>
          <w:szCs w:val="32"/>
        </w:rPr>
        <w:t>&gt;</w:t>
      </w:r>
      <w:r>
        <w:rPr>
          <w:rFonts w:ascii="Times New Roman;DejaVu Sans" w:hAnsi="Times New Roman;DejaVu Sans" w:cs="Arial;DejaVu Sans" w:hint="eastAsia" w:eastAsia="仿宋_GB2312;方正仿宋_GBK"/>
          <w:kern w:val="0"/>
          <w:sz w:val="32"/>
          <w:szCs w:val="32"/>
        </w:rPr>
        <w:t>第二十二条第四款和第二十四条第二款第（三）项的议案》。国务院的议案是应香港特别行政区行政长官根据《中华人民共和国香港特别行政区基本法》第四十三条和第四十八条第（二）项的有关规定提交的报告提出的。鉴于议案中提出的问题涉及香港特别行政区终审法院</w:t>
      </w:r>
      <w:r>
        <w:rPr>
          <w:rFonts w:eastAsia="仿宋_GB2312;方正仿宋_GBK" w:cs="Arial;DejaVu Sans" w:hint="eastAsia" w:ascii="Times New Roman;DejaVu Sans" w:hAnsi="Times New Roman;DejaVu Sans"/>
          <w:kern w:val="0"/>
          <w:sz w:val="32"/>
          <w:szCs w:val="32"/>
        </w:rPr>
        <w:t>1999</w:t>
      </w:r>
      <w:r>
        <w:rPr>
          <w:rFonts w:ascii="Times New Roman;DejaVu Sans" w:hAnsi="Times New Roman;DejaVu Sans" w:cs="Arial;DejaVu Sans" w:hint="eastAsia" w:eastAsia="仿宋_GB2312;方正仿宋_GBK"/>
          <w:kern w:val="0"/>
          <w:sz w:val="32"/>
          <w:szCs w:val="32"/>
        </w:rPr>
        <w:t>年</w:t>
      </w:r>
      <w:r>
        <w:rPr>
          <w:rFonts w:eastAsia="仿宋_GB2312;方正仿宋_GBK" w:cs="Arial;DejaVu Sans" w:hint="eastAsia" w:ascii="Times New Roman;DejaVu Sans" w:hAnsi="Times New Roman;DejaVu Sans"/>
          <w:kern w:val="0"/>
          <w:sz w:val="32"/>
          <w:szCs w:val="32"/>
        </w:rPr>
        <w:t>1</w:t>
      </w:r>
      <w:r>
        <w:rPr>
          <w:rFonts w:ascii="Times New Roman;DejaVu Sans" w:hAnsi="Times New Roman;DejaVu Sans" w:cs="Arial;DejaVu Sans" w:hint="eastAsia" w:eastAsia="仿宋_GB2312;方正仿宋_GBK"/>
          <w:kern w:val="0"/>
          <w:sz w:val="32"/>
          <w:szCs w:val="32"/>
        </w:rPr>
        <w:t>月</w:t>
      </w:r>
      <w:r>
        <w:rPr>
          <w:rFonts w:eastAsia="仿宋_GB2312;方正仿宋_GBK" w:cs="Arial;DejaVu Sans" w:hint="eastAsia" w:ascii="Times New Roman;DejaVu Sans" w:hAnsi="Times New Roman;DejaVu Sans"/>
          <w:kern w:val="0"/>
          <w:sz w:val="32"/>
          <w:szCs w:val="32"/>
        </w:rPr>
        <w:t>29</w:t>
      </w:r>
      <w:r>
        <w:rPr>
          <w:rFonts w:ascii="Times New Roman;DejaVu Sans" w:hAnsi="Times New Roman;DejaVu Sans" w:cs="Arial;DejaVu Sans" w:hint="eastAsia" w:eastAsia="仿宋_GB2312;方正仿宋_GBK"/>
          <w:kern w:val="0"/>
          <w:sz w:val="32"/>
          <w:szCs w:val="32"/>
        </w:rPr>
        <w:t>日的判决对《中华人民共和国香港特别行政区基本法》有关条款的解释，该有关条款涉及中央管理的事务和中央与香港特别行政区的关系，终审法院在判决前没有依照《中华人民共和国香港特别行政区基本法》第一百五十八条第三款的规定请全国人民代表大会常务委员会作出解释，而终审法院的解释又不符合立法原意，经征询全国人民代表大会常务委员会香港特别行政区基本法委员会的意见，全国人民代表大会常务委员会决定，根据《中华人民共和国宪法》第六十七条第（四）项和《中华人民共和国香港特别行政区基本法》第一百五十八条第一款的规定，对《中华人民共和国香港特别行政区基本法》第二十二条第四款和第二十四条第二款第（三）项的规定，作如下解释：</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Times New Roman;DejaVu Sans" w:hAnsi="Times New Roman;DejaVu Sans" w:eastAsia="仿宋_GB2312;方正仿宋_GBK" w:cs="Arial;DejaVu Sans" w:hint="eastAsia"/>
          <w:kern w:val="0"/>
          <w:sz w:val="32"/>
          <w:szCs w:val="32"/>
        </w:rPr>
      </w:pPr>
      <w:r>
        <w:rPr>
          <w:rFonts w:ascii="Times New Roman;DejaVu Sans" w:hAnsi="Times New Roman;DejaVu Sans" w:cs="Arial;DejaVu Sans" w:hint="eastAsia" w:eastAsia="仿宋_GB2312;方正仿宋_GBK"/>
          <w:kern w:val="0"/>
          <w:sz w:val="32"/>
          <w:szCs w:val="32"/>
        </w:rPr>
        <w:t>　　</w:t>
      </w:r>
      <w:r>
        <w:rPr>
          <w:rFonts w:ascii="Times New Roman;DejaVu Sans" w:hAnsi="Times New Roman;DejaVu Sans" w:cs="黑体;方正黑体_GBK" w:hint="eastAsia" w:eastAsia="黑体;方正黑体_GBK"/>
          <w:kern w:val="0"/>
          <w:sz w:val="32"/>
          <w:szCs w:val="32"/>
        </w:rPr>
        <w:t>一、</w:t>
      </w:r>
      <w:r>
        <w:rPr>
          <w:rFonts w:ascii="Times New Roman;DejaVu Sans" w:hAnsi="Times New Roman;DejaVu Sans" w:cs="Arial;DejaVu Sans" w:hint="eastAsia" w:eastAsia="仿宋_GB2312;方正仿宋_GBK"/>
          <w:kern w:val="0"/>
          <w:sz w:val="32"/>
          <w:szCs w:val="32"/>
        </w:rPr>
        <w:t>《中华人民共和国香港特别行政区基本法》第二十二条第四款关于“中国其他地区的人进入香港特别行政区须办理批准手续”的规定，是指各省、自治区、直辖市的人，包括香港永久性居民在内地所生的中国籍子女，不论以何种事由要求进入香港特别行政区，均须依照国家有关法律、行政法规的规定，向其所在地区的有关机关申请办理批准手续，并须持有有关机关制发的有效证件方能进入香港特别行政区。各省、自治区、直辖市的人，包括香港永久性居民在内地所生的中国籍子女，进入香港特别行政区，如未按国家有关法律、行政法规的规定办理相应的批准手续，是不合法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Times New Roman;DejaVu Sans" w:hAnsi="Times New Roman;DejaVu Sans" w:eastAsia="仿宋_GB2312;方正仿宋_GBK" w:cs="Arial;DejaVu Sans" w:hint="eastAsia"/>
          <w:kern w:val="0"/>
          <w:sz w:val="32"/>
          <w:szCs w:val="32"/>
        </w:rPr>
      </w:pPr>
      <w:r>
        <w:rPr>
          <w:rFonts w:ascii="Times New Roman;DejaVu Sans" w:hAnsi="Times New Roman;DejaVu Sans" w:cs="Arial;DejaVu Sans" w:hint="eastAsia" w:eastAsia="仿宋_GB2312;方正仿宋_GBK"/>
          <w:kern w:val="0"/>
          <w:sz w:val="32"/>
          <w:szCs w:val="32"/>
        </w:rPr>
        <w:t>　　</w:t>
      </w:r>
      <w:r>
        <w:rPr>
          <w:rFonts w:ascii="Times New Roman;DejaVu Sans" w:hAnsi="Times New Roman;DejaVu Sans" w:cs="黑体;方正黑体_GBK" w:hint="eastAsia" w:eastAsia="黑体;方正黑体_GBK"/>
          <w:kern w:val="0"/>
          <w:sz w:val="32"/>
          <w:szCs w:val="32"/>
        </w:rPr>
        <w:t>二、</w:t>
      </w:r>
      <w:r>
        <w:rPr>
          <w:rFonts w:ascii="Times New Roman;DejaVu Sans" w:hAnsi="Times New Roman;DejaVu Sans" w:cs="Arial;DejaVu Sans" w:hint="eastAsia" w:eastAsia="仿宋_GB2312;方正仿宋_GBK"/>
          <w:kern w:val="0"/>
          <w:sz w:val="32"/>
          <w:szCs w:val="32"/>
        </w:rPr>
        <w:t>《中华人民共和国香港特别行政区基本法》第二十四条第二款前三项规定：“香港特别行政区永久性居民为：（一）在香港特别行政区成立以前或以后在香港出生的中国公民；（二）在香港特别行政区成立以前或以后在香港通常居住连续七年以上的中国公民；（三）第（一）、（二）两项所列居民在香港以外所生的中国籍子女”。其中第（三）项关于“第（一）、（二）两项所列居民在香港以外所生的中国籍子女”的规定，是指无论本人是在香港特别行政区成立以前或以后出生，在其出生时，其父母双方或一方须是符合《中华人民共和国香港特别行政区基本法》第二十四条第二款第（一）项或第（二）项规定条件的人。本解释所阐明的立法原意以及《中华人民共和国香港特别行政区基本法》第二十四条第二款其他各项的立法原意，已体现在</w:t>
      </w:r>
      <w:r>
        <w:rPr>
          <w:rFonts w:eastAsia="仿宋_GB2312;方正仿宋_GBK" w:cs="Arial;DejaVu Sans" w:hint="eastAsia" w:ascii="Times New Roman;DejaVu Sans" w:hAnsi="Times New Roman;DejaVu Sans"/>
          <w:kern w:val="0"/>
          <w:sz w:val="32"/>
          <w:szCs w:val="32"/>
        </w:rPr>
        <w:t>1996</w:t>
      </w:r>
      <w:r>
        <w:rPr>
          <w:rFonts w:ascii="Times New Roman;DejaVu Sans" w:hAnsi="Times New Roman;DejaVu Sans" w:cs="Arial;DejaVu Sans" w:hint="eastAsia" w:eastAsia="仿宋_GB2312;方正仿宋_GBK"/>
          <w:kern w:val="0"/>
          <w:sz w:val="32"/>
          <w:szCs w:val="32"/>
        </w:rPr>
        <w:t>年</w:t>
      </w:r>
      <w:r>
        <w:rPr>
          <w:rFonts w:eastAsia="仿宋_GB2312;方正仿宋_GBK" w:cs="Arial;DejaVu Sans" w:hint="eastAsia" w:ascii="Times New Roman;DejaVu Sans" w:hAnsi="Times New Roman;DejaVu Sans"/>
          <w:kern w:val="0"/>
          <w:sz w:val="32"/>
          <w:szCs w:val="32"/>
        </w:rPr>
        <w:t>8</w:t>
      </w:r>
      <w:r>
        <w:rPr>
          <w:rFonts w:ascii="Times New Roman;DejaVu Sans" w:hAnsi="Times New Roman;DejaVu Sans" w:cs="Arial;DejaVu Sans" w:hint="eastAsia" w:eastAsia="仿宋_GB2312;方正仿宋_GBK"/>
          <w:kern w:val="0"/>
          <w:sz w:val="32"/>
          <w:szCs w:val="32"/>
        </w:rPr>
        <w:t>月</w:t>
      </w:r>
      <w:r>
        <w:rPr>
          <w:rFonts w:eastAsia="仿宋_GB2312;方正仿宋_GBK" w:cs="Arial;DejaVu Sans" w:hint="eastAsia" w:ascii="Times New Roman;DejaVu Sans" w:hAnsi="Times New Roman;DejaVu Sans"/>
          <w:kern w:val="0"/>
          <w:sz w:val="32"/>
          <w:szCs w:val="32"/>
        </w:rPr>
        <w:t>10</w:t>
      </w:r>
      <w:r>
        <w:rPr>
          <w:rFonts w:ascii="Times New Roman;DejaVu Sans" w:hAnsi="Times New Roman;DejaVu Sans" w:cs="Arial;DejaVu Sans" w:hint="eastAsia" w:eastAsia="仿宋_GB2312;方正仿宋_GBK"/>
          <w:kern w:val="0"/>
          <w:sz w:val="32"/>
          <w:szCs w:val="32"/>
        </w:rPr>
        <w:t>日全国人民代表大会香港特别行政区筹备委员会第四次全体会议通过的《关于实施</w:t>
      </w:r>
      <w:r>
        <w:rPr>
          <w:rFonts w:eastAsia="仿宋_GB2312;方正仿宋_GBK" w:cs="Arial;DejaVu Sans" w:hint="eastAsia" w:ascii="Times New Roman;DejaVu Sans" w:hAnsi="Times New Roman;DejaVu Sans"/>
          <w:kern w:val="0"/>
          <w:sz w:val="32"/>
          <w:szCs w:val="32"/>
        </w:rPr>
        <w:t>&lt;</w:t>
      </w:r>
      <w:r>
        <w:rPr>
          <w:rFonts w:ascii="Times New Roman;DejaVu Sans" w:hAnsi="Times New Roman;DejaVu Sans" w:cs="Arial;DejaVu Sans" w:hint="eastAsia" w:eastAsia="仿宋_GB2312;方正仿宋_GBK"/>
          <w:kern w:val="0"/>
          <w:sz w:val="32"/>
          <w:szCs w:val="32"/>
        </w:rPr>
        <w:t>中华人民共和国香港特别行政区基本法</w:t>
      </w:r>
      <w:r>
        <w:rPr>
          <w:rFonts w:eastAsia="仿宋_GB2312;方正仿宋_GBK" w:cs="Arial;DejaVu Sans" w:hint="eastAsia" w:ascii="Times New Roman;DejaVu Sans" w:hAnsi="Times New Roman;DejaVu Sans"/>
          <w:kern w:val="0"/>
          <w:sz w:val="32"/>
          <w:szCs w:val="32"/>
        </w:rPr>
        <w:t>&gt;</w:t>
      </w:r>
      <w:r>
        <w:rPr>
          <w:rFonts w:ascii="Times New Roman;DejaVu Sans" w:hAnsi="Times New Roman;DejaVu Sans" w:cs="Arial;DejaVu Sans" w:hint="eastAsia" w:eastAsia="仿宋_GB2312;方正仿宋_GBK"/>
          <w:kern w:val="0"/>
          <w:sz w:val="32"/>
          <w:szCs w:val="32"/>
        </w:rPr>
        <w:t>第二十四条第二款的意见》中。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60"/>
        <w:textAlignment w:val="auto"/>
        <w:rPr>
          <w:rFonts w:ascii="Times New Roman;DejaVu Sans" w:hAnsi="Times New Roman;DejaVu Sans" w:eastAsia="仿宋_GB2312;方正仿宋_GBK" w:cs="Arial;DejaVu Sans" w:hint="eastAsia"/>
          <w:kern w:val="0"/>
          <w:sz w:val="32"/>
          <w:szCs w:val="32"/>
        </w:rPr>
      </w:pPr>
      <w:r>
        <w:rPr>
          <w:rFonts w:ascii="Times New Roman;DejaVu Sans" w:hAnsi="Times New Roman;DejaVu Sans" w:cs="Arial;DejaVu Sans" w:hint="eastAsia" w:eastAsia="仿宋_GB2312;方正仿宋_GBK"/>
          <w:kern w:val="0"/>
          <w:sz w:val="32"/>
          <w:szCs w:val="32"/>
        </w:rPr>
        <w:t>　　本解释公布之后，香港特别行政区法院在引用《中华人民共和国香港特别行政区基本法》有关条款时，应以本解释为准。本解释不影响香港特别行政区终审法院</w:t>
      </w:r>
      <w:r>
        <w:rPr>
          <w:rFonts w:eastAsia="仿宋_GB2312;方正仿宋_GBK" w:cs="Arial;DejaVu Sans" w:hint="eastAsia" w:ascii="Times New Roman;DejaVu Sans" w:hAnsi="Times New Roman;DejaVu Sans"/>
          <w:kern w:val="0"/>
          <w:sz w:val="32"/>
          <w:szCs w:val="32"/>
        </w:rPr>
        <w:t>1999</w:t>
      </w:r>
      <w:r>
        <w:rPr>
          <w:rFonts w:ascii="Times New Roman;DejaVu Sans" w:hAnsi="Times New Roman;DejaVu Sans" w:cs="Arial;DejaVu Sans" w:hint="eastAsia" w:eastAsia="仿宋_GB2312;方正仿宋_GBK"/>
          <w:kern w:val="0"/>
          <w:sz w:val="32"/>
          <w:szCs w:val="32"/>
        </w:rPr>
        <w:t>年</w:t>
      </w:r>
      <w:r>
        <w:rPr>
          <w:rFonts w:eastAsia="仿宋_GB2312;方正仿宋_GBK" w:cs="Arial;DejaVu Sans" w:hint="eastAsia" w:ascii="Times New Roman;DejaVu Sans" w:hAnsi="Times New Roman;DejaVu Sans"/>
          <w:kern w:val="0"/>
          <w:sz w:val="32"/>
          <w:szCs w:val="32"/>
        </w:rPr>
        <w:t>1</w:t>
      </w:r>
      <w:r>
        <w:rPr>
          <w:rFonts w:ascii="Times New Roman;DejaVu Sans" w:hAnsi="Times New Roman;DejaVu Sans" w:cs="Arial;DejaVu Sans" w:hint="eastAsia" w:eastAsia="仿宋_GB2312;方正仿宋_GBK"/>
          <w:kern w:val="0"/>
          <w:sz w:val="32"/>
          <w:szCs w:val="32"/>
        </w:rPr>
        <w:t>月</w:t>
      </w:r>
      <w:r>
        <w:rPr>
          <w:rFonts w:eastAsia="仿宋_GB2312;方正仿宋_GBK" w:cs="Arial;DejaVu Sans" w:hint="eastAsia" w:ascii="Times New Roman;DejaVu Sans" w:hAnsi="Times New Roman;DejaVu Sans"/>
          <w:kern w:val="0"/>
          <w:sz w:val="32"/>
          <w:szCs w:val="32"/>
        </w:rPr>
        <w:t>29</w:t>
      </w:r>
      <w:r>
        <w:rPr>
          <w:rFonts w:ascii="Times New Roman;DejaVu Sans" w:hAnsi="Times New Roman;DejaVu Sans" w:cs="Arial;DejaVu Sans" w:hint="eastAsia" w:eastAsia="仿宋_GB2312;方正仿宋_GBK"/>
          <w:kern w:val="0"/>
          <w:sz w:val="32"/>
          <w:szCs w:val="32"/>
        </w:rPr>
        <w:t>日对有关案件判决的有关诉讼当事人所获得的香港特别行政区居留权。此外，其他任何人是否符合《中华人民共和国香港特别行政区基本法》第二十四条第二款第（三）项规定的条件，均须以本解释为准。</w:t>
      </w:r>
    </w:p>
    <w:p>
      <w:pPr>
        <w:pStyle w:val="Normal"/>
        <w:rPr>
          <w:rFonts w:ascii="Times New Roman;DejaVu Sans" w:hAnsi="Times New Roman;DejaVu Sans" w:eastAsia="仿宋_GB2312;方正仿宋_GBK" w:cs="Arial;DejaVu Sans" w:hint="eastAsia"/>
          <w:kern w:val="0"/>
          <w:sz w:val="32"/>
          <w:szCs w:val="32"/>
        </w:rPr>
      </w:pPr>
      <w:r>
        <w:rPr>
          <w:rFonts w:eastAsia="仿宋_GB2312;方正仿宋_GBK" w:cs="Arial;DejaVu Sans" w:hint="eastAsia" w:ascii="Times New Roman;DejaVu Sans" w:hAnsi="Times New Roman;DejaVu Sans"/>
          <w:kern w:val="0"/>
          <w:sz w:val="32"/>
          <w:szCs w:val="32"/>
        </w:rPr>
      </w:r>
    </w:p>
    <w:sectPr>
      <w:headerReference w:type="default" r:id="rId2"/>
      <w:footerReference w:type="default" r:id="rId3"/>
      <w:type w:val="nextPage"/>
      <w:pgSz w:w="11850" w:h="16783"/>
      <w:pgMar w:left="1587" w:right="1417" w:gutter="0" w:header="851" w:top="2098" w:footer="1253" w:bottom="1928"/>
      <w:pgNumType w:start="1"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0" w:characterSet="windows-1252"/>
    <w:family w:val="swiss"/>
    <w:pitch w:val="default"/>
  </w:font>
  <w:font w:name="Times New Roman">
    <w:altName w:val="DejaVu Sans"/>
    <w:charset w:val="00" w:characterSet="windows-1252"/>
    <w:family w:val="roma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AutoHyphens w:val="true"/>
      <w:bidi w:val="0"/>
      <w:rPr>
        <w:sz w:val="18"/>
      </w:rPr>
    </w:pPr>
    <w:r>
      <w:rPr>
        <w:sz w:val="18"/>
      </w:rPr>
    </w:r>
    <w:r>
      <mc:AlternateContent>
        <mc:Choice Requires="wps">
          <w:drawing>
            <wp:anchor distT="0" distB="0" distL="114935" distR="114935" simplePos="0" relativeHeight="4" behindDoc="1" locked="0" layoutInCell="0" allowOverlap="1">
              <wp:simplePos x="0" y="0"/>
              <wp:positionH relativeFrom="margin">
                <wp:posOffset>4778375</wp:posOffset>
              </wp:positionH>
              <wp:positionV relativeFrom="paragraph">
                <wp:posOffset>635</wp:posOffset>
              </wp:positionV>
              <wp:extent cx="802640" cy="303530"/>
              <wp:effectExtent l="0" t="0" r="0" b="0"/>
              <wp:wrapNone/>
              <wp:docPr id="1" name="Frame1"/>
              <a:graphic xmlns:a="http://schemas.openxmlformats.org/drawingml/2006/main">
                <a:graphicData uri="http://schemas.microsoft.com/office/word/2010/wordprocessingShape">
                  <wps:wsp>
                    <wps:cNvSpPr txBox="1"/>
                    <wps:spPr>
                      <a:xfrm>
                        <a:off x="0" y="0"/>
                        <a:ext cx="802640" cy="303530"/>
                      </a:xfrm>
                      <a:prstGeom prst="rect"/>
                      <a:solidFill>
                        <a:srgbClr val="FFFFFF">
                          <a:alpha val="0"/>
                        </a:srgbClr>
                      </a:solidFill>
                    </wps:spPr>
                    <wps:txbx>
                      <w:txbxContent>
                        <w:p>
                          <w:pPr>
                            <w:pStyle w:val="Footer"/>
                            <w:suppressAutoHyphens w:val="true"/>
                            <w:bidi w:val="0"/>
                            <w:jc w:val="end"/>
                            <w:rPr/>
                          </w:pPr>
                          <w:r>
                            <w:rPr>
                              <w:rFonts w:eastAsia="宋体;方正书宋_GBK" w:cs="宋体;方正书宋_GBK" w:hint="eastAsia" w:ascii="宋体;方正书宋_GBK" w:hAnsi="宋体;方正书宋_GBK"/>
                              <w:sz w:val="28"/>
                              <w:szCs w:val="28"/>
                            </w:rPr>
                            <w:t>—</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3</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w:t>
                          </w:r>
                          <w:r>
                            <w:rPr>
                              <w:rFonts w:ascii="宋体;方正书宋_GBK" w:hAnsi="宋体;方正书宋_GBK" w:cs="宋体;方正书宋_GBK" w:hint="eastAsia" w:eastAsia="宋体;方正书宋_GBK"/>
                              <w:sz w:val="28"/>
                              <w:szCs w:val="28"/>
                            </w:rPr>
                            <w:t>　</w:t>
                          </w:r>
                        </w:p>
                      </w:txbxContent>
                    </wps:txbx>
                    <wps:bodyPr anchor="t" lIns="635" tIns="635" rIns="635" bIns="635">
                      <a:spAutoFit/>
                    </wps:bodyPr>
                  </wps:wsp>
                </a:graphicData>
              </a:graphic>
            </wp:anchor>
          </w:drawing>
        </mc:Choice>
        <mc:Fallback>
          <w:pict>
            <v:rect fillcolor="#FFFFFF" style="position:absolute;rotation:-0;width:63.2pt;height:23.9pt;mso-wrap-distance-left:9.05pt;mso-wrap-distance-right:9.05pt;mso-wrap-distance-top:0pt;mso-wrap-distance-bottom:0pt;margin-top:0pt;mso-position-vertical-relative:text;margin-left:376.25pt;mso-position-horizontal-relative:margin">
              <v:fill opacity="0f"/>
              <v:textbox inset="0.000694444444444445in,0.000694444444444445in,0.000694444444444445in,0.000694444444444445in">
                <w:txbxContent>
                  <w:p>
                    <w:pPr>
                      <w:pStyle w:val="Footer"/>
                      <w:suppressAutoHyphens w:val="true"/>
                      <w:bidi w:val="0"/>
                      <w:jc w:val="end"/>
                      <w:rPr/>
                    </w:pPr>
                    <w:r>
                      <w:rPr>
                        <w:rFonts w:eastAsia="宋体;方正书宋_GBK" w:cs="宋体;方正书宋_GBK" w:hint="eastAsia" w:ascii="宋体;方正书宋_GBK" w:hAnsi="宋体;方正书宋_GBK"/>
                        <w:sz w:val="28"/>
                        <w:szCs w:val="28"/>
                      </w:rPr>
                      <w:t>—</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3</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w:t>
                    </w:r>
                    <w:r>
                      <w:rPr>
                        <w:rFonts w:ascii="宋体;方正书宋_GBK" w:hAnsi="宋体;方正书宋_GBK" w:cs="宋体;方正书宋_GBK" w:hint="eastAsia" w:eastAsia="宋体;方正书宋_GBK"/>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suppressAutoHyphens w:val="true"/>
      <w:bidi w:val="0"/>
      <w:rPr/>
    </w:pPr>
    <w:r>
      <w:rPr/>
    </w:r>
  </w:p>
</w:hdr>
</file>

<file path=word/settings.xml><?xml version="1.0" encoding="utf-8"?>
<w:settings xmlns:w="http://schemas.openxmlformats.org/wordprocessingml/2006/main">
  <w:zoom w:percent="12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DejaVu Sans" w:hAnsi="Calibri;DejaVu Sans" w:eastAsia="宋体;方正书宋_GBK" w:cs="Times New Roman;DejaVu Sans"/>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文泉驿微米黑" w:hAnsi="Liberation Sans;文泉驿微米黑"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pPr>
      <w:widowControl w:val="false"/>
      <w:tabs>
        <w:tab w:val="clear" w:pos="420"/>
        <w:tab w:val="center" w:pos="4153" w:leader="none"/>
        <w:tab w:val="right" w:pos="8306" w:leader="none"/>
      </w:tabs>
      <w:bidi w:val="0"/>
      <w:snapToGrid w:val="false"/>
      <w:jc w:val="start"/>
    </w:pPr>
    <w:rPr>
      <w:rFonts w:ascii="Times New Roman;DejaVu Sans" w:hAnsi="Times New Roman;DejaVu Sans" w:eastAsia="仿宋_GB2312;方正仿宋_GBK" w:cs="Times New Roman;DejaVu Sans"/>
      <w:color w:val="auto"/>
      <w:kern w:val="2"/>
      <w:sz w:val="18"/>
      <w:szCs w:val="18"/>
      <w:lang w:bidi="ar-SA" w:val="en-US" w:eastAsia="zh-CN"/>
    </w:rPr>
  </w:style>
  <w:style w:type="paragraph" w:styleId="Header">
    <w:name w:val="header"/>
    <w:pPr>
      <w:widowControl w:val="false"/>
      <w:pBdr>
        <w:bottom w:val="single" w:sz="6" w:space="1" w:color="000000"/>
      </w:pBdr>
      <w:tabs>
        <w:tab w:val="clear" w:pos="420"/>
        <w:tab w:val="center" w:pos="4153" w:leader="none"/>
        <w:tab w:val="right" w:pos="8306" w:leader="none"/>
      </w:tabs>
      <w:bidi w:val="0"/>
      <w:snapToGrid w:val="false"/>
      <w:jc w:val="center"/>
    </w:pPr>
    <w:rPr>
      <w:rFonts w:ascii="Times New Roman;DejaVu Sans" w:hAnsi="Times New Roman;DejaVu Sans" w:eastAsia="仿宋_GB2312;方正仿宋_GBK" w:cs="Times New Roman;DejaVu Sans"/>
      <w:color w:val="auto"/>
      <w:kern w:val="2"/>
      <w:sz w:val="18"/>
      <w:szCs w:val="18"/>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root</dc:creator>
  <dc:description/>
  <dc:language>en-US</dc:language>
  <cp:lastModifiedBy>xxx</cp:lastModifiedBy>
  <dcterms:modified xsi:type="dcterms:W3CDTF">2024-09-26T18:26:06Z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2052-11.8.2.10587</vt:lpwstr>
  </property>
</Properties>
</file>