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892E15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聊城市水环境保护条例</w:t>
      </w:r>
    </w:p>
    <w:p w14:paraId="60F8D26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（2018年1月2日聊城市第十七届人民代表大会常务委员会第七次会议通过　2018年1月23日山东省第十二届人民代表大会常务委员会第三十五次会议批准　根据2024年6月26日聊城市第十八届人民代表大会常务委员会第二十一次会议通过并经2024年7月25日山东省第十四届人民代表大会常务委员会第十次会议批准的《聊城市人民代表大会常务委员会关于修改〈聊城市水环境保护条例〉的决定》修正　）</w:t>
      </w:r>
    </w:p>
    <w:p w14:paraId="56E265DF">
      <w:pPr>
        <w:rPr>
          <w:rFonts w:ascii="Times New Roman" w:hAnsi="Times New Roman" w:eastAsia="宋体" w:cs="宋体"/>
          <w:szCs w:val="32"/>
        </w:rPr>
      </w:pPr>
    </w:p>
    <w:p w14:paraId="21F357EA">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18B109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5C115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监督管理</w:t>
      </w:r>
    </w:p>
    <w:p w14:paraId="12FEEE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水污染防治</w:t>
      </w:r>
    </w:p>
    <w:p w14:paraId="2A649E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工业水污染防治</w:t>
      </w:r>
    </w:p>
    <w:p w14:paraId="17209B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城镇水污染防治</w:t>
      </w:r>
    </w:p>
    <w:p w14:paraId="0EE1F5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农业和农村水污染防治</w:t>
      </w:r>
    </w:p>
    <w:p w14:paraId="07E6AF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水污染事故处置</w:t>
      </w:r>
    </w:p>
    <w:p w14:paraId="6B0EAF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水生态保护</w:t>
      </w:r>
    </w:p>
    <w:p w14:paraId="598ABA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饮用水水源保护</w:t>
      </w:r>
    </w:p>
    <w:p w14:paraId="3E7B16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地下水保护</w:t>
      </w:r>
    </w:p>
    <w:p w14:paraId="08EAC8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特殊水体保护</w:t>
      </w:r>
    </w:p>
    <w:p w14:paraId="05BFC5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水生态修复</w:t>
      </w:r>
    </w:p>
    <w:p w14:paraId="055AE59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570593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5501BBB5">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0" w:name="_GoBack"/>
      <w:bookmarkEnd w:id="0"/>
      <w:r>
        <w:rPr>
          <w:rFonts w:hint="eastAsia" w:ascii="Times New Roman" w:hAnsi="Times New Roman" w:eastAsia="黑体" w:cs="黑体"/>
          <w:szCs w:val="32"/>
        </w:rPr>
        <w:t>第一章　总　　则</w:t>
      </w:r>
    </w:p>
    <w:p w14:paraId="4B94EB4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为了保护和改善水环境，保障水体功能和饮用水安全，推进全域水城、生态聊城建设，根据《中华人民共和国环境保护法》《中华人民共和国水污染防治法》等有关法律、法规，结合本市实际，制定本条例。</w:t>
      </w:r>
    </w:p>
    <w:p w14:paraId="1B5AEE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本条例适用于本市行政区域内的河流、湖泊、运河、渠道、水库、湿地、坑塘等地表水体和地下水体的水环境保护。</w:t>
      </w:r>
    </w:p>
    <w:p w14:paraId="1F5FE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水环境保护应当坚持政府主导、社会参与，科学规划、全面保护，预防为主、防治结合，控源截污、综合治理，生态补偿、损害担责的原则，防治水污染，保护水资源，保障水安全，修复水生态，全面提升水环境。</w:t>
      </w:r>
    </w:p>
    <w:p w14:paraId="2D9D78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市、县（市、区）人民政府应当将水环境保护工作纳入国民经济和社会发展规划，制定年度计划，采取有效对策和措施，持续改善水环境。</w:t>
      </w:r>
    </w:p>
    <w:p w14:paraId="5FAFCEDB">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建立市、县、乡、村四级水环境保护体系。</w:t>
      </w:r>
    </w:p>
    <w:p w14:paraId="426AF3DC">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加强水环境保护工作，建立水环境保护协调机制，及时解决水环境保护工作中的重大问题。乡镇人民政府、街道办事处应当依法做好水环境保护工作，发现违法行为应当予以制止，并及时报告负有监督管理职责的部门，配合有关部门做好相关监督管理工作。村民委员会、居民委员会应当配合做好水环境保护相关工作。</w:t>
      </w:r>
    </w:p>
    <w:p w14:paraId="7D5BBF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市人民政府生态环境主管部门对本行政区域内水环境保护工作实施统一监督管理。</w:t>
      </w:r>
    </w:p>
    <w:p w14:paraId="3618CA84">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和改革、水行政、自然资源和规划、林业、财政、住房和城乡建设、城市管理（综合行政执法）、交通运输、文化和旅游、公安、卫生健康、农业农村、行政审批等部门，依照法律法规的规定，在各自职责范围内对有关水环境保护工作实施监督管理。</w:t>
      </w:r>
    </w:p>
    <w:p w14:paraId="12A86C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市人民政府生态环境主管部门应当会同相关部门按照国家、省水生态环境的要求和本市实际情况，组织编制市水环境保护规划，报市人民政府批准后实施。</w:t>
      </w:r>
    </w:p>
    <w:p w14:paraId="521A068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市人民政府水行政主管部门应当会同相关部门，编制徒骇河、马颊河等重点河流聊城段的综合治理专项规划。</w:t>
      </w:r>
    </w:p>
    <w:p w14:paraId="7F166C9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市人民政府农业农村主管部门应当会同相关部门，结合环境承载力和农产品保障的要求，编制农业面源污染防治专项规划。</w:t>
      </w:r>
    </w:p>
    <w:p w14:paraId="43BD899A">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本条第二款、第三款中规定的专项规划应当与市水环境保护规划相协调。</w:t>
      </w:r>
    </w:p>
    <w:p w14:paraId="3F369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全面实行河长制。各级河长应当组织开展相关责任水域的水环境保护工作，建立多部门、多方面的联动协作机制，协调和督促有关部门、单位按照各自职责做好入河排污口排查整治、疏浚清淤、保洁绿化、生态修复等工作。</w:t>
      </w:r>
    </w:p>
    <w:p w14:paraId="052893BB">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建立健全对各级河长的监督考核和责任追究制度。</w:t>
      </w:r>
    </w:p>
    <w:p w14:paraId="6B676CD2">
      <w:pPr>
        <w:ind w:firstLine="632" w:firstLineChars="200"/>
        <w:rPr>
          <w:rFonts w:ascii="Times New Roman" w:hAnsi="Times New Roman" w:cs="仿宋_GB2312"/>
          <w:sz w:val="32"/>
          <w:szCs w:val="32"/>
        </w:rPr>
      </w:pPr>
      <w:r>
        <w:rPr>
          <w:rFonts w:hint="eastAsia" w:ascii="Times New Roman" w:hAnsi="Times New Roman" w:cs="仿宋_GB2312"/>
          <w:sz w:val="32"/>
          <w:szCs w:val="32"/>
        </w:rPr>
        <w:t>河长制的具体规定，由市、县（市、区）人民政府制定。</w:t>
      </w:r>
    </w:p>
    <w:p w14:paraId="76602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各级人民政府应当将水环境保护财政经费纳入预算，引导金融机构加大对水环境保护项目的支持力度，鼓励社会资本进入水环境保护领域，建立水环境保护资金投入和保障机制。</w:t>
      </w:r>
    </w:p>
    <w:p w14:paraId="3A771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各级人民政府以及街道办事处应当逐级落实水环境保护目标责任制和考核评价制度，将水环境质量改善作为约束性指标。考核结果向社会公开，并作为对被考核单位综合考核评价、水环境保护相关资金分配的依据。</w:t>
      </w:r>
    </w:p>
    <w:p w14:paraId="5AEEFBFB">
      <w:pPr>
        <w:rPr>
          <w:rFonts w:ascii="Times New Roman" w:hAnsi="Times New Roman" w:eastAsia="宋体" w:cs="宋体"/>
          <w:szCs w:val="32"/>
        </w:rPr>
      </w:pPr>
    </w:p>
    <w:p w14:paraId="41926084">
      <w:pPr>
        <w:jc w:val="center"/>
        <w:rPr>
          <w:rFonts w:ascii="Times New Roman" w:hAnsi="Times New Roman" w:eastAsia="黑体" w:cs="黑体"/>
          <w:szCs w:val="32"/>
        </w:rPr>
      </w:pPr>
      <w:r>
        <w:rPr>
          <w:rFonts w:hint="eastAsia" w:ascii="Times New Roman" w:hAnsi="Times New Roman" w:eastAsia="黑体" w:cs="黑体"/>
          <w:szCs w:val="32"/>
        </w:rPr>
        <w:t>第二章　监督管理</w:t>
      </w:r>
    </w:p>
    <w:p w14:paraId="16E7A8A9">
      <w:pPr>
        <w:rPr>
          <w:rFonts w:ascii="Times New Roman" w:hAnsi="Times New Roman" w:eastAsia="宋体" w:cs="宋体"/>
          <w:szCs w:val="32"/>
        </w:rPr>
      </w:pPr>
    </w:p>
    <w:p w14:paraId="4FEA3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排放水污染物，不得超过国家、省制定的水污染物排放标准和重点水污染物排放总量指标。</w:t>
      </w:r>
    </w:p>
    <w:p w14:paraId="151AA16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市人民政府根据省人民政府下达的重点水污染物排放总量控制指标和减排指标的要求，制定年度总量控制实施方案，将总量控制指标和削减计划落实到各县（市、区）人民政府。</w:t>
      </w:r>
    </w:p>
    <w:p w14:paraId="56740D3D">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单位的重点水污染物排放总量控制指标，由市人民政府生态环境主管部门根据本行政区域重点水污染物总量控制指标、排污单位现有排放量和改善水环境质量的需要核定。排污单位排放水污染物，不得超过核定的重点水污染物排放总量控制指标。</w:t>
      </w:r>
    </w:p>
    <w:p w14:paraId="298394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未依法进行环境影响评价的建设项目，不得开工建设。</w:t>
      </w:r>
    </w:p>
    <w:p w14:paraId="38D3667B">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建设项目的水污染防治设施，应当与主体工程同时设计、同时施工、同时投入使用。水污染防治设施应当符合经批准或者备案的环境影响评价文件的要求。</w:t>
      </w:r>
    </w:p>
    <w:p w14:paraId="716461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市人民政府应当组织有关部门建立跨部门的水环境监测数据网络，纳入智慧聊城建设平台，实现信息共享。</w:t>
      </w:r>
    </w:p>
    <w:p w14:paraId="7A21A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市人民政府生态环境主管部门负责全市水环境质量和水污染源的统一监督监测，每年发布本市水环境质量状况公报。</w:t>
      </w:r>
    </w:p>
    <w:p w14:paraId="5EA83B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市人民政府生态环境主管部门应当结合本行政区域的环境容量、重点水污染物排放总量控制指标的要求，根据排污单位排放水污染物的种类、数量和浓度等情况，每年确定本行政区域内重点排污单位名录。</w:t>
      </w:r>
    </w:p>
    <w:p w14:paraId="2D2E9B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设单位在江河、湖泊新建、改建、扩建排污口的，应当经有管辖权的生态环境主管部门或者流域生态环境监督管理机构同意。未经同意，行政审批部门不予审批其环境影响评价文件。可能影响防洪、供水、堤防安全、河势稳定的入河排污口设置的审批，应当征求有管辖权限的流域管理机构或者水行政部门的意见。</w:t>
      </w:r>
    </w:p>
    <w:p w14:paraId="2ECE4F82">
      <w:pPr>
        <w:ind w:firstLine="632" w:firstLineChars="200"/>
        <w:rPr>
          <w:rFonts w:ascii="Times New Roman" w:hAnsi="Times New Roman" w:cs="仿宋_GB2312"/>
          <w:sz w:val="32"/>
          <w:szCs w:val="32"/>
        </w:rPr>
      </w:pPr>
      <w:r>
        <w:rPr>
          <w:rFonts w:hint="eastAsia" w:ascii="Times New Roman" w:hAnsi="Times New Roman" w:cs="仿宋_GB2312"/>
          <w:sz w:val="32"/>
          <w:szCs w:val="32"/>
        </w:rPr>
        <w:t>在黄河流域河道、湖泊新设、改设或者扩大排污口，应当报经有管辖权的生态环境主管部门或者黄河流域生态环境监督管理机构批准。新设、改设或者扩大可能影响防洪、供水、堤防安全、河势稳定的排污口的，审批时应当征求市、县（市、区）人民政府水行政主管部门或者黄河流域管理机构的意见。</w:t>
      </w:r>
    </w:p>
    <w:p w14:paraId="2DC0332C">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市、县（市、区）人民政府生态环境主管部门应当对入河排污口进行排查，建立台账，对排污口的位置、责任主体、排入水体、设置审批、监督管理等情况予以登记。</w:t>
      </w:r>
    </w:p>
    <w:p w14:paraId="01BCDA42">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市、县（市、区）人民政府生态环境主管部门应当建立巡查、监测机制，加强对入河排污口的监督检查，及时查处偷排直排、借道排污、私设排污口等违法行为。涉及其他部门职责的，应当及时移交。</w:t>
      </w:r>
    </w:p>
    <w:p w14:paraId="1F4F4B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市人民政府应当会同相邻市探索建立流域污染联防联控机制和跨界河流统一预警机制，实现上下游联动协作，共同做好流域和跨界河流污染防治工作。</w:t>
      </w:r>
    </w:p>
    <w:p w14:paraId="79B5257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市人民政府应当建立跨县（市、区）河流水污染防治工作协调协作机制，建立跨行政区界水体断面出水水质考核奖惩制度。</w:t>
      </w:r>
    </w:p>
    <w:p w14:paraId="187AD9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市、区）人民政府应当建立健全水环境保护市场准入机制，制定重污染项目市场准入负面清单并向社会公布。对列入负面清单的建设项目，发展和改革、行政审批部门不予立项、核准、备案，行政审批部门不予审批其环境影响评价文件，自然资源和规划、住房和城乡建设等部门不予办理相关手续。</w:t>
      </w:r>
    </w:p>
    <w:p w14:paraId="670C4B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对超过重点水污染物排放总量控制指标或者未达到水环境质量改善目标的，由市人民政府或者由市人民政府生态环境主管部门会同有关部门，约谈该县（市、区）、乡镇人民政府的主要负责人，并暂停审批该地区新增重点水污染物排放建设项目的环境影响评价文件。约谈和暂停审批情况应当及时向社会公开。</w:t>
      </w:r>
    </w:p>
    <w:p w14:paraId="71DF7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市人民政府生态环境主管部门和其他负有水环境保护监督管理职责的部门，应当通过生态环境主管部门的网站或者其他便于公众知晓的方式，及时公开下列信息：</w:t>
      </w:r>
    </w:p>
    <w:p w14:paraId="15E27BA1">
      <w:pPr>
        <w:ind w:firstLine="632" w:firstLineChars="200"/>
        <w:rPr>
          <w:rFonts w:ascii="Times New Roman" w:hAnsi="Times New Roman" w:cs="仿宋_GB2312"/>
          <w:sz w:val="32"/>
          <w:szCs w:val="32"/>
        </w:rPr>
      </w:pPr>
      <w:r>
        <w:rPr>
          <w:rFonts w:hint="eastAsia" w:ascii="Times New Roman" w:hAnsi="Times New Roman" w:cs="仿宋_GB2312"/>
          <w:sz w:val="32"/>
          <w:szCs w:val="32"/>
        </w:rPr>
        <w:t>（一）水环境质量；</w:t>
      </w:r>
    </w:p>
    <w:p w14:paraId="12578B47">
      <w:pPr>
        <w:ind w:firstLine="632" w:firstLineChars="200"/>
        <w:rPr>
          <w:rFonts w:ascii="Times New Roman" w:hAnsi="Times New Roman" w:cs="仿宋_GB2312"/>
          <w:sz w:val="32"/>
          <w:szCs w:val="32"/>
        </w:rPr>
      </w:pPr>
      <w:r>
        <w:rPr>
          <w:rFonts w:hint="eastAsia" w:ascii="Times New Roman" w:hAnsi="Times New Roman" w:cs="仿宋_GB2312"/>
          <w:sz w:val="32"/>
          <w:szCs w:val="32"/>
        </w:rPr>
        <w:t>（二）各级河长名单；</w:t>
      </w:r>
    </w:p>
    <w:p w14:paraId="0652049E">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（三）重污染项目市场准入负面清单；</w:t>
      </w:r>
    </w:p>
    <w:p w14:paraId="6F10C529">
      <w:pPr>
        <w:ind w:firstLine="632" w:firstLineChars="200"/>
        <w:rPr>
          <w:rFonts w:ascii="Times New Roman" w:hAnsi="Times New Roman" w:cs="仿宋_GB2312"/>
          <w:sz w:val="32"/>
          <w:szCs w:val="32"/>
        </w:rPr>
      </w:pPr>
      <w:r>
        <w:rPr>
          <w:rFonts w:hint="eastAsia" w:ascii="Times New Roman" w:hAnsi="Times New Roman" w:cs="仿宋_GB2312"/>
          <w:sz w:val="32"/>
          <w:szCs w:val="32"/>
        </w:rPr>
        <w:t>（四）重点水污染物的种类、排放控制和削减情况；</w:t>
      </w:r>
    </w:p>
    <w:p w14:paraId="0A5A44F1">
      <w:pPr>
        <w:ind w:firstLine="632" w:firstLineChars="200"/>
        <w:rPr>
          <w:rFonts w:ascii="Times New Roman" w:hAnsi="Times New Roman" w:cs="仿宋_GB2312"/>
          <w:sz w:val="32"/>
          <w:szCs w:val="32"/>
        </w:rPr>
      </w:pPr>
      <w:r>
        <w:rPr>
          <w:rFonts w:hint="eastAsia" w:ascii="Times New Roman" w:hAnsi="Times New Roman" w:cs="仿宋_GB2312"/>
          <w:sz w:val="32"/>
          <w:szCs w:val="32"/>
        </w:rPr>
        <w:t>（五）应当安装水污染物排放自动监测设备的重点排污单位名录；</w:t>
      </w:r>
    </w:p>
    <w:p w14:paraId="725EB6C3">
      <w:pPr>
        <w:ind w:firstLine="632" w:firstLineChars="200"/>
        <w:rPr>
          <w:rFonts w:ascii="Times New Roman" w:hAnsi="Times New Roman" w:cs="仿宋_GB2312"/>
          <w:sz w:val="32"/>
          <w:szCs w:val="32"/>
        </w:rPr>
      </w:pPr>
      <w:r>
        <w:rPr>
          <w:rFonts w:hint="eastAsia" w:ascii="Times New Roman" w:hAnsi="Times New Roman" w:cs="仿宋_GB2312"/>
          <w:sz w:val="32"/>
          <w:szCs w:val="32"/>
        </w:rPr>
        <w:t>（六）排放有毒有害水污染物的单位名单；</w:t>
      </w:r>
    </w:p>
    <w:p w14:paraId="0E817FAA">
      <w:pPr>
        <w:ind w:firstLine="632" w:firstLineChars="200"/>
        <w:rPr>
          <w:rFonts w:ascii="Times New Roman" w:hAnsi="Times New Roman" w:cs="仿宋_GB2312"/>
          <w:sz w:val="32"/>
          <w:szCs w:val="32"/>
        </w:rPr>
      </w:pPr>
      <w:r>
        <w:rPr>
          <w:rFonts w:hint="eastAsia" w:ascii="Times New Roman" w:hAnsi="Times New Roman" w:cs="仿宋_GB2312"/>
          <w:sz w:val="32"/>
          <w:szCs w:val="32"/>
        </w:rPr>
        <w:t>（七）畜禽养殖禁养区、限养区；</w:t>
      </w:r>
    </w:p>
    <w:p w14:paraId="5097457A">
      <w:pPr>
        <w:ind w:firstLine="632" w:firstLineChars="200"/>
        <w:rPr>
          <w:rFonts w:ascii="Times New Roman" w:hAnsi="Times New Roman" w:cs="仿宋_GB2312"/>
          <w:sz w:val="32"/>
          <w:szCs w:val="32"/>
        </w:rPr>
      </w:pPr>
      <w:r>
        <w:rPr>
          <w:rFonts w:hint="eastAsia" w:ascii="Times New Roman" w:hAnsi="Times New Roman" w:cs="仿宋_GB2312"/>
          <w:sz w:val="32"/>
          <w:szCs w:val="32"/>
        </w:rPr>
        <w:t>（八）突发水环境污染事件以及应对情况；</w:t>
      </w:r>
    </w:p>
    <w:p w14:paraId="653C0A2C">
      <w:pPr>
        <w:ind w:firstLine="632" w:firstLineChars="200"/>
        <w:rPr>
          <w:rFonts w:ascii="Times New Roman" w:hAnsi="Times New Roman" w:cs="仿宋_GB2312"/>
          <w:sz w:val="32"/>
          <w:szCs w:val="32"/>
        </w:rPr>
      </w:pPr>
      <w:r>
        <w:rPr>
          <w:rFonts w:hint="eastAsia" w:ascii="Times New Roman" w:hAnsi="Times New Roman" w:cs="仿宋_GB2312"/>
          <w:sz w:val="32"/>
          <w:szCs w:val="32"/>
        </w:rPr>
        <w:t>（九）水环境行政许可、行政处罚情况；</w:t>
      </w:r>
    </w:p>
    <w:p w14:paraId="7DE232A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（十）其他依法应当公开的水环境信息。</w:t>
      </w:r>
    </w:p>
    <w:p w14:paraId="52B0D8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任何单位和个人都有保护水环境的义务，有权对违法行为进行监督和举报。</w:t>
      </w:r>
    </w:p>
    <w:p w14:paraId="7603659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生态环境主管部门应当公布全市统一的举报电话、网络平台、电子邮箱等，明确受理范围和职责，方便公众举报。市人民政府生态环境主管部门接到举报后，应当在办理期限内处理，处理完毕后及时回复举报人，并对举报人信息予以保密。举报事项经查证属实的，市人民政府生态环境主管部门应当按照规定对举报人给予奖励。</w:t>
      </w:r>
    </w:p>
    <w:p w14:paraId="72B845E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鼓励公民、法人和其他组织通过捐赠、资助或者志愿服务等形式参与水环境保护活动，支持水环境保护公益事业。</w:t>
      </w:r>
    </w:p>
    <w:p w14:paraId="0954E62D">
      <w:pPr>
        <w:rPr>
          <w:rFonts w:ascii="Times New Roman" w:hAnsi="Times New Roman" w:eastAsia="宋体" w:cs="宋体"/>
          <w:szCs w:val="32"/>
        </w:rPr>
      </w:pPr>
    </w:p>
    <w:p w14:paraId="5631A197">
      <w:pPr>
        <w:jc w:val="center"/>
        <w:rPr>
          <w:rFonts w:ascii="Times New Roman" w:hAnsi="Times New Roman" w:eastAsia="黑体" w:cs="黑体"/>
          <w:szCs w:val="32"/>
        </w:rPr>
      </w:pPr>
      <w:r>
        <w:rPr>
          <w:rFonts w:hint="eastAsia" w:ascii="Times New Roman" w:hAnsi="Times New Roman" w:eastAsia="黑体" w:cs="黑体"/>
          <w:szCs w:val="32"/>
        </w:rPr>
        <w:t>第三章　水污染防治</w:t>
      </w:r>
    </w:p>
    <w:p w14:paraId="0557C1A5">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工业水污染防治</w:t>
      </w:r>
    </w:p>
    <w:p w14:paraId="3964B1BD">
      <w:pPr>
        <w:rPr>
          <w:rFonts w:ascii="Times New Roman" w:hAnsi="Times New Roman" w:eastAsia="宋体" w:cs="宋体"/>
          <w:szCs w:val="32"/>
        </w:rPr>
      </w:pPr>
    </w:p>
    <w:p w14:paraId="05137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市、县（市、区）人民政府应当转变经济发展方式，推进循环经济和清洁生产，合理规划工业布局，推动工业企业“退城进园”、转型升级，从源头上加强对工业废水的控制。</w:t>
      </w:r>
    </w:p>
    <w:p w14:paraId="03C48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排放工业废水的企业应当采取有效措施，收集产生的全部废水，经处理达标后排放。</w:t>
      </w:r>
    </w:p>
    <w:p w14:paraId="130BF7D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禁止稀释排放或者以不正常运行污水处理设施等逃避监管的方式偷排工业废水。</w:t>
      </w:r>
    </w:p>
    <w:p w14:paraId="24D0D2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由污水集中处理设施处理工业废水的企业，应当按照国家有关规定对所产生的工业废水进行预处理，达到污水集中处理设施处理工艺要求后方可排放。</w:t>
      </w:r>
    </w:p>
    <w:p w14:paraId="1D637176">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工业废水排水管线接入城镇污水管网的，应当符合国家标准规范，并在连接点前设置检查井和可关闭的排污控制装置。发现排放废水达不到国家标准规范要求的，排放工业废水的企业应当立即关闭排污控制装置。</w:t>
      </w:r>
    </w:p>
    <w:p w14:paraId="0A6F97E9">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废水排水管线直接接入污水集中处理设施的，污水集中处理设施运营单位应当在工业废水进入污水集中处理设施处设置可关闭的排污控制装置，发现排污超过约定标准的，立即关闭排污控制装置，及时通知排放工业废水的企业，并向本单位主管部门和生态环境部门报告。接到通知和报告的企业、部门应当依法采取相应措施。</w:t>
      </w:r>
    </w:p>
    <w:p w14:paraId="47481614">
      <w:pPr>
        <w:rPr>
          <w:rFonts w:ascii="Times New Roman" w:hAnsi="Times New Roman" w:eastAsia="宋体" w:cs="宋体"/>
          <w:szCs w:val="32"/>
        </w:rPr>
      </w:pPr>
    </w:p>
    <w:p w14:paraId="574A8A3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城镇水污染防治</w:t>
      </w:r>
    </w:p>
    <w:p w14:paraId="7D81CA16">
      <w:pPr>
        <w:rPr>
          <w:rFonts w:ascii="Times New Roman" w:hAnsi="Times New Roman" w:eastAsia="宋体" w:cs="宋体"/>
          <w:szCs w:val="32"/>
        </w:rPr>
      </w:pPr>
    </w:p>
    <w:p w14:paraId="6B5223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县（市、区）人民政府应当统筹安排建设城市和乡镇的污水集中处理设施以及配套管网，逐步实现污水管网全覆盖。乡镇人民政府应当建设、使用乡镇污水集中处理设施以及配套管网，防止污水直接排放。</w:t>
      </w:r>
    </w:p>
    <w:p w14:paraId="4CFCFA51">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市、县（市、区）人民政府应当将财政投资建设的城镇污水集中处理设施以及配套管网的运营经费纳入预算，及时足额拨付。鼓励社会资本参与城镇污水集中处理设施以及配套管网的建设和运营。</w:t>
      </w:r>
    </w:p>
    <w:p w14:paraId="2EAD8C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城镇污水集中处理设施的运营单位应当保障设施的正常运行，保证出水水质达到相关排放标准。城镇污水集中处理设施运营单位的主管部门、生态环境主管部门应当对城镇污水集中处理设施的出水水质和水量进行监督检查。</w:t>
      </w:r>
    </w:p>
    <w:p w14:paraId="62199AB7">
      <w:pPr>
        <w:ind w:firstLine="632" w:firstLineChars="200"/>
        <w:rPr>
          <w:rFonts w:ascii="Times New Roman" w:hAnsi="Times New Roman" w:cs="仿宋_GB2312"/>
          <w:sz w:val="32"/>
          <w:szCs w:val="32"/>
        </w:rPr>
      </w:pPr>
      <w:r>
        <w:rPr>
          <w:rFonts w:hint="eastAsia" w:ascii="Times New Roman" w:hAnsi="Times New Roman" w:cs="仿宋_GB2312"/>
          <w:sz w:val="32"/>
          <w:szCs w:val="32"/>
        </w:rPr>
        <w:t>城镇污水集中处理设施运营单位不得违反国家规定擅自停止污水集中处理设施运行，偷排偷放未经处理或者处理后不达标的污水。</w:t>
      </w:r>
    </w:p>
    <w:p w14:paraId="5AD9D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在城镇污水管网覆盖范围内从事宾馆、酒店、餐饮、娱乐、车辆维修清洗和洗衣洗浴等经营活动所产生的污水，应当全部纳入城镇污水管网，由城镇污水集中处理设施进行处理。排放餐饮污水的，应当设置符合标准的隔油和残渣过滤设施，并保证设施正常运行。</w:t>
      </w:r>
    </w:p>
    <w:p w14:paraId="3F93FA18">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在城镇污水管网覆盖范围以外从事前款所列经营活动的，应当自行建设、使用污水处理设施进行处理，保证达标排放；不能达标排放的，应当停止营业，防止排放物污染环境。</w:t>
      </w:r>
    </w:p>
    <w:p w14:paraId="71981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在城镇污水管网覆盖区域新建住宅小区的，建设单位应当同步建设完善的污水管网，与城镇污水管网相连接。</w:t>
      </w:r>
    </w:p>
    <w:p w14:paraId="3DFE1FD1">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在城镇污水管网未覆盖区域新建住宅小区的，建设单位应当自行建设污水处理设施，保证达标排放。</w:t>
      </w:r>
    </w:p>
    <w:p w14:paraId="70458A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城镇污水集中处理设施运营单位或者污泥处理处置单位应当安全处理处置污泥，保证处理处置后的污泥符合国家有关标准，对产生的污泥以及处理处置后的污泥去向、用途、用量等进行跟踪、记录，并向市人民政府生态环境主管部门和市、县（市、区）人民政府城市管理（综合行政执法）部门报告。</w:t>
      </w:r>
    </w:p>
    <w:p w14:paraId="3741824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禁止随意倾倒、堆放、丢弃、遗撒污泥。</w:t>
      </w:r>
    </w:p>
    <w:p w14:paraId="6BCA38E4">
      <w:pPr>
        <w:ind w:firstLine="632" w:firstLineChars="200"/>
        <w:rPr>
          <w:rFonts w:ascii="Times New Roman" w:hAnsi="Times New Roman" w:cs="仿宋_GB2312"/>
          <w:sz w:val="32"/>
          <w:szCs w:val="32"/>
        </w:rPr>
      </w:pPr>
      <w:r>
        <w:rPr>
          <w:rFonts w:hint="eastAsia" w:ascii="Times New Roman" w:hAnsi="Times New Roman" w:cs="仿宋_GB2312"/>
          <w:sz w:val="32"/>
          <w:szCs w:val="32"/>
        </w:rPr>
        <w:t>对污泥进行资源化利用的，应当保证污泥再利用符合相关标准，不得造成二次污染。</w:t>
      </w:r>
    </w:p>
    <w:p w14:paraId="7AD36E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城镇规划范围内新建公共排水管网，应当实行雨水、污水分流，同步建设雨水、污水收集管网。</w:t>
      </w:r>
    </w:p>
    <w:p w14:paraId="255CECE9">
      <w:pPr>
        <w:ind w:firstLine="632" w:firstLineChars="200"/>
        <w:rPr>
          <w:rFonts w:ascii="Times New Roman" w:hAnsi="Times New Roman" w:cs="仿宋_GB2312"/>
          <w:sz w:val="32"/>
          <w:szCs w:val="32"/>
        </w:rPr>
      </w:pPr>
      <w:r>
        <w:rPr>
          <w:rFonts w:hint="eastAsia" w:ascii="Times New Roman" w:hAnsi="Times New Roman" w:cs="仿宋_GB2312"/>
          <w:sz w:val="32"/>
          <w:szCs w:val="32"/>
        </w:rPr>
        <w:t>对已经建成的合流制排水系统，市、县（市、区）、乡镇人民政府应当制定雨水、污水分流改造计划，逐步进行雨水、污水分流改造。</w:t>
      </w:r>
    </w:p>
    <w:p w14:paraId="25BDAA0F">
      <w:pPr>
        <w:ind w:firstLine="632" w:firstLineChars="200"/>
        <w:rPr>
          <w:rFonts w:ascii="Times New Roman" w:hAnsi="Times New Roman" w:cs="仿宋_GB2312"/>
          <w:sz w:val="32"/>
          <w:szCs w:val="32"/>
        </w:rPr>
      </w:pPr>
      <w:r>
        <w:rPr>
          <w:rFonts w:hint="eastAsia" w:ascii="Times New Roman" w:hAnsi="Times New Roman" w:cs="仿宋_GB2312"/>
          <w:sz w:val="32"/>
          <w:szCs w:val="32"/>
        </w:rPr>
        <w:t>在雨水、污水分流地区，不得将污水排入雨水管网，并防止雨水进入污水管网。</w:t>
      </w:r>
    </w:p>
    <w:p w14:paraId="7D3EB0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易发生内涝的城区、乡镇，应当编制、完善城镇内涝防治专项规划和竖向规划，明确雨水径流排放路径，推进雨污分流工程建设，提高雨水管网收集和排放能力，解决管渠泄洪卡脖问题，发挥道路行洪功能，就近河湖排放，确保流得畅、排得出。</w:t>
      </w:r>
    </w:p>
    <w:p w14:paraId="1DB41193">
      <w:pPr>
        <w:ind w:firstLine="632" w:firstLineChars="200"/>
        <w:rPr>
          <w:rFonts w:ascii="Times New Roman" w:hAnsi="Times New Roman" w:cs="仿宋_GB2312"/>
          <w:sz w:val="32"/>
          <w:szCs w:val="32"/>
        </w:rPr>
      </w:pPr>
      <w:r>
        <w:rPr>
          <w:rFonts w:hint="eastAsia" w:ascii="Times New Roman" w:hAnsi="Times New Roman" w:cs="仿宋_GB2312"/>
          <w:sz w:val="32"/>
          <w:szCs w:val="32"/>
        </w:rPr>
        <w:t>城镇内涝防治应当与海绵城市建设相结合，科学合理安排渗、滞、蓄、净、用、排。</w:t>
      </w:r>
    </w:p>
    <w:p w14:paraId="2D6846DD">
      <w:pPr>
        <w:rPr>
          <w:rFonts w:ascii="Times New Roman" w:hAnsi="Times New Roman" w:eastAsia="宋体" w:cs="宋体"/>
          <w:szCs w:val="32"/>
        </w:rPr>
      </w:pPr>
    </w:p>
    <w:p w14:paraId="624E8DB8">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农业和农村水污染防治</w:t>
      </w:r>
    </w:p>
    <w:p w14:paraId="2635825A">
      <w:pPr>
        <w:rPr>
          <w:rFonts w:ascii="Times New Roman" w:hAnsi="Times New Roman" w:eastAsia="宋体" w:cs="宋体"/>
          <w:szCs w:val="32"/>
        </w:rPr>
      </w:pPr>
    </w:p>
    <w:p w14:paraId="17B06D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市、县（市、区）、乡镇人民政府应当加强农村环境卫生综合治理，组织相关部门编制农村生活垃圾、生活污水处理及配套设施建设规划，统筹安排资金使用和项目建设。</w:t>
      </w:r>
    </w:p>
    <w:p w14:paraId="1883F896">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区）人民政府应当遵循减量化、资源化、无害化原则，选择适宜的生活垃圾处理技术方案，构建“城乡统筹、技术合理、能力充足、环保达标”的生活垃圾收集处理体系，做好农村生活垃圾的收运处理以及污染防治，防止生活垃圾污染水环境。</w:t>
      </w:r>
    </w:p>
    <w:p w14:paraId="001A9CA4">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新建农村社区应当实行生活污水集中处理。梯次推动未实行生活污水集中处理的村庄因地制宜治理生活污水，并科学选择农村厕所改造模式，解决农村污水直排问题。</w:t>
      </w:r>
    </w:p>
    <w:p w14:paraId="7DAF66A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市、县（市、区）人民政府应当对农村生活垃圾、生活污水的收集、运输和处置给予财政补助和政策支持。鼓励社会资本投资农村生活垃圾、生活污水集中处理设施建设。</w:t>
      </w:r>
    </w:p>
    <w:p w14:paraId="0ABED2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推广生物防治病虫害、测土配方施肥等先进的农业生产技术，实施农药、化肥减施工程。推广使用符合环境保护标准的地膜，并加强地膜的集中收集、处理。加强秸秆、尾菜等种植业废弃物的规模化收集处理、资源化利用，禁止将秸秆、尾菜等种植业废弃物抛入水体。</w:t>
      </w:r>
    </w:p>
    <w:p w14:paraId="11F872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合理布局水产养殖区域，根据养殖水域生态环境，投放适宜养殖品种，推广生态环保的养殖模式，控制和减少饲料、兽药使用，禁止向公共水域排放污染养殖尾水，防止污染公共水域。</w:t>
      </w:r>
    </w:p>
    <w:p w14:paraId="6DC58C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县（市、区）人民政府应当根据环境承载力和功能区水质保护要求，依法划定畜禽养殖禁养区、限养区，并向社会公布。</w:t>
      </w:r>
    </w:p>
    <w:p w14:paraId="336D8D70">
      <w:pPr>
        <w:ind w:firstLine="632" w:firstLineChars="200"/>
        <w:rPr>
          <w:rFonts w:ascii="Times New Roman" w:hAnsi="Times New Roman" w:cs="仿宋_GB2312"/>
          <w:sz w:val="32"/>
          <w:szCs w:val="32"/>
        </w:rPr>
      </w:pPr>
      <w:r>
        <w:rPr>
          <w:rFonts w:hint="eastAsia" w:ascii="Times New Roman" w:hAnsi="Times New Roman" w:cs="仿宋_GB2312"/>
          <w:sz w:val="32"/>
          <w:szCs w:val="32"/>
        </w:rPr>
        <w:t>禁养区内的畜禽养殖场、养殖小区和养殖专业户的养殖场所应当依法关闭或者搬迁，不得继续开展畜禽养殖经营活动。</w:t>
      </w:r>
    </w:p>
    <w:p w14:paraId="471EA19D">
      <w:pPr>
        <w:ind w:firstLine="632" w:firstLineChars="200"/>
        <w:rPr>
          <w:rFonts w:ascii="Times New Roman" w:hAnsi="Times New Roman" w:cs="仿宋_GB2312"/>
          <w:sz w:val="32"/>
          <w:szCs w:val="32"/>
        </w:rPr>
      </w:pPr>
      <w:r>
        <w:rPr>
          <w:rFonts w:hint="eastAsia" w:ascii="Times New Roman" w:hAnsi="Times New Roman" w:cs="仿宋_GB2312"/>
          <w:sz w:val="32"/>
          <w:szCs w:val="32"/>
        </w:rPr>
        <w:t>在限养区内严格控制畜禽养殖场、养殖小区的数量和规模，不得新建小型畜禽养殖场、养殖小区和新发展养殖专业户。</w:t>
      </w:r>
    </w:p>
    <w:p w14:paraId="79E8428C">
      <w:pPr>
        <w:ind w:firstLine="632" w:firstLineChars="200"/>
        <w:rPr>
          <w:rFonts w:ascii="Times New Roman" w:hAnsi="Times New Roman" w:cs="仿宋_GB2312"/>
          <w:sz w:val="32"/>
          <w:szCs w:val="32"/>
        </w:rPr>
      </w:pPr>
      <w:r>
        <w:rPr>
          <w:rFonts w:hint="eastAsia" w:ascii="Times New Roman" w:hAnsi="Times New Roman" w:cs="仿宋_GB2312"/>
          <w:sz w:val="32"/>
          <w:szCs w:val="32"/>
        </w:rPr>
        <w:t>畜禽养殖场、养殖小区应当根据养殖规模和污染防治需要，建设畜禽养殖废弃物污染防治配套设施，或者委托有处理能力的单位对畜禽养殖废弃物进行无害化处理。未建设畜禽养殖废弃物污染防治配套设施、建设的配套设施不合格，也未委托有处理能力的单位对畜禽养殖废弃物进行无害化处理的，畜禽养殖场、养殖小区不得投入生产或者使用。自行建设畜禽养殖废弃物污染防治配套设施的，应当保证其正常运行。</w:t>
      </w:r>
    </w:p>
    <w:p w14:paraId="10A0E8FC">
      <w:pPr>
        <w:ind w:firstLine="632" w:firstLineChars="200"/>
        <w:rPr>
          <w:rFonts w:ascii="Times New Roman" w:hAnsi="Times New Roman" w:cs="仿宋_GB2312"/>
          <w:sz w:val="32"/>
          <w:szCs w:val="32"/>
        </w:rPr>
      </w:pPr>
      <w:r>
        <w:rPr>
          <w:rFonts w:hint="eastAsia" w:ascii="Times New Roman" w:hAnsi="Times New Roman" w:cs="仿宋_GB2312"/>
          <w:sz w:val="32"/>
          <w:szCs w:val="32"/>
        </w:rPr>
        <w:t>畜禽养殖废弃物未经无害化处理或者处理后不达标的，不得对外排放。</w:t>
      </w:r>
    </w:p>
    <w:p w14:paraId="43459876">
      <w:pPr>
        <w:rPr>
          <w:rFonts w:ascii="Times New Roman" w:hAnsi="Times New Roman" w:eastAsia="宋体" w:cs="宋体"/>
          <w:szCs w:val="32"/>
        </w:rPr>
      </w:pPr>
    </w:p>
    <w:p w14:paraId="2B6B966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水污染事故处置</w:t>
      </w:r>
    </w:p>
    <w:p w14:paraId="1CDD0270">
      <w:pPr>
        <w:rPr>
          <w:rFonts w:ascii="Times New Roman" w:hAnsi="Times New Roman" w:eastAsia="宋体" w:cs="宋体"/>
          <w:szCs w:val="32"/>
        </w:rPr>
      </w:pPr>
    </w:p>
    <w:p w14:paraId="12B76D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市、县（市、区）人民政府应当制定和完善水污染事故应急方案，明确责任主体、预警预报与响应程序、应急处置及保障措施等内容，依法及时公布预警信息。</w:t>
      </w:r>
    </w:p>
    <w:p w14:paraId="721324F8">
      <w:pPr>
        <w:ind w:firstLine="632" w:firstLineChars="200"/>
        <w:rPr>
          <w:rFonts w:ascii="Times New Roman" w:hAnsi="Times New Roman" w:cs="仿宋_GB2312"/>
          <w:sz w:val="32"/>
          <w:szCs w:val="32"/>
        </w:rPr>
      </w:pPr>
      <w:r>
        <w:rPr>
          <w:rFonts w:hint="eastAsia" w:ascii="Times New Roman" w:hAnsi="Times New Roman" w:cs="仿宋_GB2312"/>
          <w:sz w:val="32"/>
          <w:szCs w:val="32"/>
        </w:rPr>
        <w:t>可能发生水污染事故的企业事业单位，应当制定有关水污染事故的应急方案，并建设事故状态下的水污染防治设施，储备应急救援物资，定期进行演练，做好应急准备。</w:t>
      </w:r>
    </w:p>
    <w:p w14:paraId="797CED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企业事业单位发生或者可能发生水污染事故时，应当立即启动应急方案，采取隔离等应急措施，防止水污染物进入水体，通知可能受到影响的单位和居民，并按照管理权限报告市、县（市、区）人民政府或者市人民政府生态环境主管部门。市人民政府生态环境主管部门接到报告后，应当及时向本级人民政府报告，并抄送有关部门。</w:t>
      </w:r>
    </w:p>
    <w:p w14:paraId="244FC22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市人民政府生态环境主管部门应当及时对水污染事故可能影响的区域进行监测，会同相关部门督促造成事故的企业事业单位妥善处理事故造成的水体污染，及时向社会公开水污染事故处理相关情况。</w:t>
      </w:r>
    </w:p>
    <w:p w14:paraId="211FD9DD">
      <w:pPr>
        <w:rPr>
          <w:rFonts w:ascii="Times New Roman" w:hAnsi="Times New Roman" w:eastAsia="宋体" w:cs="宋体"/>
          <w:szCs w:val="32"/>
        </w:rPr>
      </w:pPr>
    </w:p>
    <w:p w14:paraId="3BCB4FD0">
      <w:pPr>
        <w:jc w:val="center"/>
        <w:rPr>
          <w:rFonts w:ascii="Times New Roman" w:hAnsi="Times New Roman" w:eastAsia="黑体" w:cs="黑体"/>
          <w:szCs w:val="32"/>
        </w:rPr>
      </w:pPr>
      <w:r>
        <w:rPr>
          <w:rFonts w:hint="eastAsia" w:ascii="Times New Roman" w:hAnsi="Times New Roman" w:eastAsia="黑体" w:cs="黑体"/>
          <w:szCs w:val="32"/>
        </w:rPr>
        <w:t>第四章　水生态保护</w:t>
      </w:r>
    </w:p>
    <w:p w14:paraId="0C2C3F38">
      <w:pPr>
        <w:rPr>
          <w:rFonts w:ascii="Times New Roman" w:hAnsi="Times New Roman" w:eastAsia="宋体" w:cs="宋体"/>
          <w:szCs w:val="32"/>
        </w:rPr>
      </w:pPr>
    </w:p>
    <w:p w14:paraId="7B07DDFA">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饮用水水源保护</w:t>
      </w:r>
    </w:p>
    <w:p w14:paraId="61C464D1">
      <w:pPr>
        <w:rPr>
          <w:rFonts w:ascii="Times New Roman" w:hAnsi="Times New Roman" w:eastAsia="宋体" w:cs="宋体"/>
          <w:szCs w:val="32"/>
        </w:rPr>
      </w:pPr>
    </w:p>
    <w:p w14:paraId="5B126E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实行饮用水水源保护区制度。对已划定保护区的饮用水水源，除有下列情形外，不得调整饮用水水源保护区范围：</w:t>
      </w:r>
    </w:p>
    <w:p w14:paraId="440EF7B8">
      <w:pPr>
        <w:ind w:firstLine="632" w:firstLineChars="200"/>
        <w:rPr>
          <w:rFonts w:ascii="Times New Roman" w:hAnsi="Times New Roman" w:cs="仿宋_GB2312"/>
          <w:sz w:val="32"/>
          <w:szCs w:val="32"/>
        </w:rPr>
      </w:pPr>
      <w:r>
        <w:rPr>
          <w:rFonts w:hint="eastAsia" w:ascii="Times New Roman" w:hAnsi="Times New Roman" w:cs="仿宋_GB2312"/>
          <w:sz w:val="32"/>
          <w:szCs w:val="32"/>
        </w:rPr>
        <w:t>（一）饮用水水源保护区范围与现行饮用水水源保护区划分技术规范有重大冲突的；</w:t>
      </w:r>
    </w:p>
    <w:p w14:paraId="3352E9E4">
      <w:pPr>
        <w:ind w:firstLine="632" w:firstLineChars="200"/>
        <w:rPr>
          <w:rFonts w:ascii="Times New Roman" w:hAnsi="Times New Roman" w:cs="仿宋_GB2312"/>
          <w:sz w:val="32"/>
          <w:szCs w:val="32"/>
        </w:rPr>
      </w:pPr>
      <w:r>
        <w:rPr>
          <w:rFonts w:hint="eastAsia" w:ascii="Times New Roman" w:hAnsi="Times New Roman" w:cs="仿宋_GB2312"/>
          <w:sz w:val="32"/>
          <w:szCs w:val="32"/>
        </w:rPr>
        <w:t>（二）饮用水水源保护区范围不能满足饮用水水源水质保护要求的；</w:t>
      </w:r>
    </w:p>
    <w:p w14:paraId="14601DA3">
      <w:pPr>
        <w:ind w:firstLine="632" w:firstLineChars="200"/>
        <w:rPr>
          <w:rFonts w:ascii="Times New Roman" w:hAnsi="Times New Roman" w:cs="仿宋_GB2312"/>
          <w:sz w:val="32"/>
          <w:szCs w:val="32"/>
        </w:rPr>
      </w:pPr>
      <w:r>
        <w:rPr>
          <w:rFonts w:hint="eastAsia" w:ascii="Times New Roman" w:hAnsi="Times New Roman" w:cs="仿宋_GB2312"/>
          <w:sz w:val="32"/>
          <w:szCs w:val="32"/>
        </w:rPr>
        <w:t>（三）取水口、输水渠道等发生重大变化的；</w:t>
      </w:r>
    </w:p>
    <w:p w14:paraId="28B0F823">
      <w:pPr>
        <w:ind w:firstLine="632" w:firstLineChars="200"/>
        <w:rPr>
          <w:rFonts w:ascii="Times New Roman" w:hAnsi="Times New Roman" w:cs="仿宋_GB2312"/>
          <w:sz w:val="32"/>
          <w:szCs w:val="32"/>
        </w:rPr>
      </w:pPr>
      <w:r>
        <w:rPr>
          <w:rFonts w:hint="eastAsia" w:ascii="Times New Roman" w:hAnsi="Times New Roman" w:cs="仿宋_GB2312"/>
          <w:sz w:val="32"/>
          <w:szCs w:val="32"/>
        </w:rPr>
        <w:t>（四）饮用水水源规模等发生重大变化的；</w:t>
      </w:r>
    </w:p>
    <w:p w14:paraId="72C7B2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（五）其他根据实际情况确需调整的。</w:t>
      </w:r>
    </w:p>
    <w:p w14:paraId="335FBF5A">
      <w:pPr>
        <w:ind w:firstLine="632" w:firstLineChars="200"/>
        <w:rPr>
          <w:rFonts w:ascii="Times New Roman" w:hAnsi="Times New Roman" w:cs="仿宋_GB2312"/>
          <w:sz w:val="32"/>
          <w:szCs w:val="32"/>
        </w:rPr>
      </w:pPr>
      <w:r>
        <w:rPr>
          <w:rFonts w:hint="eastAsia" w:ascii="Times New Roman" w:hAnsi="Times New Roman" w:cs="仿宋_GB2312"/>
          <w:sz w:val="32"/>
          <w:szCs w:val="32"/>
        </w:rPr>
        <w:t>在用、备用、规划的饮用水水源，应当依法履行划定报批手续。对不符合地表水功能区划和国家有关标准、规范的要求，不能保障供水安全的在用饮用水水源，市、县（市）人民政府应当予以关闭。关闭前，市人民政府、相关县（市）人民政府应当实施替代供水措施。</w:t>
      </w:r>
    </w:p>
    <w:p w14:paraId="28C702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市、县（市、区）应当建设城市应急水源或者备用水源。应急水源或者备用水源应当与常规供水水源保持相对独立，确保水量与水质不会受到相同风险源影响，并且确保能够及时启用。</w:t>
      </w:r>
    </w:p>
    <w:p w14:paraId="3120A6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使用东阿岩溶地下水的区域，应当建设第二水源，并逐步建设东阿岩溶地下水、第二水源分别供水系统，节约东阿岩溶地下水资源，确保饮用水安全。</w:t>
      </w:r>
    </w:p>
    <w:p w14:paraId="2B0C0C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县（市、区）人民政府应当采取城镇供水管网延伸或者建设跨乡镇、跨村居连片集中供水工程等方式，在农村发展规模集中供水模式，逐步实现城乡供水一体化。</w:t>
      </w:r>
    </w:p>
    <w:p w14:paraId="371C3A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供水单位应当按照法律、法规规定的频次和项目对水源水、出厂水、管网水进行检测，建立检测档案。</w:t>
      </w:r>
    </w:p>
    <w:p w14:paraId="528CB01C">
      <w:pPr>
        <w:ind w:firstLine="632" w:firstLineChars="200"/>
        <w:rPr>
          <w:rFonts w:ascii="Times New Roman" w:hAnsi="Times New Roman" w:cs="仿宋_GB2312"/>
          <w:sz w:val="32"/>
          <w:szCs w:val="32"/>
        </w:rPr>
      </w:pPr>
      <w:r>
        <w:rPr>
          <w:rFonts w:hint="eastAsia" w:ascii="Times New Roman" w:hAnsi="Times New Roman" w:cs="仿宋_GB2312"/>
          <w:sz w:val="32"/>
          <w:szCs w:val="32"/>
        </w:rPr>
        <w:t>供水单位主管部门应当支持、督促供水单位建设、完善水质化验室，提高供水单位自我检测能力。</w:t>
      </w:r>
    </w:p>
    <w:p w14:paraId="759D867D">
      <w:pPr>
        <w:rPr>
          <w:rFonts w:ascii="Times New Roman" w:hAnsi="Times New Roman" w:eastAsia="宋体" w:cs="宋体"/>
          <w:szCs w:val="32"/>
        </w:rPr>
      </w:pPr>
    </w:p>
    <w:p w14:paraId="4D7C767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地下水保护</w:t>
      </w:r>
    </w:p>
    <w:p w14:paraId="797D092E">
      <w:pPr>
        <w:rPr>
          <w:rFonts w:ascii="Times New Roman" w:hAnsi="Times New Roman" w:eastAsia="宋体" w:cs="宋体"/>
          <w:szCs w:val="32"/>
        </w:rPr>
      </w:pPr>
    </w:p>
    <w:p w14:paraId="78E23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市、县（市、区）人民政府应当加强地下水保护，利用雨水、自然融雪、地下径流、河道、渠道、湿地渗透等方式补给地下水。</w:t>
      </w:r>
    </w:p>
    <w:p w14:paraId="26A8D3B8">
      <w:pPr>
        <w:ind w:firstLine="632" w:firstLineChars="200"/>
        <w:rPr>
          <w:rFonts w:ascii="Times New Roman" w:hAnsi="Times New Roman" w:cs="仿宋_GB2312"/>
          <w:sz w:val="32"/>
          <w:szCs w:val="32"/>
        </w:rPr>
      </w:pPr>
      <w:r>
        <w:rPr>
          <w:rFonts w:hint="eastAsia" w:ascii="Times New Roman" w:hAnsi="Times New Roman" w:cs="仿宋_GB2312"/>
          <w:sz w:val="32"/>
          <w:szCs w:val="32"/>
        </w:rPr>
        <w:t>人工回灌补给地下水，应当符合相关的水质标准，不得造成地下水水质恶化。</w:t>
      </w:r>
    </w:p>
    <w:p w14:paraId="100FFDD6">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建设应当统筹地下水水源涵养和回补需要，按照海绵城市建设的要求，推广海绵型建筑、道路、广场、公园、绿地等，逐步完善滞渗蓄排等相结合的雨洪水收集利用系统。河流、湖泊整治应当兼顾地下水水源涵养，加强水体自然形态保护和修复。</w:t>
      </w:r>
    </w:p>
    <w:p w14:paraId="53098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市、县（市、区）人民政府水行政主管部门应当会同有关部门，编制本行政区域地下水超采综合治理方案，明确地下水压采目标和措施并组织实施。</w:t>
      </w:r>
    </w:p>
    <w:p w14:paraId="2DD697EE">
      <w:pPr>
        <w:ind w:firstLine="632" w:firstLineChars="200"/>
        <w:rPr>
          <w:rFonts w:ascii="Times New Roman" w:hAnsi="Times New Roman" w:cs="仿宋_GB2312"/>
          <w:sz w:val="32"/>
          <w:szCs w:val="32"/>
        </w:rPr>
      </w:pPr>
      <w:r>
        <w:rPr>
          <w:rFonts w:hint="eastAsia" w:ascii="Times New Roman" w:hAnsi="Times New Roman" w:cs="仿宋_GB2312"/>
          <w:sz w:val="32"/>
          <w:szCs w:val="32"/>
        </w:rPr>
        <w:t>因过量开采地下水导致水质恶化、水位严重下降、不宜继续开采的，市、县（市、区）人民政府水行政主管部门应当向有批准权限的机关报告，提出划定地下水限制开采区、禁止开采区的建议，采取限制开采或者禁止开采的措施。</w:t>
      </w:r>
    </w:p>
    <w:p w14:paraId="40DF9A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市、县（市、区）人民政府水行政主管部门应当会同自然资源和规划、生态环境部门建立完善地下水监测信息共享机制。</w:t>
      </w:r>
    </w:p>
    <w:p w14:paraId="4D0C35DF">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水行政主管部门负责对地下水水量、水位、水质等实施监测。市、县（市、区）人民政府自然资源和规划主管部门负责监测、监督防止地下水过量开采引起的地面沉降和地下水污染造成的地质环境破坏。市人民政府生态环境主管部门负责对地下水污染进行监管，对地下水监测数据进行分析，发布地下水环境质量和污染防治信息。</w:t>
      </w:r>
    </w:p>
    <w:p w14:paraId="026A4101">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水行政主管部门应当会同自然资源和规划、生态环境部门，根据地下水的监测情况，及时向本级人民政府提出调整经济结构、产业布局以及其他防止地下水超采、地下水水质恶化的建议。</w:t>
      </w:r>
    </w:p>
    <w:p w14:paraId="6D07A598">
      <w:pPr>
        <w:rPr>
          <w:rFonts w:ascii="Times New Roman" w:hAnsi="Times New Roman" w:eastAsia="宋体" w:cs="宋体"/>
          <w:szCs w:val="32"/>
        </w:rPr>
      </w:pPr>
    </w:p>
    <w:p w14:paraId="7F4B9347">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特殊水体保护</w:t>
      </w:r>
    </w:p>
    <w:p w14:paraId="574A9B16">
      <w:pPr>
        <w:rPr>
          <w:rFonts w:ascii="Times New Roman" w:hAnsi="Times New Roman" w:eastAsia="宋体" w:cs="宋体"/>
          <w:szCs w:val="32"/>
        </w:rPr>
      </w:pPr>
    </w:p>
    <w:p w14:paraId="3578EC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本市实行特殊水体保护区制度。特殊水体保护区的划定，由生态环境、水行政、自然资源和规划、文化和旅游、住房和城乡建设、农业农村等部门按照各自职责提出划定方案，报有管辖权的市、县（市、区）人民政府批准。</w:t>
      </w:r>
    </w:p>
    <w:p w14:paraId="28EDB23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市、县（市、区）人民政府应当在特殊水体保护区边界设立明显的地理界标和警示标志。</w:t>
      </w:r>
    </w:p>
    <w:p w14:paraId="116032BE">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本节所称特殊水体，是指东昌湖、茌平金牛湖、东阿洛神湖、高唐鱼丘湖以及经市人民政府确定的具有特殊经济文化价值、重要生态功能价值，需要实行特殊保护的其他水体。</w:t>
      </w:r>
    </w:p>
    <w:p w14:paraId="48912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市、县（市、区）人民政府应当按照不低于国家和省的地表水环境质量标准要求，对特殊水体进行保护，并根据水环境质量状况和保护需要适时调整适用标准。特殊水体水质适用标准的选定和调整由市、县（市、区）人民政府公布。</w:t>
      </w:r>
    </w:p>
    <w:p w14:paraId="6F1DAF84">
      <w:pPr>
        <w:ind w:firstLine="632" w:firstLineChars="200"/>
        <w:rPr>
          <w:rFonts w:ascii="Times New Roman" w:hAnsi="Times New Roman" w:cs="仿宋_GB2312"/>
          <w:sz w:val="32"/>
          <w:szCs w:val="32"/>
        </w:rPr>
      </w:pPr>
      <w:r>
        <w:rPr>
          <w:rFonts w:hint="eastAsia" w:ascii="Times New Roman" w:hAnsi="Times New Roman" w:cs="仿宋_GB2312"/>
          <w:sz w:val="32"/>
          <w:szCs w:val="32"/>
        </w:rPr>
        <w:t>东昌湖水质适用《地表水环境质量标准》（GB3838-2002），按照不低于Ⅳ类水标准进行保护。</w:t>
      </w:r>
    </w:p>
    <w:p w14:paraId="2AA768FA">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特殊水体管理单位应当加强对特殊水体水质的监管，确保水质达标。</w:t>
      </w:r>
    </w:p>
    <w:p w14:paraId="630DE5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特殊水体保护区内禁止以下行为：</w:t>
      </w:r>
    </w:p>
    <w:p w14:paraId="4941F153">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（一）新建、改建、扩建排污口；</w:t>
      </w:r>
    </w:p>
    <w:p w14:paraId="44D61FD7">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（二）新建、扩建对水体产生污染的建设项目或者改建建设项目增加排污量；</w:t>
      </w:r>
    </w:p>
    <w:p w14:paraId="4A37017B">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（三）建设畜禽养殖场、养殖小区，从事畜禽养殖专业经营活动；</w:t>
      </w:r>
    </w:p>
    <w:p w14:paraId="6DD005DF">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（四）以填河（湖）造地、围河（湖）造田等方式侵占和分割水面；</w:t>
      </w:r>
    </w:p>
    <w:p w14:paraId="17A2CB3D">
      <w:pPr>
        <w:ind w:firstLine="632" w:firstLineChars="200"/>
        <w:rPr>
          <w:rFonts w:ascii="Times New Roman" w:hAnsi="Times New Roman" w:cs="仿宋_GB2312"/>
          <w:sz w:val="32"/>
          <w:szCs w:val="32"/>
        </w:rPr>
      </w:pPr>
      <w:r>
        <w:rPr>
          <w:rFonts w:hint="eastAsia" w:ascii="Times New Roman" w:hAnsi="Times New Roman" w:cs="仿宋_GB2312"/>
          <w:sz w:val="32"/>
          <w:szCs w:val="32"/>
        </w:rPr>
        <w:t>（五）行驶无防污设备或者防污设备不符合国家规定的机动船舶；</w:t>
      </w:r>
    </w:p>
    <w:p w14:paraId="5A9081F6">
      <w:pPr>
        <w:ind w:firstLine="632" w:firstLineChars="200"/>
        <w:rPr>
          <w:rFonts w:ascii="Times New Roman" w:hAnsi="Times New Roman" w:cs="仿宋_GB2312"/>
          <w:sz w:val="32"/>
          <w:szCs w:val="32"/>
        </w:rPr>
      </w:pPr>
      <w:r>
        <w:rPr>
          <w:rFonts w:hint="eastAsia" w:ascii="Times New Roman" w:hAnsi="Times New Roman" w:cs="仿宋_GB2312"/>
          <w:sz w:val="32"/>
          <w:szCs w:val="32"/>
        </w:rPr>
        <w:t>（六）围网、利用网箱养殖吃食性鱼类；</w:t>
      </w:r>
    </w:p>
    <w:p w14:paraId="52B2EAD7">
      <w:pPr>
        <w:ind w:firstLine="632" w:firstLineChars="200"/>
        <w:rPr>
          <w:rFonts w:ascii="Times New Roman" w:hAnsi="Times New Roman" w:cs="仿宋_GB2312"/>
          <w:sz w:val="32"/>
          <w:szCs w:val="32"/>
        </w:rPr>
      </w:pPr>
      <w:r>
        <w:rPr>
          <w:rFonts w:hint="eastAsia" w:ascii="Times New Roman" w:hAnsi="Times New Roman" w:cs="仿宋_GB2312"/>
          <w:sz w:val="32"/>
          <w:szCs w:val="32"/>
        </w:rPr>
        <w:t>（七）洗车、洗衣、涮拖把、清洗宠物以及其他生活物件；</w:t>
      </w:r>
    </w:p>
    <w:p w14:paraId="7263A995">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（八）其他污染水质的行为。</w:t>
      </w:r>
    </w:p>
    <w:p w14:paraId="2F5C19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特殊水体水域内机动船舶应当设置集油或者油水分离装置和废弃物收集装置。鼓励使用以电、天然气等清洁能源为动力的船舶。</w:t>
      </w:r>
    </w:p>
    <w:p w14:paraId="4FA3DC50">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特殊水体水域的码头应当设置污染物处理设施。</w:t>
      </w:r>
    </w:p>
    <w:p w14:paraId="73A9C634">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特殊水体管理单位应当对水面漂浮垃圾、水草、死鱼打捞，船舶污染治理和污染物回收，码头防治污染设施建设和运行等特殊水体保护工作负责。</w:t>
      </w:r>
    </w:p>
    <w:p w14:paraId="5975F4AF">
      <w:pPr>
        <w:ind w:firstLine="632" w:firstLineChars="200"/>
        <w:rPr>
          <w:rFonts w:ascii="Times New Roman" w:hAnsi="Times New Roman" w:cs="仿宋_GB2312"/>
          <w:sz w:val="32"/>
          <w:szCs w:val="32"/>
        </w:rPr>
      </w:pPr>
      <w:r>
        <w:rPr>
          <w:rFonts w:hint="eastAsia" w:ascii="Times New Roman" w:hAnsi="Times New Roman" w:cs="仿宋_GB2312"/>
          <w:sz w:val="32"/>
          <w:szCs w:val="32"/>
        </w:rPr>
        <w:t>特殊水体管理单位的主管部门应当会同交通运输主管部门建立严格的监管、评估和考核机制，督促相关单位做好特殊水体保护工作。</w:t>
      </w:r>
    </w:p>
    <w:p w14:paraId="562807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禁止在特殊水体水域内（含水中小岛、绿地）开展餐饮加工经营活动。</w:t>
      </w:r>
    </w:p>
    <w:p w14:paraId="3C184C4F">
      <w:pPr>
        <w:ind w:firstLine="632" w:firstLineChars="200"/>
        <w:rPr>
          <w:rFonts w:ascii="Times New Roman" w:hAnsi="Times New Roman" w:cs="仿宋_GB2312"/>
          <w:sz w:val="32"/>
          <w:szCs w:val="32"/>
        </w:rPr>
      </w:pPr>
      <w:r>
        <w:rPr>
          <w:rFonts w:hint="eastAsia" w:ascii="Times New Roman" w:hAnsi="Times New Roman" w:cs="仿宋_GB2312"/>
          <w:sz w:val="32"/>
          <w:szCs w:val="32"/>
        </w:rPr>
        <w:t>在水域外加工、水域内经营成品餐饮的，应当确保在水域内无加工行为，并将餐饮垃圾全部收集、外运处理，不得污染水体。</w:t>
      </w:r>
    </w:p>
    <w:p w14:paraId="4DE17B20">
      <w:pPr>
        <w:ind w:firstLine="632" w:firstLineChars="200"/>
        <w:rPr>
          <w:rFonts w:ascii="Times New Roman" w:hAnsi="Times New Roman" w:cs="仿宋_GB2312"/>
          <w:sz w:val="32"/>
          <w:szCs w:val="32"/>
        </w:rPr>
      </w:pPr>
      <w:r>
        <w:rPr>
          <w:rFonts w:hint="eastAsia" w:ascii="Times New Roman" w:hAnsi="Times New Roman" w:cs="仿宋_GB2312"/>
          <w:sz w:val="32"/>
          <w:szCs w:val="32"/>
        </w:rPr>
        <w:t>在特殊水体周边开展餐饮加工经营活动产生的污水应当全部纳入城镇污水管网。没有城镇污水管网并且不能自行处理达标排放的，不得开展餐饮加工经营活动。</w:t>
      </w:r>
    </w:p>
    <w:p w14:paraId="3E25F03A">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本条所称餐饮加工经营活动，是指以加工食品原材料与售卖同时进行的方式开展餐饮经营活动，即加工和经营餐饮的一体化行为。</w:t>
      </w:r>
    </w:p>
    <w:p w14:paraId="0CCB3D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向特殊水体直接排放污水的区域，应当实施旧城区改造或者截污纳管等工程，彻底消除污水直排。</w:t>
      </w:r>
    </w:p>
    <w:p w14:paraId="6283A4FE">
      <w:pPr>
        <w:rPr>
          <w:rFonts w:ascii="Times New Roman" w:hAnsi="Times New Roman" w:eastAsia="宋体" w:cs="宋体"/>
          <w:szCs w:val="32"/>
        </w:rPr>
      </w:pPr>
    </w:p>
    <w:p w14:paraId="1283EB9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水生态修复</w:t>
      </w:r>
    </w:p>
    <w:p w14:paraId="1F783D46">
      <w:pPr>
        <w:rPr>
          <w:rFonts w:ascii="Times New Roman" w:hAnsi="Times New Roman" w:eastAsia="宋体" w:cs="宋体"/>
          <w:szCs w:val="32"/>
        </w:rPr>
      </w:pPr>
    </w:p>
    <w:p w14:paraId="29C10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市、县（市、区）人民政府应当建立并完善水环境生态保护补偿机制。</w:t>
      </w:r>
    </w:p>
    <w:p w14:paraId="020C1603">
      <w:pPr>
        <w:ind w:firstLine="632" w:firstLineChars="200"/>
        <w:rPr>
          <w:rFonts w:ascii="Times New Roman" w:hAnsi="Times New Roman" w:cs="仿宋_GB2312"/>
          <w:sz w:val="32"/>
          <w:szCs w:val="32"/>
        </w:rPr>
      </w:pPr>
      <w:r>
        <w:rPr>
          <w:rFonts w:hint="eastAsia" w:ascii="Times New Roman" w:hAnsi="Times New Roman" w:cs="仿宋_GB2312"/>
          <w:sz w:val="32"/>
          <w:szCs w:val="32"/>
        </w:rPr>
        <w:t>落实水环境生态保护补偿机制应当完善扶持政策，引导和鼓励受益地区和生态保护地区通过自愿协商，采取资金补助、对口协作、产业转移、人才培训、共建园区等方式实施。</w:t>
      </w:r>
    </w:p>
    <w:p w14:paraId="0E65CD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涉及有毒有害物质排放的搬迁企业，应当对原厂区的环境污染损害进行评估，并制定生态修复方案，经市人民政府生态环境主管部门同意后实施。</w:t>
      </w:r>
    </w:p>
    <w:p w14:paraId="5B2023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县（市、区）人民政府相关部门应当按照相关规定，组织开展河湖水面、堤岸、绿化带、景观设施的保洁和管护，建立藻类水草控制、打捞长效机制，推广采用种植水生植物、养殖增殖滤食性鱼类等生态措施，实施清淤疏浚工程，加快河湖水系贯通工程建设，增强水体自净能力。</w:t>
      </w:r>
    </w:p>
    <w:p w14:paraId="244D3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市、县（市、区）人民政府应当对新建和已建成的人工湿地，明确运营管理主体，并将财政投资的人工湿地运营管理经费纳入预算。</w:t>
      </w:r>
    </w:p>
    <w:p w14:paraId="415916E1">
      <w:pPr>
        <w:ind w:firstLine="632" w:firstLineChars="200"/>
        <w:rPr>
          <w:rFonts w:ascii="Times New Roman" w:hAnsi="Times New Roman" w:cs="仿宋_GB2312"/>
          <w:sz w:val="32"/>
          <w:szCs w:val="32"/>
        </w:rPr>
      </w:pPr>
      <w:r>
        <w:rPr>
          <w:rFonts w:hint="eastAsia" w:ascii="Times New Roman" w:hAnsi="Times New Roman" w:cs="仿宋_GB2312"/>
          <w:sz w:val="32"/>
          <w:szCs w:val="32"/>
        </w:rPr>
        <w:t>人工湿地的运营管理单位应当保证人工湿地的出水水质达到设计标准。</w:t>
      </w:r>
    </w:p>
    <w:p w14:paraId="332B6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市、县（市、区）人民政府应当组织有关部门对自然退化和遭到破坏的湿地进行科学评估，采取栖息地营造、野生生物恢复、水源补充、水体交换、退耕（垦）还湿、污染防治、生物防控等相应措施进行修复。</w:t>
      </w:r>
    </w:p>
    <w:p w14:paraId="5DA10A9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禁止违反法律规定破坏湿地及其生态功能。</w:t>
      </w:r>
    </w:p>
    <w:p w14:paraId="300656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市、县（市、区）人民政府应当组织住房和城乡建设、城市管理（综合行政执法）、生态环境、水行政等部门对本行政区域内黑臭水体制定治理计划，将黑臭水体治理纳入河长制，限期消除。</w:t>
      </w:r>
    </w:p>
    <w:p w14:paraId="29A4DB39">
      <w:pPr>
        <w:ind w:firstLine="632" w:firstLineChars="200"/>
        <w:rPr>
          <w:rFonts w:ascii="Times New Roman" w:hAnsi="Times New Roman" w:cs="仿宋_GB2312"/>
          <w:sz w:val="32"/>
          <w:szCs w:val="32"/>
        </w:rPr>
      </w:pPr>
      <w:r>
        <w:rPr>
          <w:rFonts w:hint="eastAsia" w:ascii="Times New Roman" w:hAnsi="Times New Roman" w:cs="仿宋_GB2312"/>
          <w:sz w:val="32"/>
          <w:szCs w:val="32"/>
        </w:rPr>
        <w:t>对黑臭水体区域，应当制定治理方案，加强污水管网建设，使区域内产生的污水能够全部及时进入城镇污水管网，实行统一收集、集中处理。</w:t>
      </w:r>
    </w:p>
    <w:p w14:paraId="6785332E">
      <w:pPr>
        <w:ind w:firstLine="632" w:firstLineChars="200"/>
        <w:rPr>
          <w:rFonts w:ascii="Times New Roman" w:hAnsi="Times New Roman" w:cs="仿宋_GB2312"/>
          <w:sz w:val="32"/>
          <w:szCs w:val="32"/>
        </w:rPr>
      </w:pPr>
      <w:r>
        <w:rPr>
          <w:rFonts w:hint="eastAsia" w:ascii="Times New Roman" w:hAnsi="Times New Roman" w:cs="仿宋_GB2312"/>
          <w:sz w:val="32"/>
          <w:szCs w:val="32"/>
        </w:rPr>
        <w:t>黑臭水体区域尚未建设城镇污水管网的，产生污水的单位应当自行采取污水收集处理措施或者委托有资质的单位进行收集处理，不得直排污水。</w:t>
      </w:r>
    </w:p>
    <w:p w14:paraId="10D00043">
      <w:pPr>
        <w:ind w:firstLine="632" w:firstLineChars="200"/>
        <w:rPr>
          <w:rFonts w:ascii="Times New Roman" w:hAnsi="Times New Roman" w:cs="仿宋_GB2312"/>
          <w:sz w:val="32"/>
          <w:szCs w:val="32"/>
        </w:rPr>
      </w:pPr>
      <w:r>
        <w:rPr>
          <w:rFonts w:hint="eastAsia" w:ascii="Times New Roman" w:hAnsi="Times New Roman" w:cs="仿宋_GB2312"/>
          <w:sz w:val="32"/>
          <w:szCs w:val="32"/>
        </w:rPr>
        <w:t>已自建污水处理设施的单位应当保证设施正常运行，达标排放，不得停运设施、偷排偷放。</w:t>
      </w:r>
    </w:p>
    <w:p w14:paraId="0160F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市、县（市、区）人民政府相关部门应当按照城镇排水规划的要求，统一建设再生水设施，做到厂网配套，并应当与道路建设和雨水、污水管网建设相协调。市、县（市、区）人民政府水行政主管部门应当将再生水纳入水资源统一配置，合理利用。再生水供水水质应当达到相关利用标准，不得产生二次污染。</w:t>
      </w:r>
    </w:p>
    <w:p w14:paraId="4FD44130">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机关、企业事业单位，住宅小区、宾馆、娱乐场所，城市绿化、道路清洁、洗车洗浴、建筑施工以及生态景观等，应当采用节水技术、设备和设施，并优先使用再生水。</w:t>
      </w:r>
    </w:p>
    <w:p w14:paraId="4F728E2A">
      <w:pPr>
        <w:rPr>
          <w:rFonts w:ascii="Times New Roman" w:hAnsi="Times New Roman" w:eastAsia="宋体" w:cs="宋体"/>
          <w:szCs w:val="32"/>
        </w:rPr>
      </w:pPr>
    </w:p>
    <w:p w14:paraId="60D8CE7A">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10C4D9E">
      <w:pPr>
        <w:rPr>
          <w:rFonts w:ascii="Times New Roman" w:hAnsi="Times New Roman" w:eastAsia="宋体" w:cs="宋体"/>
          <w:szCs w:val="32"/>
        </w:rPr>
      </w:pPr>
    </w:p>
    <w:p w14:paraId="63B01A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违反本条例规定的行为，法律、行政法规和山东省地方性法规已经规定法律责任的，适用其规定。</w:t>
      </w:r>
    </w:p>
    <w:p w14:paraId="1803B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违反本条例第二十六条第一款规定，在城镇污水管网覆盖范围内从事宾馆、酒店、餐饮、娱乐、车辆维修清洗和洗衣洗浴等经营活动所产生的污水，未纳入城镇污水管网的，由市、县（市、区）人民政府城市管理（综合行政执法）部门责令改正、给予警告；逾期不改正或者造成严重后果的，对单位处十万元以上二十万元以下的罚款，对个人处二万元以上十万元以下的罚款；造成损失的，依法承担赔偿责任。</w:t>
      </w:r>
    </w:p>
    <w:p w14:paraId="0A5CFE5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六条第一款规定，城镇污水管网覆盖范围内排放餐饮污水，未设置符合标准的隔油和残渣过滤设施或者隔油和残渣过滤设施未正常运行的，责令停止违法行为，对单位处二万元以上十万元以下的罚款，对个人处一千元以上一万元以下的罚款。违法行为发生在城区的，由市、县（市、区）人民政府城市管理（综合行政执法）部门处罚；违法行为发生在城区以外的，由市人民政府生态环境主管部门处罚。</w:t>
      </w:r>
    </w:p>
    <w:p w14:paraId="0365DF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违反本条例第三十二条规定，将秸秆、尾菜等种植业废弃物抛入水体的，由市、县（市、区）人民政府农业农村主管部门责令改正；拒不改正的，处二百元以上二千元以下的罚款。</w:t>
      </w:r>
    </w:p>
    <w:p w14:paraId="11CF6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违反本条例第三十四条第二款规定，畜禽养殖禁养区内的畜禽养殖场、养殖小区和养殖专业户的养殖场所未依法关闭或者搬迁，仍然开展畜禽养殖经营活动的，由市人民政府生态环境主管部门责令停止违法行为；拒不停止违法行为的，处三万元以上十万元以下的罚款，并依法报经有批准权的人民政府批准，责令拆除或者关闭。</w:t>
      </w:r>
    </w:p>
    <w:p w14:paraId="61FE535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四条第三款规定，在畜禽养殖限养区内新建小型畜禽养殖场、养殖小区或者新发展养殖专业户的，由市人民政府生态环境主管部门责令停止违法行为；拒不停止违法行为的，处三万元以上五万元以下的罚款，并依法报经有批准权的人民政府批准，责令拆除或者关闭。</w:t>
      </w:r>
    </w:p>
    <w:p w14:paraId="25DF032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四条第四款规定，畜禽养殖场、养殖小区未建设畜禽养殖废弃物污染防治配套设施或者自行建设的配套设施不合格，也未委托他人对畜禽养殖废弃物进行无害化处理即投入生产、使用的，或者建设的污染防治配套设施未正常运行的，由市人民政府生态环境主管部门责令停止生产或者使用，可以处十万元以下的罚款。</w:t>
      </w:r>
    </w:p>
    <w:p w14:paraId="5254DC4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四条第五款规定，畜禽养殖废弃物未经无害化处理或者处理后不达标即对外排放的，由市人民政府生态环境主管部门责令限期治理，可以处五万元以下的罚款；市人民政府生态环境主管部门作出限期治理决定后，应当会同农业农村等有关部门对整改措施的落实情况及时进行核查，并向社会公布核查结果。</w:t>
      </w:r>
    </w:p>
    <w:p w14:paraId="252F36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条例第四十七条第五项规定，在特殊水体保护区内行驶无防污设备或者防污设备不符合国家规定的机动船舶的，由市、县（市、区）人民政府交通运输主管部门责令限期改正，处二千元以上二万元以下的罚款；逾期未改正的，责令船舶临时停航。</w:t>
      </w:r>
    </w:p>
    <w:p w14:paraId="2844506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七条第七项规定，在特殊水体保护区内洗车、洗衣、涮拖把、清洗宠物以及其他生活物件的，由市、县（市、区）人民政府城市管理（综合行政执法）部门责令停止违法行为，处二百元以上二千元以下的罚款。</w:t>
      </w:r>
    </w:p>
    <w:p w14:paraId="1AF144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条例第四十九条第一款规定，在特殊水体水域内（含水中小岛、绿地）开展餐饮加工经营活动的，由市、县（市、区）人民政府城市管理（综合行政执法）部门责令改正，可以处二万元以上五万元以下的罚款。</w:t>
      </w:r>
    </w:p>
    <w:p w14:paraId="52275D61">
      <w:pPr>
        <w:rPr>
          <w:rFonts w:ascii="Times New Roman" w:hAnsi="Times New Roman" w:eastAsia="宋体" w:cs="宋体"/>
          <w:szCs w:val="32"/>
        </w:rPr>
      </w:pPr>
    </w:p>
    <w:p w14:paraId="18C51768">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63DAB12C">
      <w:pPr>
        <w:rPr>
          <w:rFonts w:ascii="Times New Roman" w:hAnsi="Times New Roman" w:eastAsia="宋体" w:cs="宋体"/>
          <w:szCs w:val="32"/>
        </w:rPr>
      </w:pPr>
    </w:p>
    <w:p w14:paraId="2BB01A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本条例自2018年5月1日起施行。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5C50E2A"/>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11107</Words>
  <Characters>11135</Characters>
  <Lines>87</Lines>
  <Paragraphs>24</Paragraphs>
  <TotalTime>0</TotalTime>
  <ScaleCrop>false</ScaleCrop>
  <LinksUpToDate>false</LinksUpToDate>
  <CharactersWithSpaces>11240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2026-01-20T05:55:45Z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