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200" w:startChars="0" w:start="0" w:endChars="0" w:end="0"/>
        <w:rPr>
          <w:rFonts w:hint="eastAsia"/>
        </w:rPr>
      </w:pPr>
      <w:r>
        <w:rPr>
          <w:rFonts w:hint="eastAsia"/>
        </w:rPr>
      </w:r>
    </w:p>
    <w:p>
      <w:pPr>
        <w:pStyle w:val="Normal"/>
        <w:spacing w:lineRule="exact" w:line="740"/>
        <w:jc w:val="center"/>
        <w:rPr>
          <w:rFonts w:ascii="方正小标宋简体" w:hAnsi="方正小标宋简体" w:eastAsia="方正小标宋简体" w:hint="eastAsia"/>
          <w:sz w:val="44"/>
          <w:szCs w:val="44"/>
        </w:rPr>
      </w:pPr>
      <w:r>
        <w:rPr>
          <w:rFonts w:ascii="方正小标宋简体" w:hAnsi="方正小标宋简体" w:hint="eastAsia" w:eastAsia="方正小标宋简体"/>
          <w:sz w:val="44"/>
          <w:szCs w:val="44"/>
        </w:rPr>
        <w:t>安徽省人民代表大会常务委员会</w:t>
      </w:r>
    </w:p>
    <w:p>
      <w:pPr>
        <w:pStyle w:val="Normal"/>
        <w:spacing w:lineRule="exact" w:line="740"/>
        <w:jc w:val="center"/>
        <w:rPr/>
      </w:pPr>
      <w:r>
        <w:rPr>
          <w:rFonts w:ascii="方正小标宋简体" w:hAnsi="方正小标宋简体" w:hint="eastAsia" w:eastAsia="方正小标宋简体"/>
          <w:sz w:val="44"/>
          <w:szCs w:val="44"/>
        </w:rPr>
        <w:t>公       告</w:t>
      </w:r>
    </w:p>
    <w:p>
      <w:pPr>
        <w:pStyle w:val="Normal"/>
        <w:jc w:val="center"/>
        <w:rPr>
          <w:rFonts w:ascii="方正小标宋简体" w:hAnsi="方正小标宋简体" w:eastAsia="方正小标宋简体" w:hint="eastAsia"/>
          <w:sz w:val="44"/>
          <w:szCs w:val="44"/>
        </w:rPr>
      </w:pPr>
      <w:r>
        <w:rPr>
          <w:rFonts w:eastAsia="方正小标宋简体" w:hint="eastAsia" w:ascii="方正小标宋简体" w:hAnsi="方正小标宋简体"/>
          <w:sz w:val="44"/>
          <w:szCs w:val="44"/>
        </w:rPr>
      </w:r>
    </w:p>
    <w:p>
      <w:pPr>
        <w:pStyle w:val="Normal"/>
        <w:jc w:val="center"/>
        <w:rPr>
          <w:rFonts w:ascii="楷体_GB2312" w:hAnsi="楷体_GB2312" w:eastAsia="楷体_GB2312" w:cs="楷体_GB2312"/>
        </w:rPr>
      </w:pPr>
      <w:r>
        <w:rPr>
          <w:rFonts w:ascii="楷体_GB2312" w:hAnsi="楷体_GB2312" w:cs="楷体_GB2312" w:hint="eastAsia" w:eastAsia="楷体_GB2312"/>
        </w:rPr>
        <w:t>（第十五号）</w:t>
      </w:r>
    </w:p>
    <w:p>
      <w:pPr>
        <w:pStyle w:val="Normal"/>
        <w:rPr>
          <w:rFonts w:ascii="仿宋_GB2312" w:hAnsi="仿宋_GB2312" w:eastAsia="楷体_GB2312" w:cs="仿宋_GB2312"/>
        </w:rPr>
      </w:pPr>
      <w:r>
        <w:rPr>
          <w:rFonts w:eastAsia="楷体_GB2312" w:cs="仿宋_GB2312" w:ascii="仿宋_GB2312" w:hAnsi="仿宋_GB2312"/>
        </w:rPr>
      </w:r>
    </w:p>
    <w:p>
      <w:pPr>
        <w:pStyle w:val="Normal"/>
        <w:spacing w:lineRule="exact" w:line="600"/>
        <w:rPr/>
      </w:pPr>
      <w:r>
        <w:rPr>
          <w:rFonts w:cs="仿宋_GB2312" w:hint="eastAsia" w:ascii="仿宋_GB2312" w:hAnsi="仿宋_GB2312"/>
        </w:rPr>
        <w:t xml:space="preserve">    </w:t>
      </w:r>
      <w:r>
        <w:rPr>
          <w:rFonts w:ascii="仿宋_GB2312" w:hAnsi="仿宋_GB2312" w:cs="仿宋_GB2312" w:hint="eastAsia"/>
        </w:rPr>
        <w:t>《</w:t>
      </w:r>
      <w:r>
        <w:rPr>
          <w:rFonts w:cs="仿宋_GB2312" w:hint="eastAsia"/>
        </w:rPr>
        <w:t>安徽省商会条例</w:t>
      </w:r>
      <w:r>
        <w:rPr>
          <w:rFonts w:ascii="仿宋_GB2312" w:hAnsi="仿宋_GB2312" w:cs="仿宋_GB2312" w:hint="eastAsia"/>
        </w:rPr>
        <w:t>》</w:t>
      </w:r>
      <w:r>
        <w:rPr>
          <w:rFonts w:cs="仿宋_GB2312" w:hint="eastAsia"/>
        </w:rPr>
        <w:t>已经</w:t>
      </w:r>
      <w:r>
        <w:rPr/>
        <w:t>2019</w:t>
      </w:r>
      <w:r>
        <w:rPr>
          <w:rFonts w:cs="仿宋_GB2312" w:hint="eastAsia"/>
        </w:rPr>
        <w:t>年</w:t>
      </w:r>
      <w:r>
        <w:rPr/>
        <w:t>7</w:t>
      </w:r>
      <w:r>
        <w:rPr>
          <w:rFonts w:cs="仿宋_GB2312" w:hint="eastAsia"/>
        </w:rPr>
        <w:t>月</w:t>
      </w:r>
      <w:r>
        <w:rPr/>
        <w:t>26</w:t>
      </w:r>
      <w:r>
        <w:rPr>
          <w:rFonts w:cs="仿宋_GB2312" w:hint="eastAsia"/>
        </w:rPr>
        <w:t>日安徽省第十三届人民代表大会常务委员会第十一次会议通过，现予公布，自</w:t>
      </w:r>
      <w:r>
        <w:rPr/>
        <w:t>2019</w:t>
      </w:r>
      <w:r>
        <w:rPr>
          <w:rFonts w:cs="仿宋_GB2312" w:hint="eastAsia"/>
        </w:rPr>
        <w:t>年</w:t>
      </w:r>
      <w:r>
        <w:rPr/>
        <w:t>10</w:t>
      </w:r>
      <w:r>
        <w:rPr>
          <w:rFonts w:cs="仿宋_GB2312" w:hint="eastAsia"/>
        </w:rPr>
        <w:t>月</w:t>
      </w:r>
      <w:r>
        <w:rPr/>
        <w:t>1</w:t>
      </w:r>
      <w:r>
        <w:rPr>
          <w:rFonts w:cs="仿宋_GB2312" w:hint="eastAsia"/>
        </w:rPr>
        <w:t>日起施行。</w:t>
      </w:r>
    </w:p>
    <w:p>
      <w:pPr>
        <w:pStyle w:val="Normal"/>
        <w:rPr/>
      </w:pPr>
      <w:r>
        <w:rPr/>
      </w:r>
    </w:p>
    <w:p>
      <w:pPr>
        <w:pStyle w:val="Normal"/>
        <w:rPr/>
      </w:pPr>
      <w:r>
        <w:rPr/>
      </w:r>
      <w:bookmarkStart w:id="0" w:name="_GoBack"/>
      <w:bookmarkEnd w:id="0"/>
    </w:p>
    <w:p>
      <w:pPr>
        <w:pStyle w:val="Normal"/>
        <w:ind w:firstLineChars="0" w:firstLine="0" w:startChars="0" w:start="0" w:endChars="99"/>
        <w:jc w:val="end"/>
        <w:rPr>
          <w:rFonts w:cs="仿宋_GB2312" w:hint="eastAsia"/>
        </w:rPr>
      </w:pPr>
      <w:r>
        <w:rPr>
          <w:rFonts w:cs="仿宋_GB2312" w:hint="eastAsia"/>
        </w:rPr>
        <w:t>安徽省人民代表大会常务委员会</w:t>
      </w:r>
    </w:p>
    <w:p>
      <w:pPr>
        <w:pStyle w:val="Normal"/>
        <w:ind w:firstLineChars="200" w:startChars="0" w:start="0" w:endChars="399"/>
        <w:jc w:val="end"/>
        <w:rPr>
          <w:rFonts w:hint="eastAsia"/>
        </w:rPr>
      </w:pPr>
      <w:r>
        <w:rPr/>
        <w:t xml:space="preserve">                            </w:t>
      </w:r>
      <w:r>
        <w:rPr/>
        <w:t>2019</w:t>
      </w:r>
      <w:r>
        <w:rPr>
          <w:rFonts w:cs="仿宋_GB2312" w:hint="eastAsia"/>
        </w:rPr>
        <w:t>年</w:t>
      </w:r>
      <w:r>
        <w:rPr/>
        <w:t>7</w:t>
      </w:r>
      <w:r>
        <w:rPr>
          <w:rFonts w:cs="仿宋_GB2312" w:hint="eastAsia"/>
        </w:rPr>
        <w:t>月</w:t>
      </w:r>
      <w:r>
        <w:rPr/>
        <w:t>29</w:t>
      </w:r>
      <w:r>
        <w:rPr>
          <w:rFonts w:cs="仿宋_GB2312" w:hint="eastAsia"/>
        </w:rPr>
        <w:t>日</w:t>
      </w:r>
      <w:r>
        <w:br w:type="page"/>
      </w:r>
    </w:p>
    <w:p>
      <w:pPr>
        <w:pStyle w:val="BodyTextIndent"/>
        <w:spacing w:lineRule="auto" w:line="240"/>
        <w:ind w:firstLineChars="0" w:firstLine="0" w:endChars="0" w:end="0"/>
        <w:rPr>
          <w:rFonts w:ascii="Times New Roman" w:hAnsi="Times New Roman" w:eastAsia="方正仿宋_GBK" w:cs="Times New Roman" w:hint="eastAsia"/>
          <w:sz w:val="32"/>
          <w:szCs w:val="32"/>
        </w:rPr>
      </w:pPr>
      <w:r>
        <w:rPr>
          <w:rFonts w:eastAsia="方正仿宋_GBK" w:cs="Times New Roman" w:hint="eastAsia" w:ascii="Times New Roman" w:hAnsi="Times New Roman"/>
          <w:sz w:val="32"/>
          <w:szCs w:val="32"/>
        </w:rPr>
      </w:r>
    </w:p>
    <w:p>
      <w:pPr>
        <w:pStyle w:val="Normal"/>
        <w:spacing w:lineRule="exact" w:line="680"/>
        <w:jc w:val="center"/>
        <w:rPr>
          <w:rFonts w:eastAsia="楷体_GB2312" w:hint="eastAsia"/>
          <w:bCs/>
        </w:rPr>
      </w:pPr>
      <w:r>
        <w:rPr>
          <w:rFonts w:hint="eastAsia" w:eastAsia="方正小标宋简体"/>
          <w:sz w:val="44"/>
          <w:szCs w:val="44"/>
        </w:rPr>
        <w:t>安徽省商会条例</w:t>
      </w:r>
    </w:p>
    <w:p>
      <w:pPr>
        <w:pStyle w:val="Normal"/>
        <w:ind w:firstLineChars="200" w:startChars="200" w:endChars="200"/>
        <w:rPr>
          <w:rFonts w:ascii="楷体_GB2312" w:hAnsi="楷体_GB2312" w:eastAsia="楷体_GB2312" w:cs="楷体_GB2312" w:hint="eastAsia"/>
          <w:bCs/>
          <w:color w:val="000000"/>
        </w:rPr>
      </w:pPr>
      <w:r>
        <w:rPr>
          <w:rFonts w:eastAsia="楷体_GB2312" w:cs="楷体_GB2312" w:hint="eastAsia" w:ascii="楷体_GB2312" w:hAnsi="楷体_GB2312"/>
          <w:bCs/>
          <w:color w:val="000000"/>
        </w:rPr>
      </w:r>
    </w:p>
    <w:p>
      <w:pPr>
        <w:pStyle w:val="Normal"/>
        <w:ind w:end="-3"/>
        <w:jc w:val="center"/>
        <w:rPr>
          <w:rFonts w:eastAsia="楷体_GB2312"/>
          <w:color w:val="000000"/>
        </w:rPr>
      </w:pPr>
      <w:r>
        <w:rPr>
          <w:rFonts w:cs="楷体_GB2312" w:eastAsia="楷体_GB2312"/>
          <w:color w:val="000000"/>
        </w:rPr>
        <w:t>（</w:t>
      </w:r>
      <w:r>
        <w:rPr>
          <w:rFonts w:eastAsia="楷体_GB2312"/>
          <w:color w:val="000000"/>
        </w:rPr>
        <w:t>2019</w:t>
      </w:r>
      <w:r>
        <w:rPr>
          <w:rFonts w:cs="楷体_GB2312" w:eastAsia="楷体_GB2312"/>
          <w:color w:val="000000"/>
        </w:rPr>
        <w:t>年</w:t>
      </w:r>
      <w:r>
        <w:rPr>
          <w:rFonts w:eastAsia="楷体_GB2312" w:hint="eastAsia"/>
          <w:color w:val="000000"/>
        </w:rPr>
        <w:t>7</w:t>
      </w:r>
      <w:r>
        <w:rPr>
          <w:rFonts w:cs="楷体_GB2312" w:eastAsia="楷体_GB2312"/>
          <w:color w:val="000000"/>
        </w:rPr>
        <w:t>月</w:t>
      </w:r>
      <w:r>
        <w:rPr>
          <w:rFonts w:eastAsia="楷体_GB2312" w:hint="eastAsia"/>
          <w:color w:val="000000"/>
        </w:rPr>
        <w:t>26</w:t>
      </w:r>
      <w:r>
        <w:rPr>
          <w:rFonts w:cs="楷体_GB2312" w:eastAsia="楷体_GB2312"/>
          <w:color w:val="000000"/>
        </w:rPr>
        <w:t>日安徽省第十三届人民代表大会</w:t>
      </w:r>
    </w:p>
    <w:p>
      <w:pPr>
        <w:pStyle w:val="Normal"/>
        <w:ind w:end="-3"/>
        <w:jc w:val="center"/>
        <w:rPr>
          <w:rFonts w:ascii="楷体_GB2312" w:hAnsi="楷体_GB2312" w:eastAsia="楷体_GB2312" w:cs="楷体_GB2312"/>
          <w:color w:val="000000"/>
        </w:rPr>
      </w:pPr>
      <w:r>
        <w:rPr>
          <w:rFonts w:cs="楷体_GB2312" w:eastAsia="楷体_GB2312"/>
          <w:color w:val="000000"/>
        </w:rPr>
        <w:t>常务委员会第</w:t>
      </w:r>
      <w:r>
        <w:rPr>
          <w:rFonts w:ascii="楷体_GB2312" w:hAnsi="楷体_GB2312" w:cs="楷体_GB2312" w:hint="eastAsia" w:eastAsia="楷体_GB2312"/>
          <w:color w:val="000000"/>
        </w:rPr>
        <w:t>十一次会议通过）</w:t>
      </w:r>
    </w:p>
    <w:p>
      <w:pPr>
        <w:pStyle w:val="Normal"/>
        <w:rPr>
          <w:rFonts w:ascii="楷体_GB2312" w:hAnsi="楷体_GB2312" w:eastAsia="微软雅黑" w:cs="楷体_GB2312" w:hint="eastAsia"/>
          <w:bCs/>
          <w:color w:val="000000"/>
        </w:rPr>
      </w:pPr>
      <w:r>
        <w:rPr>
          <w:rFonts w:eastAsia="微软雅黑" w:cs="楷体_GB2312" w:hint="eastAsia" w:ascii="楷体_GB2312" w:hAnsi="楷体_GB2312"/>
          <w:bCs/>
          <w:color w:val="000000"/>
        </w:rPr>
      </w:r>
    </w:p>
    <w:p>
      <w:pPr>
        <w:pStyle w:val="Normal"/>
        <w:ind w:firstLineChars="200" w:startChars="0" w:start="0" w:endChars="0" w:end="0"/>
        <w:rPr>
          <w:rFonts w:eastAsia="微软雅黑"/>
        </w:rPr>
      </w:pPr>
      <w:r>
        <w:rPr>
          <w:rFonts w:cs="黑体;SimHei" w:eastAsia="黑体;SimHei"/>
        </w:rPr>
        <w:t>第一条</w:t>
      </w:r>
      <w:r>
        <w:rPr>
          <w:rFonts w:hint="eastAsia" w:eastAsia="黑体;SimHei"/>
        </w:rPr>
        <w:t xml:space="preserve">  </w:t>
      </w:r>
      <w:r>
        <w:rPr>
          <w:rFonts w:hint="eastAsia"/>
        </w:rPr>
        <w:t>为了促进商会健康发展，营造诚信有序的营商环境，发挥商会在经济发展和社会治理中的作用，根据有关法律、行政法规，结合本省实际，制定本条例。</w:t>
      </w:r>
    </w:p>
    <w:p>
      <w:pPr>
        <w:pStyle w:val="Normal"/>
        <w:ind w:firstLineChars="200" w:startChars="0" w:start="0" w:endChars="0" w:end="0"/>
        <w:rPr/>
      </w:pPr>
      <w:r>
        <w:rPr>
          <w:rFonts w:cs="黑体;SimHei" w:eastAsia="黑体;SimHei"/>
        </w:rPr>
        <w:t>第二条</w:t>
      </w:r>
      <w:r>
        <w:rPr>
          <w:rFonts w:hint="eastAsia" w:eastAsia="黑体;SimHei"/>
        </w:rPr>
        <w:t xml:space="preserve">  </w:t>
      </w:r>
      <w:r>
        <w:rPr/>
        <w:t>本条例适用于本省行政区域内商会的</w:t>
      </w:r>
      <w:r>
        <w:rPr>
          <w:rFonts w:hint="eastAsia"/>
        </w:rPr>
        <w:t>登记</w:t>
      </w:r>
      <w:r>
        <w:rPr/>
        <w:t>、运行、管理和服务。</w:t>
      </w:r>
    </w:p>
    <w:p>
      <w:pPr>
        <w:pStyle w:val="Normal"/>
        <w:ind w:firstLineChars="200" w:startChars="0" w:start="0" w:endChars="0" w:end="0"/>
        <w:rPr>
          <w:rFonts w:hint="eastAsia"/>
          <w:spacing w:val="4"/>
        </w:rPr>
      </w:pPr>
      <w:r>
        <w:rPr/>
        <w:t>本条例所称商会是指从事工商业活动的企业、个体工商户和其他经济组织自愿</w:t>
      </w:r>
      <w:r>
        <w:rPr>
          <w:rFonts w:hint="eastAsia"/>
        </w:rPr>
        <w:t>组成，实行自律管理，依法登记的非营利性的</w:t>
      </w:r>
      <w:r>
        <w:rPr>
          <w:rFonts w:hint="eastAsia"/>
          <w:spacing w:val="4"/>
        </w:rPr>
        <w:t>经济性</w:t>
      </w:r>
      <w:r>
        <w:rPr>
          <w:spacing w:val="4"/>
        </w:rPr>
        <w:t>社会团体</w:t>
      </w:r>
      <w:r>
        <w:rPr>
          <w:rFonts w:hint="eastAsia"/>
          <w:spacing w:val="4"/>
        </w:rPr>
        <w:t>，含乡镇商会、街道商会、园区商会、异地商会等</w:t>
      </w:r>
      <w:r>
        <w:rPr>
          <w:spacing w:val="4"/>
        </w:rPr>
        <w:t>。</w:t>
      </w:r>
    </w:p>
    <w:p>
      <w:pPr>
        <w:pStyle w:val="Normal"/>
        <w:ind w:firstLineChars="200" w:startChars="0" w:start="0" w:endChars="0" w:end="0"/>
        <w:rPr/>
      </w:pPr>
      <w:r>
        <w:rPr>
          <w:rFonts w:cs="黑体;SimHei" w:eastAsia="黑体;SimHei"/>
        </w:rPr>
        <w:t>第</w:t>
      </w:r>
      <w:r>
        <w:rPr>
          <w:rFonts w:cs="黑体;SimHei" w:hint="eastAsia" w:eastAsia="黑体;SimHei"/>
        </w:rPr>
        <w:t>三</w:t>
      </w:r>
      <w:r>
        <w:rPr>
          <w:rFonts w:cs="黑体;SimHei" w:eastAsia="黑体;SimHei"/>
        </w:rPr>
        <w:t>条</w:t>
      </w:r>
      <w:r>
        <w:rPr>
          <w:rFonts w:hint="eastAsia" w:eastAsia="黑体;SimHei"/>
        </w:rPr>
        <w:t xml:space="preserve">  </w:t>
      </w:r>
      <w:r>
        <w:rPr>
          <w:rFonts w:hint="eastAsia"/>
        </w:rPr>
        <w:t>县级以上人民政府民政部门是本级人民政府的商会登记管理机关，履行商会成立、变更、注销登记，以及年度检查、监督检查和行政处罚等职责。</w:t>
      </w:r>
    </w:p>
    <w:p>
      <w:pPr>
        <w:pStyle w:val="Normal"/>
        <w:ind w:firstLineChars="200" w:startChars="0" w:start="0" w:endChars="0" w:end="0"/>
        <w:rPr>
          <w:rFonts w:hint="eastAsia"/>
        </w:rPr>
      </w:pPr>
      <w:r>
        <w:rPr>
          <w:rFonts w:hint="eastAsia"/>
        </w:rPr>
        <w:t>县级以上工商业联合会（以下简称工商联）是其所属商会的业务主管单位，按照职责履行登记初审和有关指导、服务、监督职能。</w:t>
      </w:r>
    </w:p>
    <w:p>
      <w:pPr>
        <w:pStyle w:val="Normal"/>
        <w:ind w:firstLineChars="200" w:startChars="0" w:start="0" w:endChars="0" w:end="0"/>
        <w:rPr/>
      </w:pPr>
      <w:r>
        <w:rPr>
          <w:rFonts w:hint="eastAsia"/>
        </w:rPr>
        <w:t>县级以上人民政府发展改革、财政、税务、人力资源社会保障、市场监督管理、金融管理等部门应当按照各自职责，依法对商会提供支持和服务，进行指导和监督。</w:t>
      </w:r>
    </w:p>
    <w:p>
      <w:pPr>
        <w:pStyle w:val="Normal"/>
        <w:ind w:firstLineChars="200" w:startChars="0" w:start="0" w:endChars="0" w:end="0"/>
        <w:rPr>
          <w:rFonts w:hint="eastAsia"/>
        </w:rPr>
      </w:pPr>
      <w:r>
        <w:rPr>
          <w:rFonts w:hint="eastAsia"/>
        </w:rPr>
        <w:t>行业管理部门应当按照职责，对商会进行行业指导，履行相关监督管理责任。</w:t>
      </w:r>
    </w:p>
    <w:p>
      <w:pPr>
        <w:pStyle w:val="Normal"/>
        <w:ind w:firstLineChars="200" w:startChars="0" w:start="0" w:endChars="0" w:end="0"/>
        <w:rPr>
          <w:rFonts w:hint="eastAsia"/>
        </w:rPr>
      </w:pPr>
      <w:r>
        <w:rPr>
          <w:rFonts w:cs="黑体;SimHei" w:eastAsia="黑体;SimHei"/>
        </w:rPr>
        <w:t>第</w:t>
      </w:r>
      <w:r>
        <w:rPr>
          <w:rFonts w:cs="黑体;SimHei" w:hint="eastAsia" w:eastAsia="黑体;SimHei"/>
        </w:rPr>
        <w:t>四</w:t>
      </w:r>
      <w:r>
        <w:rPr>
          <w:rFonts w:cs="黑体;SimHei" w:eastAsia="黑体;SimHei"/>
        </w:rPr>
        <w:t>条</w:t>
      </w:r>
      <w:r>
        <w:rPr>
          <w:rFonts w:hint="eastAsia" w:eastAsia="黑体;SimHei"/>
        </w:rPr>
        <w:t xml:space="preserve">  </w:t>
      </w:r>
      <w:r>
        <w:rPr>
          <w:rFonts w:hint="eastAsia"/>
        </w:rPr>
        <w:t>商会应当坚持中国共产党的领导，确保商会发展的正确方向。</w:t>
      </w:r>
    </w:p>
    <w:p>
      <w:pPr>
        <w:pStyle w:val="Normal"/>
        <w:ind w:firstLineChars="200" w:startChars="0" w:start="0" w:endChars="0" w:end="0"/>
        <w:rPr>
          <w:rFonts w:hint="eastAsia"/>
        </w:rPr>
      </w:pPr>
      <w:r>
        <w:rPr>
          <w:rFonts w:hint="eastAsia"/>
        </w:rPr>
        <w:t>在商会中，根据中国共产党章程的规定，设立中国共产党的组织，开展党的活动。商会应当为党组织的活动提供必要条件。</w:t>
      </w:r>
    </w:p>
    <w:p>
      <w:pPr>
        <w:pStyle w:val="Normal"/>
        <w:ind w:firstLineChars="200" w:startChars="0" w:start="0" w:endChars="0" w:end="0"/>
        <w:rPr>
          <w:rFonts w:hint="eastAsia"/>
        </w:rPr>
      </w:pPr>
      <w:r>
        <w:rPr>
          <w:rFonts w:cs="黑体;SimHei" w:eastAsia="黑体;SimHei"/>
        </w:rPr>
        <w:t>第</w:t>
      </w:r>
      <w:r>
        <w:rPr>
          <w:rFonts w:cs="黑体;SimHei" w:hint="eastAsia" w:eastAsia="黑体;SimHei"/>
        </w:rPr>
        <w:t>五</w:t>
      </w:r>
      <w:r>
        <w:rPr>
          <w:rFonts w:cs="黑体;SimHei" w:eastAsia="黑体;SimHei"/>
        </w:rPr>
        <w:t>条</w:t>
      </w:r>
      <w:r>
        <w:rPr>
          <w:rFonts w:hint="eastAsia" w:eastAsia="黑体;SimHei"/>
        </w:rPr>
        <w:t xml:space="preserve">  </w:t>
      </w:r>
      <w:r>
        <w:rPr/>
        <w:t>商会实行会员制。企业、个体工商户和其他经济组织依照商会章程规定</w:t>
      </w:r>
      <w:r>
        <w:rPr>
          <w:rFonts w:hint="eastAsia"/>
        </w:rPr>
        <w:t>，</w:t>
      </w:r>
      <w:r>
        <w:rPr/>
        <w:t>自愿申请加入</w:t>
      </w:r>
      <w:r>
        <w:rPr>
          <w:rFonts w:hint="eastAsia"/>
        </w:rPr>
        <w:t>或者退出</w:t>
      </w:r>
      <w:r>
        <w:rPr/>
        <w:t>商会。</w:t>
      </w:r>
    </w:p>
    <w:p>
      <w:pPr>
        <w:pStyle w:val="Normal"/>
        <w:ind w:firstLineChars="200" w:startChars="0" w:start="0" w:endChars="0" w:end="0"/>
        <w:rPr/>
      </w:pPr>
      <w:r>
        <w:rPr>
          <w:rFonts w:hint="eastAsia"/>
        </w:rPr>
        <w:t>商会应当具备法人条件，建立健全法人治理结构，完善以章程为核心的内部管理制度，依照章程独立开展活动。</w:t>
      </w:r>
    </w:p>
    <w:p>
      <w:pPr>
        <w:pStyle w:val="Normal"/>
        <w:ind w:firstLineChars="200" w:startChars="0" w:start="0" w:endChars="0" w:end="0"/>
        <w:rPr/>
      </w:pPr>
      <w:r>
        <w:rPr>
          <w:rFonts w:cs="黑体;SimHei" w:eastAsia="黑体;SimHei"/>
        </w:rPr>
        <w:t>第</w:t>
      </w:r>
      <w:r>
        <w:rPr>
          <w:rFonts w:cs="黑体;SimHei" w:hint="eastAsia" w:eastAsia="黑体;SimHei"/>
        </w:rPr>
        <w:t>六</w:t>
      </w:r>
      <w:r>
        <w:rPr>
          <w:rFonts w:cs="黑体;SimHei" w:eastAsia="黑体;SimHei"/>
        </w:rPr>
        <w:t>条</w:t>
      </w:r>
      <w:r>
        <w:rPr>
          <w:rFonts w:hint="eastAsia" w:eastAsia="黑体;SimHei"/>
        </w:rPr>
        <w:t xml:space="preserve">  </w:t>
      </w:r>
      <w:r>
        <w:rPr/>
        <w:t>商</w:t>
      </w:r>
      <w:r>
        <w:rPr>
          <w:rFonts w:hint="eastAsia"/>
        </w:rPr>
        <w:t>会的设立、变更和注销应当依照有关法律、法规以及国家和省有关规定办理。</w:t>
      </w:r>
    </w:p>
    <w:p>
      <w:pPr>
        <w:pStyle w:val="Normal"/>
        <w:ind w:firstLineChars="200" w:startChars="0" w:start="0" w:endChars="0" w:end="0"/>
        <w:rPr/>
      </w:pPr>
      <w:r>
        <w:rPr>
          <w:rFonts w:cs="黑体;SimHei" w:eastAsia="黑体;SimHei"/>
        </w:rPr>
        <w:t>第</w:t>
      </w:r>
      <w:r>
        <w:rPr>
          <w:rFonts w:cs="黑体;SimHei" w:hint="eastAsia" w:eastAsia="黑体;SimHei"/>
        </w:rPr>
        <w:t>七</w:t>
      </w:r>
      <w:r>
        <w:rPr>
          <w:rFonts w:cs="黑体;SimHei" w:eastAsia="黑体;SimHei"/>
        </w:rPr>
        <w:t>条</w:t>
      </w:r>
      <w:r>
        <w:rPr>
          <w:rFonts w:hint="eastAsia" w:eastAsia="黑体;SimHei"/>
        </w:rPr>
        <w:t xml:space="preserve">  </w:t>
      </w:r>
      <w:r>
        <w:rPr>
          <w:rFonts w:hint="eastAsia"/>
        </w:rPr>
        <w:t>商会的组织机构包括会员大会或者会员代表大会、理事会，有条件的商会应当设立常务理事会、监事或者监事会。</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rFonts w:hint="eastAsia"/>
        </w:rPr>
        <w:t>会长为商会法定代表人。特殊情况需要副会长或者秘书长担任商会法定代表人的，应当经登记管理机关批准同意；工商联所属商会的，应当同时报工商联审查。副会长或者秘书长担任商会法定代表人的，应当在章程中载明。</w:t>
      </w:r>
    </w:p>
    <w:p>
      <w:pPr>
        <w:pStyle w:val="Normal"/>
        <w:ind w:firstLineChars="200" w:startChars="0" w:start="0" w:endChars="0" w:end="0"/>
        <w:rPr>
          <w:rFonts w:hint="eastAsia"/>
        </w:rPr>
      </w:pPr>
      <w:r>
        <w:rPr>
          <w:rFonts w:hint="eastAsia"/>
        </w:rPr>
        <w:t>商会法定代表人不得兼任其他社会团体的法定代表人。</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rFonts w:hint="eastAsia"/>
        </w:rPr>
        <w:t>监事长和秘书长均不得与会长来自同一单位。</w:t>
      </w:r>
    </w:p>
    <w:p>
      <w:pPr>
        <w:pStyle w:val="Normal"/>
        <w:ind w:firstLineChars="200" w:startChars="0" w:start="0" w:endChars="0" w:end="0"/>
        <w:rPr>
          <w:rFonts w:hint="eastAsia"/>
        </w:rPr>
      </w:pPr>
      <w:r>
        <w:rPr>
          <w:rFonts w:cs="黑体;SimHei" w:eastAsia="黑体;SimHei"/>
        </w:rPr>
        <w:t>第</w:t>
      </w:r>
      <w:r>
        <w:rPr>
          <w:rFonts w:cs="黑体;SimHei" w:hint="eastAsia" w:eastAsia="黑体;SimHei"/>
        </w:rPr>
        <w:t>八</w:t>
      </w:r>
      <w:r>
        <w:rPr>
          <w:rFonts w:cs="黑体;SimHei" w:eastAsia="黑体;SimHei"/>
        </w:rPr>
        <w:t>条</w:t>
      </w:r>
      <w:r>
        <w:rPr>
          <w:rFonts w:hint="eastAsia" w:eastAsia="黑体;SimHei"/>
        </w:rPr>
        <w:t xml:space="preserve">  </w:t>
      </w:r>
      <w:r>
        <w:rPr/>
        <w:t>商会可以参与</w:t>
      </w:r>
      <w:r>
        <w:rPr>
          <w:rFonts w:hint="eastAsia"/>
        </w:rPr>
        <w:t>相关立法、政府规划、公共政策和</w:t>
      </w:r>
      <w:r>
        <w:rPr/>
        <w:t>行业标准的制定</w:t>
      </w:r>
      <w:r>
        <w:rPr>
          <w:rFonts w:hint="eastAsia"/>
        </w:rPr>
        <w:t>，</w:t>
      </w:r>
      <w:r>
        <w:rPr/>
        <w:t>开展行业调查、统计</w:t>
      </w:r>
      <w:r>
        <w:rPr>
          <w:rFonts w:hint="eastAsia"/>
        </w:rPr>
        <w:t>，</w:t>
      </w:r>
      <w:r>
        <w:rPr/>
        <w:t>收集行业信息，提出行业发展建议。</w:t>
      </w:r>
    </w:p>
    <w:p>
      <w:pPr>
        <w:pStyle w:val="Normal"/>
        <w:ind w:firstLineChars="200" w:startChars="0" w:start="0" w:endChars="0" w:end="0"/>
        <w:rPr>
          <w:rFonts w:hint="eastAsia"/>
        </w:rPr>
      </w:pPr>
      <w:r>
        <w:rPr>
          <w:rFonts w:hint="eastAsia"/>
        </w:rPr>
        <w:t>商会应当主动加强与长三角地区商会的对接，探索建立产业互补、行业互联、会员互助、商会互动的合作模式，协同推动长三角地区更高质量一体化发展。</w:t>
      </w:r>
    </w:p>
    <w:p>
      <w:pPr>
        <w:pStyle w:val="Normal"/>
        <w:ind w:firstLineChars="200" w:startChars="0" w:start="0" w:endChars="0" w:end="0"/>
        <w:rPr/>
      </w:pPr>
      <w:r>
        <w:rPr>
          <w:rFonts w:cs="黑体;SimHei" w:eastAsia="黑体;SimHei"/>
        </w:rPr>
        <w:t>第</w:t>
      </w:r>
      <w:r>
        <w:rPr>
          <w:rFonts w:cs="黑体;SimHei" w:hint="eastAsia" w:eastAsia="黑体;SimHei"/>
        </w:rPr>
        <w:t>九</w:t>
      </w:r>
      <w:r>
        <w:rPr>
          <w:rFonts w:cs="黑体;SimHei" w:eastAsia="黑体;SimHei"/>
        </w:rPr>
        <w:t>条</w:t>
      </w:r>
      <w:r>
        <w:rPr>
          <w:rFonts w:hint="eastAsia" w:eastAsia="黑体;SimHei"/>
        </w:rPr>
        <w:t xml:space="preserve">  </w:t>
      </w:r>
      <w:r>
        <w:rPr>
          <w:rFonts w:hint="eastAsia"/>
        </w:rPr>
        <w:t>商会根据需要，向会员提供下列服务：</w:t>
      </w:r>
    </w:p>
    <w:p>
      <w:pPr>
        <w:pStyle w:val="Normal"/>
        <w:ind w:firstLineChars="200" w:startChars="0" w:start="0" w:endChars="0" w:end="0"/>
        <w:rPr/>
      </w:pPr>
      <w:r>
        <w:rPr>
          <w:rFonts w:hint="eastAsia"/>
        </w:rPr>
        <w:t>（一）宣传法律法规、行业动态、税收金融和产业政策等；</w:t>
      </w:r>
    </w:p>
    <w:p>
      <w:pPr>
        <w:pStyle w:val="Normal"/>
        <w:ind w:firstLineChars="200" w:startChars="0" w:start="0" w:endChars="0" w:end="0"/>
        <w:rPr>
          <w:rFonts w:hint="eastAsia"/>
        </w:rPr>
      </w:pPr>
      <w:r>
        <w:rPr>
          <w:rFonts w:hint="eastAsia"/>
        </w:rPr>
        <w:t xml:space="preserve">（二）指导会员提高经营管理水平； </w:t>
      </w:r>
    </w:p>
    <w:p>
      <w:pPr>
        <w:pStyle w:val="Normal"/>
        <w:ind w:firstLineChars="200" w:startChars="0" w:start="0" w:endChars="0" w:end="0"/>
        <w:rPr/>
      </w:pPr>
      <w:r>
        <w:rPr>
          <w:rFonts w:hint="eastAsia"/>
        </w:rPr>
        <w:t>（三）搭建公共服务平台，为会员提供融资、信息、法律、技术、人才等服务，助推企业创新发展；</w:t>
      </w:r>
    </w:p>
    <w:p>
      <w:pPr>
        <w:pStyle w:val="Normal"/>
        <w:ind w:firstLineChars="200" w:startChars="0" w:start="0" w:endChars="0" w:end="0"/>
        <w:rPr/>
      </w:pPr>
      <w:r>
        <w:rPr>
          <w:rFonts w:hint="eastAsia"/>
        </w:rPr>
        <w:t>（四）开展会员培训，提供咨询服务；</w:t>
      </w:r>
    </w:p>
    <w:p>
      <w:pPr>
        <w:pStyle w:val="Normal"/>
        <w:ind w:firstLineChars="200" w:startChars="0" w:start="0" w:endChars="0" w:end="0"/>
        <w:rPr/>
      </w:pPr>
      <w:r>
        <w:rPr>
          <w:rFonts w:hint="eastAsia"/>
        </w:rPr>
        <w:t>（五）组织会员参加各种展销会、交易会等经贸活动，依法开展国内外经济技术合作交流；</w:t>
      </w:r>
    </w:p>
    <w:p>
      <w:pPr>
        <w:pStyle w:val="Normal"/>
        <w:ind w:firstLineChars="200" w:startChars="0" w:start="0" w:endChars="0" w:end="0"/>
        <w:rPr/>
      </w:pPr>
      <w:r>
        <w:rPr>
          <w:rFonts w:hint="eastAsia"/>
        </w:rPr>
        <w:t>（六）法律法规及商会章程规定的其他服务职能。</w:t>
      </w:r>
    </w:p>
    <w:p>
      <w:pPr>
        <w:pStyle w:val="Normal"/>
        <w:ind w:firstLineChars="200" w:startChars="0" w:start="0" w:endChars="0" w:end="0"/>
        <w:rPr>
          <w:rFonts w:eastAsia="微软雅黑" w:hint="eastAsia"/>
        </w:rPr>
      </w:pPr>
      <w:r>
        <w:rPr>
          <w:rFonts w:cs="黑体;SimHei" w:eastAsia="黑体;SimHei"/>
        </w:rPr>
        <w:t>第</w:t>
      </w:r>
      <w:r>
        <w:rPr>
          <w:rFonts w:cs="黑体;SimHei" w:hint="eastAsia" w:eastAsia="黑体;SimHei"/>
        </w:rPr>
        <w:t>十</w:t>
      </w:r>
      <w:r>
        <w:rPr>
          <w:rFonts w:cs="黑体;SimHei" w:eastAsia="黑体;SimHei"/>
        </w:rPr>
        <w:t>条</w:t>
      </w:r>
      <w:r>
        <w:rPr>
          <w:rFonts w:hint="eastAsia" w:eastAsia="黑体;SimHei"/>
        </w:rPr>
        <w:t xml:space="preserve">  </w:t>
      </w:r>
      <w:r>
        <w:rPr>
          <w:rFonts w:hint="eastAsia"/>
        </w:rPr>
        <w:t>商会应当制定自律公约，建立会员信用承诺制度，促进会员诚信经营和公平竞争。</w:t>
      </w:r>
    </w:p>
    <w:p>
      <w:pPr>
        <w:pStyle w:val="Normal"/>
        <w:ind w:firstLineChars="200" w:startChars="0" w:start="0" w:endChars="0" w:end="0"/>
        <w:rPr>
          <w:rFonts w:eastAsia="微软雅黑" w:hint="eastAsia"/>
        </w:rPr>
      </w:pPr>
      <w:r>
        <w:rPr>
          <w:rFonts w:cs="黑体;SimHei" w:eastAsia="黑体;SimHei"/>
        </w:rPr>
        <w:t>第</w:t>
      </w:r>
      <w:r>
        <w:rPr>
          <w:rFonts w:cs="黑体;SimHei" w:hint="eastAsia" w:eastAsia="黑体;SimHei"/>
        </w:rPr>
        <w:t>十一</w:t>
      </w:r>
      <w:r>
        <w:rPr>
          <w:rFonts w:cs="黑体;SimHei" w:eastAsia="黑体;SimHei"/>
        </w:rPr>
        <w:t>条</w:t>
      </w:r>
      <w:r>
        <w:rPr>
          <w:rFonts w:hint="eastAsia" w:eastAsia="黑体;SimHei"/>
        </w:rPr>
        <w:t xml:space="preserve">  </w:t>
      </w:r>
      <w:r>
        <w:rPr>
          <w:rFonts w:hint="eastAsia"/>
        </w:rPr>
        <w:t>商会在章程规定的业务范围内，代表会员提出反倾销、反补贴等调查申请，组织会员参加应诉；向有关部门反映涉及会员的意见和建议，维护会员合法权益；</w:t>
      </w:r>
      <w:r>
        <w:rPr/>
        <w:t>参加政府</w:t>
      </w:r>
      <w:r>
        <w:rPr>
          <w:rFonts w:hint="eastAsia"/>
        </w:rPr>
        <w:t>组织的</w:t>
      </w:r>
      <w:r>
        <w:rPr/>
        <w:t>与本商会利益有关的决策咨询论证，提出相关建议</w:t>
      </w:r>
      <w:r>
        <w:rPr>
          <w:rFonts w:hint="eastAsia"/>
        </w:rPr>
        <w:t>。</w:t>
      </w:r>
    </w:p>
    <w:p>
      <w:pPr>
        <w:pStyle w:val="Normal"/>
        <w:ind w:firstLineChars="200" w:startChars="0" w:start="0" w:endChars="0" w:end="0"/>
        <w:rPr/>
      </w:pPr>
      <w:r>
        <w:rPr>
          <w:rFonts w:cs="黑体;SimHei" w:eastAsia="黑体;SimHei"/>
        </w:rPr>
        <w:t>第</w:t>
      </w:r>
      <w:r>
        <w:rPr>
          <w:rFonts w:cs="黑体;SimHei" w:hint="eastAsia" w:eastAsia="黑体;SimHei"/>
        </w:rPr>
        <w:t>十二</w:t>
      </w:r>
      <w:r>
        <w:rPr>
          <w:rFonts w:cs="黑体;SimHei" w:eastAsia="黑体;SimHei"/>
        </w:rPr>
        <w:t>条</w:t>
      </w:r>
      <w:r>
        <w:rPr>
          <w:rFonts w:hint="eastAsia" w:eastAsia="黑体;SimHei"/>
        </w:rPr>
        <w:t xml:space="preserve">  </w:t>
      </w:r>
      <w:r>
        <w:rPr>
          <w:rFonts w:hint="eastAsia"/>
        </w:rPr>
        <w:t>商会可以帮助会员与政府及其有关部门之间进行沟通和联系，协助政府及其有关部门开展工作。</w:t>
      </w:r>
    </w:p>
    <w:p>
      <w:pPr>
        <w:pStyle w:val="Normal"/>
        <w:ind w:firstLineChars="200" w:startChars="0" w:start="0" w:endChars="0" w:end="0"/>
        <w:rPr/>
      </w:pPr>
      <w:r>
        <w:rPr/>
        <w:t>商会</w:t>
      </w:r>
      <w:r>
        <w:rPr>
          <w:rFonts w:hint="eastAsia"/>
        </w:rPr>
        <w:t>可以协调会员之间、会员与非会员之间经营活动关系，以及本商会与其他商会或者其他组织的相关事宜。</w:t>
      </w:r>
    </w:p>
    <w:p>
      <w:pPr>
        <w:pStyle w:val="Normal"/>
        <w:ind w:firstLineChars="200" w:startChars="0" w:start="0" w:endChars="0" w:end="0"/>
        <w:rPr/>
      </w:pPr>
      <w:r>
        <w:rPr>
          <w:rFonts w:cs="黑体;SimHei" w:eastAsia="黑体;SimHei"/>
        </w:rPr>
        <w:t>第</w:t>
      </w:r>
      <w:r>
        <w:rPr>
          <w:rFonts w:cs="黑体;SimHei" w:hint="eastAsia" w:eastAsia="黑体;SimHei"/>
        </w:rPr>
        <w:t>十三</w:t>
      </w:r>
      <w:r>
        <w:rPr>
          <w:rFonts w:cs="黑体;SimHei" w:eastAsia="黑体;SimHei"/>
        </w:rPr>
        <w:t>条</w:t>
      </w:r>
      <w:r>
        <w:rPr>
          <w:rFonts w:hint="eastAsia" w:eastAsia="黑体;SimHei"/>
        </w:rPr>
        <w:t xml:space="preserve">  </w:t>
      </w:r>
      <w:r>
        <w:rPr>
          <w:rFonts w:hint="eastAsia"/>
        </w:rPr>
        <w:t>商会应当参与矛盾纠纷多元化解，加强商会调解</w:t>
      </w:r>
      <w:r>
        <w:rPr>
          <w:rFonts w:hint="eastAsia"/>
          <w:spacing w:val="4"/>
        </w:rPr>
        <w:t>组织建设，根据调解工作需要，可以依法设立商会人民调解委员会。</w:t>
      </w:r>
    </w:p>
    <w:p>
      <w:pPr>
        <w:pStyle w:val="Normal"/>
        <w:ind w:firstLineChars="200" w:startChars="0" w:start="0" w:endChars="0" w:end="0"/>
        <w:rPr/>
      </w:pPr>
      <w:r>
        <w:rPr>
          <w:rFonts w:hint="eastAsia"/>
        </w:rPr>
        <w:t>经商会人民调解委员会调解达成调解协议的，双方当事人可以依法向人民法院申请司法确认。</w:t>
      </w:r>
    </w:p>
    <w:p>
      <w:pPr>
        <w:pStyle w:val="Normal"/>
        <w:ind w:firstLineChars="200" w:startChars="0" w:start="0" w:endChars="0" w:end="0"/>
        <w:rPr/>
      </w:pPr>
      <w:r>
        <w:rPr>
          <w:rFonts w:cs="黑体;SimHei" w:eastAsia="黑体;SimHei"/>
        </w:rPr>
        <w:t>第十</w:t>
      </w:r>
      <w:r>
        <w:rPr>
          <w:rFonts w:cs="黑体;SimHei" w:hint="eastAsia" w:eastAsia="黑体;SimHei"/>
        </w:rPr>
        <w:t>四</w:t>
      </w:r>
      <w:r>
        <w:rPr>
          <w:rFonts w:cs="黑体;SimHei" w:eastAsia="黑体;SimHei"/>
        </w:rPr>
        <w:t>条</w:t>
      </w:r>
      <w:r>
        <w:rPr>
          <w:rFonts w:hint="eastAsia" w:eastAsia="黑体;SimHei"/>
        </w:rPr>
        <w:t xml:space="preserve">  </w:t>
      </w:r>
      <w:r>
        <w:rPr>
          <w:rFonts w:hint="eastAsia"/>
        </w:rPr>
        <w:t>商会依法参与仲裁工作，引导会员选择仲裁方式解决民商事纠纷，推荐符合任职条件的企业家担任仲裁员。</w:t>
      </w:r>
    </w:p>
    <w:p>
      <w:pPr>
        <w:pStyle w:val="Normal"/>
        <w:shd w:fill="FFFFFF" w:val="clear"/>
        <w:ind w:firstLineChars="200" w:startChars="0" w:start="0" w:endChars="0" w:end="0"/>
        <w:rPr/>
      </w:pPr>
      <w:r>
        <w:rPr>
          <w:rFonts w:cs="黑体;SimHei" w:hint="eastAsia" w:eastAsia="黑体;SimHei"/>
        </w:rPr>
        <w:t>第十五条</w:t>
      </w:r>
      <w:r>
        <w:rPr>
          <w:rFonts w:hint="eastAsia"/>
        </w:rPr>
        <w:t xml:space="preserve">  县级以上人民政府及其有关部门、工商联应当扶持和促进商会发展，支持其自主办会、依照章程独立开展活动。</w:t>
      </w:r>
    </w:p>
    <w:p>
      <w:pPr>
        <w:pStyle w:val="Normal"/>
        <w:shd w:fill="FFFFFF" w:val="clear"/>
        <w:ind w:firstLineChars="200" w:startChars="0" w:start="0" w:endChars="0" w:end="0"/>
        <w:rPr/>
      </w:pPr>
      <w:r>
        <w:rPr>
          <w:rFonts w:cs="黑体;SimHei" w:hint="eastAsia" w:eastAsia="黑体;SimHei"/>
        </w:rPr>
        <w:t>第十六条</w:t>
      </w:r>
      <w:r>
        <w:rPr>
          <w:rFonts w:hint="eastAsia"/>
        </w:rPr>
        <w:t xml:space="preserve">  县级以上人民政府及其有关部门、工商联应当支持商会人才队伍建设，指导、支持商会做好专职工作人员的教育培训、职业资格评定、社会保障等工作。</w:t>
      </w:r>
    </w:p>
    <w:p>
      <w:pPr>
        <w:pStyle w:val="Normal"/>
        <w:ind w:firstLineChars="200" w:startChars="0" w:start="0" w:endChars="0" w:end="0"/>
        <w:rPr/>
      </w:pPr>
      <w:r>
        <w:rPr>
          <w:rFonts w:cs="黑体;SimHei" w:eastAsia="黑体;SimHei"/>
        </w:rPr>
        <w:t>第</w:t>
      </w:r>
      <w:r>
        <w:rPr>
          <w:rFonts w:cs="黑体;SimHei" w:hint="eastAsia" w:eastAsia="黑体;SimHei"/>
        </w:rPr>
        <w:t>十七</w:t>
      </w:r>
      <w:r>
        <w:rPr>
          <w:rFonts w:cs="黑体;SimHei" w:eastAsia="黑体;SimHei"/>
        </w:rPr>
        <w:t>条</w:t>
      </w:r>
      <w:r>
        <w:rPr>
          <w:rFonts w:hint="eastAsia" w:eastAsia="黑体;SimHei"/>
        </w:rPr>
        <w:t xml:space="preserve">  </w:t>
      </w:r>
      <w:r>
        <w:rPr/>
        <w:t>县级以上人民政府</w:t>
      </w:r>
      <w:r>
        <w:rPr>
          <w:rFonts w:hint="eastAsia"/>
        </w:rPr>
        <w:t>及其有关部门可以</w:t>
      </w:r>
      <w:r>
        <w:rPr/>
        <w:t>将适宜由</w:t>
      </w:r>
      <w:r>
        <w:rPr>
          <w:rFonts w:hint="eastAsia"/>
        </w:rPr>
        <w:t>商会</w:t>
      </w:r>
      <w:r>
        <w:rPr/>
        <w:t>承接的行业管理与协调、社会事务服务与管理、技术和市场服务等事项</w:t>
      </w:r>
      <w:r>
        <w:rPr>
          <w:rFonts w:hint="eastAsia"/>
        </w:rPr>
        <w:t>通过竞争性方式交由</w:t>
      </w:r>
      <w:r>
        <w:rPr/>
        <w:t>具备条件的</w:t>
      </w:r>
      <w:r>
        <w:rPr>
          <w:rFonts w:hint="eastAsia"/>
        </w:rPr>
        <w:t>商</w:t>
      </w:r>
      <w:r>
        <w:rPr/>
        <w:t>会</w:t>
      </w:r>
      <w:r>
        <w:rPr>
          <w:rFonts w:hint="eastAsia"/>
        </w:rPr>
        <w:t>承担；支持商会参与政府购买服务，逐步扩大向商会购买服务的范围和规模。</w:t>
      </w:r>
    </w:p>
    <w:p>
      <w:pPr>
        <w:pStyle w:val="Normal"/>
        <w:ind w:firstLineChars="200" w:startChars="0" w:start="0" w:endChars="0" w:end="0"/>
        <w:rPr/>
      </w:pPr>
      <w:r>
        <w:rPr>
          <w:rFonts w:cs="黑体;SimHei" w:eastAsia="黑体;SimHei"/>
        </w:rPr>
        <w:t>第</w:t>
      </w:r>
      <w:r>
        <w:rPr>
          <w:rFonts w:cs="黑体;SimHei" w:hint="eastAsia" w:eastAsia="黑体;SimHei"/>
        </w:rPr>
        <w:t>十八</w:t>
      </w:r>
      <w:r>
        <w:rPr>
          <w:rFonts w:cs="黑体;SimHei" w:eastAsia="黑体;SimHei"/>
        </w:rPr>
        <w:t>条</w:t>
      </w:r>
      <w:r>
        <w:rPr>
          <w:rFonts w:hint="eastAsia" w:eastAsia="黑体;SimHei"/>
        </w:rPr>
        <w:t xml:space="preserve">  </w:t>
      </w:r>
      <w:r>
        <w:rPr>
          <w:rFonts w:hint="eastAsia"/>
        </w:rPr>
        <w:t>县级以上人民政府及其有关部门在制定涉及行业利益的规章、公共政策、行政措施、行业发展规划或者技术标准时，应当听取相关商会的意见；制定有关技术标准时，可以委托商会起草。</w:t>
      </w:r>
    </w:p>
    <w:p>
      <w:pPr>
        <w:pStyle w:val="Normal"/>
        <w:ind w:firstLineChars="200" w:startChars="0" w:start="0" w:endChars="0" w:end="0"/>
        <w:rPr/>
      </w:pPr>
      <w:r>
        <w:rPr>
          <w:rFonts w:cs="黑体;SimHei" w:hint="eastAsia" w:eastAsia="黑体;SimHei"/>
        </w:rPr>
        <w:t>第十九条</w:t>
      </w:r>
      <w:r>
        <w:rPr>
          <w:rFonts w:hint="eastAsia" w:eastAsia="黑体;SimHei"/>
        </w:rPr>
        <w:t xml:space="preserve">  </w:t>
      </w:r>
      <w:r>
        <w:rPr>
          <w:rFonts w:hint="eastAsia"/>
        </w:rPr>
        <w:t>工商联应当培育和发展以非公有制经济为主体的商会组织，在同业企业较集中、产业特色较明显的地区，指导重点领域和行业开展商会组建工作。</w:t>
      </w:r>
    </w:p>
    <w:p>
      <w:pPr>
        <w:pStyle w:val="Normal"/>
        <w:ind w:firstLineChars="200" w:startChars="0" w:start="0" w:endChars="0" w:end="0"/>
        <w:rPr>
          <w:rFonts w:hint="eastAsia"/>
        </w:rPr>
      </w:pPr>
      <w:r>
        <w:rPr>
          <w:rFonts w:cs="黑体;SimHei" w:hint="eastAsia" w:eastAsia="黑体;SimHei"/>
        </w:rPr>
        <w:t>第二十条</w:t>
      </w:r>
      <w:r>
        <w:rPr>
          <w:rFonts w:hint="eastAsia" w:eastAsia="黑体;SimHei"/>
        </w:rPr>
        <w:t xml:space="preserve">  </w:t>
      </w:r>
      <w:r>
        <w:rPr>
          <w:rFonts w:hint="eastAsia"/>
        </w:rPr>
        <w:t>工商联</w:t>
      </w:r>
      <w:r>
        <w:rPr/>
        <w:t>应当参</w:t>
      </w:r>
      <w:r>
        <w:rPr>
          <w:rFonts w:hint="eastAsia"/>
        </w:rPr>
        <w:t>与</w:t>
      </w:r>
      <w:r>
        <w:rPr/>
        <w:t>劳动关系协调，代表</w:t>
      </w:r>
      <w:r>
        <w:rPr>
          <w:rFonts w:hint="eastAsia"/>
        </w:rPr>
        <w:t>所属</w:t>
      </w:r>
      <w:r>
        <w:rPr/>
        <w:t>商会</w:t>
      </w:r>
      <w:r>
        <w:rPr>
          <w:rFonts w:hint="eastAsia"/>
        </w:rPr>
        <w:t>会员</w:t>
      </w:r>
      <w:r>
        <w:rPr/>
        <w:t>反映利益诉求，</w:t>
      </w:r>
      <w:r>
        <w:rPr>
          <w:rFonts w:hint="eastAsia"/>
        </w:rPr>
        <w:t>促进构建和谐劳动关系</w:t>
      </w:r>
      <w:r>
        <w:rPr/>
        <w:t>。</w:t>
      </w:r>
    </w:p>
    <w:p>
      <w:pPr>
        <w:pStyle w:val="Normal"/>
        <w:ind w:firstLineChars="200" w:startChars="0" w:start="0" w:endChars="0" w:end="0"/>
        <w:rPr/>
      </w:pPr>
      <w:r>
        <w:rPr>
          <w:rFonts w:cs="黑体;SimHei" w:hint="eastAsia" w:eastAsia="黑体;SimHei"/>
        </w:rPr>
        <w:t>第二十一条</w:t>
      </w:r>
      <w:r>
        <w:rPr>
          <w:rFonts w:hint="eastAsia" w:eastAsia="黑体;SimHei"/>
        </w:rPr>
        <w:t xml:space="preserve">  </w:t>
      </w:r>
      <w:r>
        <w:rPr>
          <w:rFonts w:hint="eastAsia"/>
        </w:rPr>
        <w:t>商会</w:t>
      </w:r>
      <w:r>
        <w:rPr/>
        <w:t>应当</w:t>
      </w:r>
      <w:r>
        <w:rPr>
          <w:rFonts w:hint="eastAsia"/>
        </w:rPr>
        <w:t>依法向民政部门报送年度工作报告，并向社会公开。</w:t>
      </w:r>
    </w:p>
    <w:p>
      <w:pPr>
        <w:pStyle w:val="Normal"/>
        <w:ind w:firstLineChars="200" w:startChars="0" w:start="0" w:endChars="0" w:end="0"/>
        <w:rPr>
          <w:rFonts w:hint="eastAsia"/>
        </w:rPr>
      </w:pPr>
      <w:r>
        <w:rPr>
          <w:rFonts w:hint="eastAsia"/>
        </w:rPr>
        <w:t>工商联所属商会应当将年度工作报告同时报送工商联。</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pPr>
      <w:r>
        <w:rPr>
          <w:rFonts w:cs="黑体;SimHei" w:eastAsia="黑体;SimHei"/>
        </w:rPr>
        <w:t>第</w:t>
      </w:r>
      <w:r>
        <w:rPr>
          <w:rFonts w:cs="黑体;SimHei" w:hint="eastAsia" w:eastAsia="黑体;SimHei"/>
        </w:rPr>
        <w:t>二十二</w:t>
      </w:r>
      <w:r>
        <w:rPr>
          <w:rFonts w:cs="黑体;SimHei" w:eastAsia="黑体;SimHei"/>
        </w:rPr>
        <w:t>条</w:t>
      </w:r>
      <w:r>
        <w:rPr>
          <w:rFonts w:hint="eastAsia" w:eastAsia="黑体;SimHei"/>
        </w:rPr>
        <w:t xml:space="preserve">  </w:t>
      </w:r>
      <w:r>
        <w:rPr/>
        <w:t>商会</w:t>
      </w:r>
      <w:r>
        <w:rPr>
          <w:rFonts w:hint="eastAsia"/>
        </w:rPr>
        <w:t>不得</w:t>
      </w:r>
      <w:r>
        <w:rPr/>
        <w:t>有下列</w:t>
      </w:r>
      <w:r>
        <w:rPr>
          <w:rFonts w:hint="eastAsia"/>
        </w:rPr>
        <w:t>行为：</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t>（</w:t>
      </w:r>
      <w:r>
        <w:rPr>
          <w:rFonts w:hint="eastAsia"/>
        </w:rPr>
        <w:t>一</w:t>
      </w:r>
      <w:r>
        <w:rPr/>
        <w:t>）向会员乱收费乱摊派；</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t>（</w:t>
      </w:r>
      <w:r>
        <w:rPr>
          <w:rFonts w:hint="eastAsia"/>
        </w:rPr>
        <w:t>二</w:t>
      </w:r>
      <w:r>
        <w:rPr/>
        <w:t>）在会员之间实施歧视性待遇，限制会员参加其他商会或者参加其他商会组织活动；</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pPr>
      <w:r>
        <w:rPr/>
        <w:t>（</w:t>
      </w:r>
      <w:r>
        <w:rPr>
          <w:rFonts w:hint="eastAsia"/>
        </w:rPr>
        <w:t>三</w:t>
      </w:r>
      <w:r>
        <w:rPr/>
        <w:t>）强行要求企业入会；</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rFonts w:hint="eastAsia"/>
        </w:rPr>
        <w:t>（四）侵占、私分、挪用社会团体资产或者所接受的捐赠、资助；</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rFonts w:hint="eastAsia"/>
        </w:rPr>
      </w:pPr>
      <w:r>
        <w:rPr/>
        <w:t>（</w:t>
      </w:r>
      <w:r>
        <w:rPr>
          <w:rFonts w:hint="eastAsia"/>
        </w:rPr>
        <w:t>五</w:t>
      </w:r>
      <w:r>
        <w:rPr/>
        <w:t>）通过制定商业规则或者其他方式垄断市场，妨碍公平竞争，损害消费者合法权益或者社会公共利益；</w:t>
      </w:r>
    </w:p>
    <w:p>
      <w:pPr>
        <w:pStyle w:val="Normal"/>
        <w:tabs>
          <w:tab w:val="clear" w:pos="4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ind w:firstLineChars="200" w:startChars="0" w:start="0" w:endChars="0" w:end="0"/>
        <w:rPr/>
      </w:pPr>
      <w:r>
        <w:rPr>
          <w:rFonts w:hint="eastAsia"/>
        </w:rPr>
        <w:t>（六）</w:t>
      </w:r>
      <w:r>
        <w:rPr/>
        <w:t>限制会员开展正当经营活动</w:t>
      </w:r>
      <w:r>
        <w:rPr>
          <w:rFonts w:hint="eastAsia"/>
        </w:rPr>
        <w:t>；</w:t>
      </w:r>
    </w:p>
    <w:p>
      <w:pPr>
        <w:pStyle w:val="Normal"/>
        <w:ind w:firstLineChars="200" w:startChars="0" w:start="0" w:endChars="0" w:end="0"/>
        <w:rPr>
          <w:rFonts w:hint="eastAsia"/>
        </w:rPr>
      </w:pPr>
      <w:r>
        <w:rPr/>
        <w:t>（七）法律法规及商会章程禁止的其他行为。</w:t>
      </w:r>
    </w:p>
    <w:p>
      <w:pPr>
        <w:pStyle w:val="Normal"/>
        <w:ind w:firstLineChars="200" w:startChars="0" w:start="0" w:endChars="0" w:end="0"/>
        <w:rPr/>
      </w:pPr>
      <w:r>
        <w:rPr>
          <w:rFonts w:hint="eastAsia"/>
        </w:rPr>
        <w:t>商会</w:t>
      </w:r>
      <w:r>
        <w:rPr/>
        <w:t>违</w:t>
      </w:r>
      <w:r>
        <w:rPr>
          <w:rFonts w:hint="eastAsia"/>
        </w:rPr>
        <w:t>反前款</w:t>
      </w:r>
      <w:r>
        <w:rPr/>
        <w:t>第</w:t>
      </w:r>
      <w:r>
        <w:rPr>
          <w:rFonts w:hint="eastAsia"/>
        </w:rPr>
        <w:t>一项至第四</w:t>
      </w:r>
      <w:r>
        <w:rPr/>
        <w:t>项规定的，由登记管理</w:t>
      </w:r>
      <w:r>
        <w:rPr>
          <w:rFonts w:hint="eastAsia"/>
        </w:rPr>
        <w:t>机关</w:t>
      </w:r>
      <w:r>
        <w:rPr/>
        <w:t>责令改正，予以警告，可以限期停止活动，并</w:t>
      </w:r>
      <w:r>
        <w:rPr>
          <w:rFonts w:hint="eastAsia"/>
        </w:rPr>
        <w:t>可以责令</w:t>
      </w:r>
      <w:r>
        <w:rPr/>
        <w:t>撤换直接负责的主管人员；情节严重的，</w:t>
      </w:r>
      <w:r>
        <w:rPr>
          <w:rFonts w:hint="eastAsia"/>
        </w:rPr>
        <w:t>撤销</w:t>
      </w:r>
      <w:r>
        <w:rPr/>
        <w:t>登记；</w:t>
      </w:r>
      <w:r>
        <w:rPr>
          <w:rFonts w:hint="eastAsia"/>
        </w:rPr>
        <w:t>有违法经营额或者违法所得的，予以没收，可以并处违法经营额一倍以上三倍以下或者违法所得三倍以上五倍以下的罚款。</w:t>
      </w:r>
    </w:p>
    <w:p>
      <w:pPr>
        <w:pStyle w:val="Normal"/>
        <w:ind w:firstLineChars="200" w:startChars="0" w:start="0" w:endChars="0" w:end="0"/>
        <w:rPr/>
      </w:pPr>
      <w:r>
        <w:rPr>
          <w:rFonts w:hint="eastAsia"/>
        </w:rPr>
        <w:t>商会</w:t>
      </w:r>
      <w:r>
        <w:rPr/>
        <w:t>违反本条</w:t>
      </w:r>
      <w:r>
        <w:rPr>
          <w:rFonts w:hint="eastAsia"/>
        </w:rPr>
        <w:t>第一款</w:t>
      </w:r>
      <w:r>
        <w:rPr/>
        <w:t>第</w:t>
      </w:r>
      <w:r>
        <w:rPr>
          <w:rFonts w:hint="eastAsia"/>
        </w:rPr>
        <w:t>五项、第六</w:t>
      </w:r>
      <w:r>
        <w:rPr/>
        <w:t>项规定的，由市场</w:t>
      </w:r>
      <w:r>
        <w:rPr>
          <w:rFonts w:hint="eastAsia"/>
        </w:rPr>
        <w:t>监督管理</w:t>
      </w:r>
      <w:r>
        <w:rPr/>
        <w:t>部门依法处理。</w:t>
      </w:r>
    </w:p>
    <w:p>
      <w:pPr>
        <w:pStyle w:val="Normal"/>
        <w:ind w:firstLineChars="200" w:startChars="0" w:start="0" w:endChars="0" w:end="0"/>
        <w:rPr>
          <w:rFonts w:hint="eastAsia"/>
        </w:rPr>
      </w:pPr>
      <w:r>
        <w:rPr>
          <w:rFonts w:cs="黑体;SimHei" w:hint="eastAsia" w:eastAsia="黑体;SimHei"/>
        </w:rPr>
        <w:t>第二十三条</w:t>
      </w:r>
      <w:r>
        <w:rPr>
          <w:rFonts w:hint="eastAsia"/>
        </w:rPr>
        <w:t xml:space="preserve">  行政机关、工商联及其</w:t>
      </w:r>
      <w:r>
        <w:rPr/>
        <w:t>工作人员</w:t>
      </w:r>
      <w:r>
        <w:rPr>
          <w:rFonts w:hint="eastAsia"/>
        </w:rPr>
        <w:t>未履行监督管理职责，或者</w:t>
      </w:r>
      <w:r>
        <w:rPr/>
        <w:t>玩忽职守</w:t>
      </w:r>
      <w:r>
        <w:rPr>
          <w:rFonts w:hint="eastAsia"/>
        </w:rPr>
        <w:t>、</w:t>
      </w:r>
      <w:r>
        <w:rPr/>
        <w:t>滥用职权、徇私舞弊</w:t>
      </w:r>
      <w:r>
        <w:rPr>
          <w:rFonts w:hint="eastAsia"/>
        </w:rPr>
        <w:t>的，</w:t>
      </w:r>
      <w:r>
        <w:rPr/>
        <w:t>依法给予处分。</w:t>
      </w:r>
    </w:p>
    <w:p>
      <w:pPr>
        <w:pStyle w:val="Normal"/>
        <w:rPr/>
      </w:pPr>
      <w:r>
        <w:rPr>
          <w:rFonts w:hint="eastAsia"/>
        </w:rPr>
        <w:t xml:space="preserve">    </w:t>
      </w:r>
      <w:r>
        <w:rPr>
          <w:rFonts w:cs="黑体;SimHei" w:eastAsia="黑体;SimHei"/>
        </w:rPr>
        <w:t>第</w:t>
      </w:r>
      <w:r>
        <w:rPr>
          <w:rFonts w:cs="黑体;SimHei" w:hint="eastAsia" w:eastAsia="黑体;SimHei"/>
        </w:rPr>
        <w:t>二十四</w:t>
      </w:r>
      <w:r>
        <w:rPr>
          <w:rFonts w:cs="黑体;SimHei" w:eastAsia="黑体;SimHei"/>
        </w:rPr>
        <w:t>条</w:t>
      </w:r>
      <w:r>
        <w:rPr>
          <w:rFonts w:hint="eastAsia" w:eastAsia="黑体;SimHei"/>
        </w:rPr>
        <w:t xml:space="preserve">  </w:t>
      </w:r>
      <w:r>
        <w:rPr/>
        <w:t>本条例自</w:t>
      </w:r>
      <w:r>
        <w:rPr/>
        <w:t>201</w:t>
      </w:r>
      <w:r>
        <w:rPr>
          <w:rFonts w:hint="eastAsia"/>
        </w:rPr>
        <w:t>9</w:t>
      </w:r>
      <w:r>
        <w:rPr/>
        <w:t>年</w:t>
      </w:r>
      <w:r>
        <w:rPr>
          <w:rFonts w:hint="eastAsia"/>
        </w:rPr>
        <w:t>10</w:t>
      </w:r>
      <w:r>
        <w:rPr/>
        <w:t>月</w:t>
      </w:r>
      <w:r>
        <w:rPr>
          <w:rFonts w:hint="eastAsia"/>
        </w:rPr>
        <w:t>1</w:t>
      </w:r>
      <w:r>
        <w:rPr/>
        <w:t>日起实施。</w:t>
      </w:r>
    </w:p>
    <w:p>
      <w:pPr>
        <w:pStyle w:val="Normal"/>
        <w:ind w:firstLineChars="200" w:startChars="0" w:start="0" w:endChars="0" w:end="0"/>
        <w:rPr>
          <w:rFonts w:hint="eastAsia"/>
        </w:rPr>
      </w:pPr>
      <w:r>
        <w:rPr>
          <w:rFonts w:hint="eastAsia"/>
        </w:rPr>
      </w:r>
    </w:p>
    <w:p>
      <w:pPr>
        <w:pStyle w:val="Normal"/>
        <w:ind w:firstLineChars="200" w:startChars="0" w:start="0" w:endChars="0" w:end="0"/>
        <w:rPr>
          <w:rFonts w:hint="eastAsia"/>
        </w:rPr>
      </w:pPr>
      <w:r>
        <w:rPr>
          <w:rFonts w:hint="eastAsia"/>
        </w:rPr>
      </w:r>
    </w:p>
    <w:sectPr>
      <w:footerReference w:type="default" r:id="rId2"/>
      <w:type w:val="nextPage"/>
      <w:pgSz w:w="11906" w:h="16838"/>
      <w:pgMar w:left="1531" w:right="1531" w:gutter="0" w:header="0" w:top="1928" w:footer="1588" w:bottom="1928"/>
      <w:pgNumType w:start="1" w:fmt="decimal"/>
      <w:formProt w:val="false"/>
      <w:textDirection w:val="lrTb"/>
      <w:docGrid w:type="linesAndChars" w:linePitch="590"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
    <w:charset w:val="86"/>
    <w:family w:val="modern"/>
    <w:pitch w:val="default"/>
  </w:font>
  <w:font w:name="宋体">
    <w:altName w:val="SimSun"/>
    <w:charset w:val="86"/>
    <w:family w:val="auto"/>
    <w:pitch w:val="variable"/>
  </w:font>
  <w:font w:name="Liberation Sans">
    <w:altName w:val="Arial"/>
    <w:charset w:val="01" w:characterSet="utf-8"/>
    <w:family w:val="swiss"/>
    <w:pitch w:val="variable"/>
  </w:font>
  <w:font w:name="Tahoma">
    <w:charset w:val="00" w:characterSet="windows-1252"/>
    <w:family w:val="swiss"/>
    <w:pitch w:val="variable"/>
  </w:font>
  <w:font w:name="Calibri">
    <w:charset w:val="00" w:characterSet="windows-1252"/>
    <w:family w:val="swiss"/>
    <w:pitch w:val="variable"/>
  </w:font>
  <w:font w:name="方正小标宋简体">
    <w:charset w:val="86"/>
    <w:family w:val="auto"/>
    <w:pitch w:val="variable"/>
  </w:font>
  <w:font w:name="楷体_GB2312">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ind w:firstLineChars="0" w:firstLine="0" w:startChars="100" w:endChars="100"/>
                      <w:rPr>
                        <w:rStyle w:val="PageNumber"/>
                        <w:rFonts w:ascii="宋体;SimSun" w:hAnsi="宋体;SimSun" w:eastAsia="宋体;SimSun" w:cs="宋体;SimSun" w:hint="eastAsia"/>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32"/>
      <w:lang w:bidi="ar-SA" w:val="en-US" w:eastAsia="zh-CN"/>
    </w:rPr>
  </w:style>
  <w:style w:type="character" w:styleId="WW8Num1z0">
    <w:name w:val="WW8Num1z0"/>
    <w:qFormat/>
    <w:rPr>
      <w:rFonts w:hint="eastAsia"/>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7z0">
    <w:name w:val="WW8Num7z0"/>
    <w:qFormat/>
    <w:rPr>
      <w:rFonts w:ascii="仿宋" w:hAnsi="仿宋" w:eastAsia="仿宋" w:cs="Times New Roman"/>
    </w:rPr>
  </w:style>
  <w:style w:type="character" w:styleId="WW8Num8z0">
    <w:name w:val="WW8Num8z0"/>
    <w:qFormat/>
    <w:rPr/>
  </w:style>
  <w:style w:type="character" w:styleId="WW8Num9z0">
    <w:name w:val="WW8Num9z0"/>
    <w:qFormat/>
    <w:rPr/>
  </w:style>
  <w:style w:type="character" w:styleId="WW8Num10z0">
    <w:name w:val="WW8Num10z0"/>
    <w:qFormat/>
    <w:rPr>
      <w:rFonts w:hint="eastAsia"/>
    </w:rPr>
  </w:style>
  <w:style w:type="character" w:styleId="WW8Num11z0">
    <w:name w:val="WW8Num11z0"/>
    <w:qFormat/>
    <w:rPr/>
  </w:style>
  <w:style w:type="character" w:styleId="Style14">
    <w:name w:val="默认段落字体"/>
    <w:qFormat/>
    <w:rPr/>
  </w:style>
  <w:style w:type="character" w:styleId="PageNumber">
    <w:name w:val="page number"/>
    <w:basedOn w:val="Style14"/>
    <w:rPr/>
  </w:style>
  <w:style w:type="character" w:styleId="Emphasis">
    <w:name w:val="Emphasis"/>
    <w:qFormat/>
    <w:rPr>
      <w:i w:val="false"/>
      <w:iCs w:val="false"/>
      <w:color w:val="CC0000"/>
    </w:rPr>
  </w:style>
  <w:style w:type="character" w:styleId="Hyperlink">
    <w:name w:val="Hyperlink"/>
    <w:basedOn w:val="Style14"/>
    <w:rPr>
      <w:color w:val="0000FF"/>
      <w:u w:val="single"/>
    </w:rPr>
  </w:style>
  <w:style w:type="character" w:styleId="CharChar">
    <w:name w:val=" Char Char"/>
    <w:basedOn w:val="Style14"/>
    <w:qFormat/>
    <w:rPr>
      <w:rFonts w:eastAsia="仿宋_GB2312"/>
      <w:kern w:val="2"/>
      <w:sz w:val="18"/>
      <w:szCs w:val="18"/>
      <w:lang w:bidi="ar-SA"/>
    </w:rPr>
  </w:style>
  <w:style w:type="character" w:styleId="CharChar1">
    <w:name w:val=" Char Char1"/>
    <w:basedOn w:val="Style14"/>
    <w:qFormat/>
    <w:rPr>
      <w:rFonts w:ascii="宋体;SimSun" w:hAnsi="宋体;SimSun" w:eastAsia="宋体;SimSun" w:cs="Courier New"/>
      <w:kern w:val="2"/>
      <w:sz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SimSun" w:hAnsi="宋体;SimSun" w:eastAsia="宋体;SimSun" w:cs="宋体;SimSun"/>
      <w:color w:val="000000"/>
      <w:kern w:val="0"/>
      <w:sz w:val="24"/>
      <w:szCs w:val="24"/>
    </w:rPr>
  </w:style>
  <w:style w:type="paragraph" w:styleId="2">
    <w:name w:val="正文文本缩进 2"/>
    <w:basedOn w:val="Normal"/>
    <w:qFormat/>
    <w:pPr>
      <w:ind w:firstLineChars="200" w:startChars="0" w:start="0" w:endChars="0" w:end="0"/>
    </w:pPr>
    <w:rPr>
      <w:spacing w:val="-4"/>
      <w:szCs w:val="24"/>
    </w:rPr>
  </w:style>
  <w:style w:type="paragraph" w:styleId="Char">
    <w:name w:val="Char"/>
    <w:basedOn w:val="Normal"/>
    <w:qFormat/>
    <w:pPr>
      <w:tabs>
        <w:tab w:val="clear" w:pos="420"/>
        <w:tab w:val="left" w:pos="360" w:leader="none"/>
      </w:tabs>
      <w:ind w:hangingChars="200" w:startChars="0" w:start="0" w:endChars="0" w:end="0"/>
    </w:pPr>
    <w:rPr>
      <w:rFonts w:eastAsia="宋体;SimSun"/>
      <w:sz w:val="24"/>
    </w:rPr>
  </w:style>
  <w:style w:type="paragraph" w:styleId="21">
    <w:name w:val="正文文本 2"/>
    <w:basedOn w:val="Normal"/>
    <w:qFormat/>
    <w:pPr>
      <w:spacing w:lineRule="auto" w:line="480" w:before="0" w:after="120"/>
    </w:pPr>
    <w:rPr>
      <w:rFonts w:eastAsia="宋体;SimSun"/>
      <w:sz w:val="21"/>
      <w:szCs w:val="24"/>
    </w:rPr>
  </w:style>
  <w:style w:type="paragraph" w:styleId="Style16">
    <w:name w:val="日期"/>
    <w:basedOn w:val="Normal"/>
    <w:next w:val="Normal"/>
    <w:qFormat/>
    <w:pPr>
      <w:ind w:firstLineChars="0" w:firstLine="0" w:startChars="2500" w:endChars="0" w:end="0"/>
    </w:pPr>
    <w:rPr/>
  </w:style>
  <w:style w:type="paragraph" w:styleId="Style17">
    <w:name w:val="文档结构图"/>
    <w:basedOn w:val="Normal"/>
    <w:qFormat/>
    <w:pPr>
      <w:shd w:fill="000080" w:val="clear"/>
    </w:pPr>
    <w:rPr/>
  </w:style>
  <w:style w:type="paragraph" w:styleId="Char1">
    <w:name w:val=" Char"/>
    <w:basedOn w:val="Style17"/>
    <w:qFormat/>
    <w:pPr>
      <w:spacing w:lineRule="exact" w:line="436"/>
      <w:ind w:hanging="0" w:start="357" w:end="0"/>
      <w:jc w:val="start"/>
      <w:outlineLvl w:val="3"/>
    </w:pPr>
    <w:rPr>
      <w:rFonts w:ascii="Tahoma" w:hAnsi="Tahoma" w:cs="Tahoma"/>
      <w:b/>
      <w:sz w:val="24"/>
    </w:rPr>
  </w:style>
  <w:style w:type="paragraph" w:styleId="ParaCharCharCharCharCharCharCharCharCharCharCharCharCharCharCharChar">
    <w:name w:val="默认段落字体 Para Char Char Char Char Char Char Char Char Char Char Char Char Char Char Char Char"/>
    <w:basedOn w:val="Normal"/>
    <w:qFormat/>
    <w:pPr/>
    <w:rPr>
      <w:rFonts w:eastAsia="宋体;SimSun"/>
      <w:sz w:val="21"/>
      <w:szCs w:val="20"/>
    </w:rPr>
  </w:style>
  <w:style w:type="paragraph" w:styleId="Style18">
    <w:name w:val="批注框文本"/>
    <w:basedOn w:val="Normal"/>
    <w:qFormat/>
    <w:pPr/>
    <w:rPr>
      <w:sz w:val="18"/>
      <w:szCs w:val="18"/>
    </w:rPr>
  </w:style>
  <w:style w:type="paragraph" w:styleId="ParaCharCharCharChar">
    <w:name w:val="默认段落字体 Para Char Char Char Char"/>
    <w:basedOn w:val="Normal"/>
    <w:qFormat/>
    <w:pPr/>
    <w:rPr>
      <w:rFonts w:eastAsia="宋体;SimSun"/>
      <w:sz w:val="21"/>
      <w:szCs w:val="20"/>
    </w:rPr>
  </w:style>
  <w:style w:type="paragraph" w:styleId="p0">
    <w:name w:val="p0"/>
    <w:basedOn w:val="Normal"/>
    <w:qFormat/>
    <w:pPr>
      <w:widowControl/>
    </w:pPr>
    <w:rPr>
      <w:rFonts w:eastAsia="宋体;SimSun"/>
      <w:kern w:val="0"/>
      <w:sz w:val="21"/>
      <w:szCs w:val="21"/>
    </w:rPr>
  </w:style>
  <w:style w:type="paragraph" w:styleId="ListParagraph">
    <w:name w:val="List Paragraph"/>
    <w:basedOn w:val="Normal"/>
    <w:qFormat/>
    <w:pPr>
      <w:ind w:firstLineChars="200" w:startChars="0" w:start="0" w:endChars="0" w:end="0"/>
    </w:pPr>
    <w:rPr>
      <w:rFonts w:ascii="Calibri" w:hAnsi="Calibri" w:eastAsia="宋体;SimSun" w:cs="Calibri"/>
      <w:sz w:val="21"/>
      <w:szCs w:val="22"/>
    </w:rPr>
  </w:style>
  <w:style w:type="paragraph" w:styleId="BodyTextIndent">
    <w:name w:val="Body Text Indent"/>
    <w:basedOn w:val="Normal"/>
    <w:pPr>
      <w:spacing w:lineRule="auto" w:line="360"/>
      <w:ind w:firstLineChars="200" w:startChars="0" w:start="0" w:endChars="0" w:end="0"/>
    </w:pPr>
    <w:rPr>
      <w:rFonts w:ascii="宋体;SimSun" w:hAnsi="宋体;SimSun" w:eastAsia="宋体;SimSun" w:cs="宋体;SimSun"/>
      <w:sz w:val="28"/>
      <w:szCs w:val="20"/>
    </w:rPr>
  </w:style>
  <w:style w:type="paragraph" w:styleId="Char11">
    <w:name w:val="Char1"/>
    <w:basedOn w:val="Normal"/>
    <w:qFormat/>
    <w:pPr>
      <w:tabs>
        <w:tab w:val="clear" w:pos="420"/>
        <w:tab w:val="left" w:pos="360" w:leader="none"/>
      </w:tabs>
    </w:pPr>
    <w:rPr>
      <w:szCs w:val="20"/>
    </w:rPr>
  </w:style>
  <w:style w:type="paragraph" w:styleId="p15">
    <w:name w:val="p15"/>
    <w:basedOn w:val="Normal"/>
    <w:qFormat/>
    <w:pPr>
      <w:widowControl/>
      <w:spacing w:before="280" w:after="280"/>
      <w:jc w:val="start"/>
    </w:pPr>
    <w:rPr>
      <w:rFonts w:ascii="宋体;SimSun" w:hAnsi="宋体;SimSun" w:eastAsia="宋体;SimSun" w:cs="宋体;SimSun"/>
      <w:kern w:val="0"/>
      <w:sz w:val="24"/>
      <w:szCs w:val="24"/>
    </w:rPr>
  </w:style>
  <w:style w:type="paragraph" w:styleId="CharCharCharChar">
    <w:name w:val="Char Char Char Char"/>
    <w:basedOn w:val="Normal"/>
    <w:qFormat/>
    <w:pPr/>
    <w:rPr>
      <w:rFonts w:eastAsia="宋体;SimSun"/>
      <w:sz w:val="21"/>
      <w:szCs w:val="24"/>
    </w:rPr>
  </w:style>
  <w:style w:type="paragraph" w:styleId="Style19">
    <w:name w:val="纯文本"/>
    <w:basedOn w:val="Normal"/>
    <w:qFormat/>
    <w:pPr/>
    <w:rPr>
      <w:rFonts w:ascii="宋体;SimSun" w:hAnsi="宋体;SimSun" w:eastAsia="宋体;SimSun" w:cs="Courier New"/>
      <w:sz w:val="21"/>
      <w:szCs w:val="20"/>
    </w:rPr>
  </w:style>
  <w:style w:type="paragraph" w:styleId="CharCharCharCharCharCharChar">
    <w:name w:val=" Char Char Char Char Char Char Char"/>
    <w:basedOn w:val="Normal"/>
    <w:qFormat/>
    <w:pPr/>
    <w:rPr>
      <w:rFonts w:ascii="Tahoma" w:hAnsi="Tahoma" w:eastAsia="Tahoma" w:cs="Tahoma" w:hint="eastAsia"/>
      <w:sz w:val="24"/>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2019-07-29T15:36:00Z</dcterms:created>
  <dc:creator>ch</dc:creator>
  <dc:description/>
  <cp:keywords/>
  <dc:language>en-US</dc:language>
  <cp:lastModifiedBy>梁艳</cp:lastModifiedBy>
  <cp:lastPrinted>2019-05-23T14:45:00Z</cp:lastPrinted>
  <dcterms:modified xsi:type="dcterms:W3CDTF">2019-07-29T15:37:00Z</dcterms:modified>
  <cp:revision>3</cp:revision>
  <dc:subject/>
  <dc:title>板心</dc:title>
</cp:coreProperties>
</file>