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rPr>
          <w:rFonts w:eastAsia="方正小标宋简体"/>
          <w:color w:val="000000"/>
          <w:sz w:val="44"/>
          <w:szCs w:val="44"/>
        </w:rPr>
      </w:pPr>
      <w:r>
        <w:rPr>
          <w:rFonts w:eastAsia="方正小标宋简体"/>
          <w:color w:val="000000"/>
          <w:sz w:val="44"/>
          <w:szCs w:val="44"/>
        </w:rPr>
      </w:r>
    </w:p>
    <w:p>
      <w:pPr>
        <w:pStyle w:val="Normal"/>
        <w:spacing w:lineRule="exact" w:line="640"/>
        <w:jc w:val="center"/>
        <w:rPr>
          <w:rFonts w:ascii="宋体;SimSun" w:hAnsi="宋体;SimSun" w:eastAsia="宋体;SimSun" w:cs="宋体;SimSun"/>
          <w:b/>
          <w:color w:val="000000"/>
          <w:sz w:val="44"/>
          <w:szCs w:val="36"/>
        </w:rPr>
      </w:pPr>
      <w:r>
        <w:rPr>
          <w:rFonts w:ascii="宋体;SimSun" w:hAnsi="宋体;SimSun" w:cs="宋体;SimSun" w:hint="eastAsia" w:eastAsia="宋体;SimSun"/>
          <w:b/>
          <w:color w:val="000000"/>
          <w:sz w:val="44"/>
          <w:szCs w:val="36"/>
        </w:rPr>
        <w:t>安徽省人民代表大会常务委员会</w:t>
      </w:r>
    </w:p>
    <w:p>
      <w:pPr>
        <w:pStyle w:val="Normal"/>
        <w:spacing w:lineRule="exact" w:line="640"/>
        <w:jc w:val="center"/>
        <w:rPr/>
      </w:pPr>
      <w:r>
        <w:rPr>
          <w:rFonts w:ascii="宋体;SimSun" w:hAnsi="宋体;SimSun" w:cs="宋体;SimSun" w:hint="eastAsia" w:eastAsia="宋体;SimSun"/>
          <w:b/>
          <w:color w:val="000000"/>
          <w:sz w:val="44"/>
          <w:szCs w:val="36"/>
        </w:rPr>
        <w:t>关于批准</w:t>
      </w:r>
      <w:r>
        <w:rPr>
          <w:rFonts w:ascii="宋体;SimSun" w:hAnsi="宋体;SimSun" w:cs="宋体;SimSun" w:hint="eastAsia" w:eastAsia="宋体;SimSun"/>
          <w:b/>
          <w:color w:val="000000"/>
          <w:sz w:val="44"/>
        </w:rPr>
        <w:t>《</w:t>
      </w:r>
      <w:r>
        <w:rPr>
          <w:rFonts w:ascii="宋体;SimSun" w:hAnsi="宋体;SimSun" w:cs="宋体;SimSun" w:hint="eastAsia" w:eastAsia="宋体;SimSun"/>
          <w:b/>
          <w:sz w:val="44"/>
          <w:szCs w:val="44"/>
        </w:rPr>
        <w:t>芜湖市烟花爆竹燃放管理条例</w:t>
      </w:r>
      <w:r>
        <w:rPr>
          <w:rFonts w:ascii="宋体;SimSun" w:hAnsi="宋体;SimSun" w:cs="宋体;SimSun" w:hint="eastAsia" w:eastAsia="宋体;SimSun"/>
          <w:b/>
          <w:color w:val="000000"/>
          <w:sz w:val="44"/>
        </w:rPr>
        <w:t>》</w:t>
      </w:r>
    </w:p>
    <w:p>
      <w:pPr>
        <w:pStyle w:val="Normal"/>
        <w:spacing w:lineRule="exact" w:line="640"/>
        <w:jc w:val="center"/>
        <w:rPr>
          <w:rFonts w:ascii="方正小标宋简体" w:hAnsi="方正小标宋简体" w:eastAsia="方正小标宋简体" w:cs="宋体;SimSun" w:hint="eastAsia"/>
          <w:color w:val="000000"/>
          <w:sz w:val="44"/>
          <w:szCs w:val="36"/>
        </w:rPr>
      </w:pPr>
      <w:r>
        <w:rPr>
          <w:rFonts w:ascii="宋体;SimSun" w:hAnsi="宋体;SimSun" w:cs="宋体;SimSun" w:hint="eastAsia" w:eastAsia="宋体;SimSun"/>
          <w:b/>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hint="eastAsia" w:eastAsia="楷体_GB2312"/>
          <w:color w:val="000000"/>
          <w:szCs w:val="30"/>
        </w:rPr>
        <w:t>（</w:t>
      </w:r>
      <w:r>
        <w:rPr>
          <w:rFonts w:eastAsia="楷体_GB2312"/>
          <w:color w:val="000000"/>
          <w:szCs w:val="30"/>
        </w:rPr>
        <w:t>2018</w:t>
      </w:r>
      <w:r>
        <w:rPr>
          <w:rFonts w:hint="eastAsia" w:eastAsia="楷体_GB2312"/>
          <w:color w:val="000000"/>
          <w:szCs w:val="30"/>
        </w:rPr>
        <w:t>年</w:t>
      </w:r>
      <w:r>
        <w:rPr>
          <w:rFonts w:eastAsia="楷体_GB2312"/>
          <w:color w:val="000000"/>
          <w:szCs w:val="30"/>
        </w:rPr>
        <w:t>9</w:t>
      </w:r>
      <w:r>
        <w:rPr>
          <w:rFonts w:hint="eastAsia" w:eastAsia="楷体_GB2312"/>
          <w:color w:val="000000"/>
          <w:szCs w:val="30"/>
        </w:rPr>
        <w:t>月</w:t>
      </w:r>
      <w:r>
        <w:rPr>
          <w:rFonts w:eastAsia="楷体_GB2312" w:hint="eastAsia"/>
          <w:color w:val="000000"/>
          <w:szCs w:val="30"/>
        </w:rPr>
        <w:t>29</w:t>
      </w:r>
      <w:r>
        <w:rPr>
          <w:rFonts w:hint="eastAsia" w:eastAsia="楷体_GB2312"/>
          <w:color w:val="000000"/>
          <w:szCs w:val="30"/>
        </w:rPr>
        <w:t>日安徽省第十三届人民代表大会</w:t>
      </w:r>
    </w:p>
    <w:p>
      <w:pPr>
        <w:pStyle w:val="Normal"/>
        <w:jc w:val="center"/>
        <w:rPr>
          <w:rFonts w:eastAsia="楷体_GB2312"/>
          <w:color w:val="000000"/>
          <w:szCs w:val="30"/>
        </w:rPr>
      </w:pPr>
      <w:r>
        <w:rPr>
          <w:rFonts w:hint="eastAsia" w:eastAsia="楷体_GB2312"/>
          <w:color w:val="000000"/>
          <w:szCs w:val="30"/>
        </w:rPr>
        <w:t>常务委员会第五次会议通过）</w:t>
      </w:r>
    </w:p>
    <w:p>
      <w:pPr>
        <w:pStyle w:val="Normal"/>
        <w:jc w:val="center"/>
        <w:rPr>
          <w:rFonts w:eastAsia="楷体_GB2312"/>
          <w:color w:val="000000"/>
          <w:szCs w:val="30"/>
        </w:rPr>
      </w:pPr>
      <w:r>
        <w:rPr>
          <w:rFonts w:eastAsia="楷体_GB2312"/>
          <w:color w:val="000000"/>
          <w:szCs w:val="30"/>
        </w:rPr>
      </w:r>
    </w:p>
    <w:p>
      <w:pPr>
        <w:pStyle w:val="Normal"/>
        <w:ind w:firstLineChars="200" w:startChars="0" w:start="0" w:endChars="0" w:end="0"/>
        <w:rPr>
          <w:color w:val="000000"/>
        </w:rPr>
      </w:pPr>
      <w:r>
        <w:rPr>
          <w:rFonts w:ascii="仿宋_GB2312" w:hAnsi="仿宋_GB2312" w:hint="eastAsia"/>
          <w:color w:val="000000"/>
        </w:rPr>
        <w:t>安徽省第十三届人民代表大会常务委员会第五次会议审查了《</w:t>
      </w:r>
      <w:r>
        <w:rPr>
          <w:rFonts w:hint="eastAsia"/>
          <w:color w:val="000000"/>
        </w:rPr>
        <w:t>芜湖市烟花爆竹燃放管理条例</w:t>
      </w:r>
      <w:r>
        <w:rPr>
          <w:rFonts w:ascii="仿宋_GB2312" w:hAnsi="仿宋_GB2312" w:hint="eastAsia"/>
          <w:color w:val="000000"/>
        </w:rPr>
        <w:t>》，决定予以批准，由</w:t>
      </w:r>
      <w:r>
        <w:rPr>
          <w:rFonts w:cs="宋体;SimSun" w:hint="eastAsia"/>
          <w:color w:val="000000"/>
          <w:kern w:val="0"/>
        </w:rPr>
        <w:t>芜湖</w:t>
      </w:r>
      <w:r>
        <w:rPr>
          <w:rFonts w:ascii="仿宋_GB2312" w:hAnsi="仿宋_GB2312" w:hint="eastAsia"/>
          <w:color w:val="000000"/>
        </w:rPr>
        <w:t>市人民代表大会常务委员会公布施行。</w:t>
      </w:r>
    </w:p>
    <w:p>
      <w:pPr>
        <w:pStyle w:val="Normal"/>
        <w:rPr>
          <w:color w:val="000000"/>
        </w:rPr>
      </w:pPr>
      <w:r>
        <w:rPr>
          <w:color w:val="000000"/>
        </w:rPr>
      </w:r>
      <w:r>
        <w:br w:type="page"/>
      </w:r>
    </w:p>
    <w:p>
      <w:pPr>
        <w:pStyle w:val="Normal"/>
        <w:snapToGrid w:val="false"/>
        <w:spacing w:lineRule="exact" w:line="640"/>
        <w:jc w:val="center"/>
        <w:rPr>
          <w:rFonts w:eastAsia="方正小标宋简体" w:hint="eastAsia"/>
          <w:color w:val="000000"/>
          <w:kern w:val="0"/>
          <w:sz w:val="44"/>
          <w:szCs w:val="44"/>
        </w:rPr>
      </w:pPr>
      <w:r>
        <w:rPr>
          <w:rFonts w:eastAsia="方正小标宋简体" w:hint="eastAsia"/>
          <w:color w:val="000000"/>
          <w:kern w:val="0"/>
          <w:sz w:val="44"/>
          <w:szCs w:val="44"/>
        </w:rPr>
      </w:r>
    </w:p>
    <w:p>
      <w:pPr>
        <w:pStyle w:val="Normal"/>
        <w:snapToGrid w:val="false"/>
        <w:spacing w:lineRule="exact" w:line="560"/>
        <w:jc w:val="center"/>
        <w:rPr>
          <w:rFonts w:ascii="宋体;SimSun" w:hAnsi="宋体;SimSun" w:eastAsia="宋体;SimSun" w:cs="宋体;SimSun"/>
          <w:b/>
          <w:color w:val="000000"/>
          <w:kern w:val="0"/>
          <w:sz w:val="44"/>
          <w:szCs w:val="44"/>
        </w:rPr>
      </w:pPr>
      <w:r>
        <w:rPr>
          <w:rFonts w:ascii="宋体;SimSun" w:hAnsi="宋体;SimSun" w:cs="宋体;SimSun" w:hint="eastAsia" w:eastAsia="宋体;SimSun"/>
          <w:b/>
          <w:color w:val="000000"/>
          <w:kern w:val="0"/>
          <w:sz w:val="44"/>
          <w:szCs w:val="44"/>
        </w:rPr>
        <w:t>芜湖市烟花爆竹燃放管理条例</w:t>
      </w:r>
    </w:p>
    <w:p>
      <w:pPr>
        <w:pStyle w:val="Style15"/>
        <w:spacing w:before="0" w:after="0"/>
        <w:jc w:val="center"/>
        <w:textAlignment w:val="baseline"/>
        <w:rPr>
          <w:rStyle w:val="Strong"/>
          <w:rFonts w:ascii="Times New Roman" w:hAnsi="Times New Roman" w:eastAsia="楷体_GB2312" w:cs="Times New Roman" w:hint="eastAsia"/>
          <w:b w:val="false"/>
          <w:sz w:val="32"/>
          <w:szCs w:val="32"/>
        </w:rPr>
      </w:pPr>
      <w:r>
        <w:rPr>
          <w:rFonts w:eastAsia="宋体;SimSun" w:cs="宋体;SimSun"/>
          <w:b/>
          <w:color w:val="000000"/>
          <w:kern w:val="0"/>
          <w:sz w:val="44"/>
          <w:szCs w:val="44"/>
        </w:rPr>
      </w:r>
    </w:p>
    <w:p>
      <w:pPr>
        <w:pStyle w:val="Style15"/>
        <w:spacing w:before="0" w:after="0"/>
        <w:jc w:val="both"/>
        <w:textAlignment w:val="baseline"/>
        <w:rPr>
          <w:rStyle w:val="Strong"/>
          <w:rFonts w:ascii="Times New Roman" w:hAnsi="Times New Roman" w:eastAsia="楷体_GB2312" w:cs="Times New Roman"/>
          <w:b w:val="false"/>
          <w:bCs w:val="false"/>
          <w:kern w:val="2"/>
          <w:sz w:val="32"/>
          <w:szCs w:val="32"/>
        </w:rPr>
      </w:pPr>
      <w:r>
        <w:rPr>
          <w:rStyle w:val="Strong"/>
          <w:rFonts w:eastAsia="楷体_GB2312" w:cs="Times New Roman" w:hint="eastAsia" w:ascii="Times New Roman" w:hAnsi="Times New Roman"/>
          <w:b w:val="false"/>
          <w:sz w:val="32"/>
          <w:szCs w:val="32"/>
        </w:rPr>
        <w:t xml:space="preserve">    </w:t>
      </w:r>
      <w:r>
        <w:rPr>
          <w:rStyle w:val="Strong"/>
          <w:rFonts w:ascii="Times New Roman" w:hAnsi="Times New Roman" w:cs="Times New Roman" w:hint="eastAsia" w:eastAsia="楷体_GB2312"/>
          <w:b w:val="false"/>
          <w:sz w:val="32"/>
          <w:szCs w:val="32"/>
        </w:rPr>
        <w:t>（</w:t>
      </w:r>
      <w:r>
        <w:rPr>
          <w:rStyle w:val="Strong"/>
          <w:rFonts w:eastAsia="楷体_GB2312" w:cs="Times New Roman" w:hint="eastAsia" w:ascii="Times New Roman" w:hAnsi="Times New Roman"/>
          <w:b w:val="false"/>
          <w:sz w:val="32"/>
          <w:szCs w:val="32"/>
        </w:rPr>
        <w:t>2</w:t>
      </w:r>
      <w:r>
        <w:rPr>
          <w:rStyle w:val="Strong"/>
          <w:rFonts w:eastAsia="楷体_GB2312" w:cs="Times New Roman" w:hint="eastAsia" w:ascii="Times New Roman" w:hAnsi="Times New Roman"/>
          <w:b w:val="false"/>
          <w:kern w:val="2"/>
          <w:sz w:val="32"/>
          <w:szCs w:val="32"/>
        </w:rPr>
        <w:t>018</w:t>
      </w:r>
      <w:r>
        <w:rPr>
          <w:rStyle w:val="Strong"/>
          <w:rFonts w:ascii="Times New Roman" w:hAnsi="Times New Roman" w:cs="Times New Roman" w:hint="eastAsia" w:eastAsia="楷体_GB2312"/>
          <w:b w:val="false"/>
          <w:kern w:val="2"/>
          <w:sz w:val="32"/>
          <w:szCs w:val="32"/>
        </w:rPr>
        <w:t>年</w:t>
      </w:r>
      <w:r>
        <w:rPr>
          <w:rStyle w:val="Strong"/>
          <w:rFonts w:eastAsia="楷体_GB2312" w:cs="Times New Roman" w:hint="eastAsia" w:ascii="Times New Roman" w:hAnsi="Times New Roman"/>
          <w:b w:val="false"/>
          <w:kern w:val="2"/>
          <w:sz w:val="32"/>
          <w:szCs w:val="32"/>
        </w:rPr>
        <w:t>8</w:t>
      </w:r>
      <w:r>
        <w:rPr>
          <w:rStyle w:val="Strong"/>
          <w:rFonts w:ascii="Times New Roman" w:hAnsi="Times New Roman" w:cs="Times New Roman" w:hint="eastAsia" w:eastAsia="楷体_GB2312"/>
          <w:b w:val="false"/>
          <w:kern w:val="2"/>
          <w:sz w:val="32"/>
          <w:szCs w:val="32"/>
        </w:rPr>
        <w:t>月</w:t>
      </w:r>
      <w:r>
        <w:rPr>
          <w:rStyle w:val="Strong"/>
          <w:rFonts w:eastAsia="楷体_GB2312" w:cs="Times New Roman" w:hint="eastAsia" w:ascii="Times New Roman" w:hAnsi="Times New Roman"/>
          <w:b w:val="false"/>
          <w:kern w:val="2"/>
          <w:sz w:val="32"/>
          <w:szCs w:val="32"/>
        </w:rPr>
        <w:t>30</w:t>
      </w:r>
      <w:r>
        <w:rPr>
          <w:rStyle w:val="Strong"/>
          <w:rFonts w:ascii="Times New Roman" w:hAnsi="Times New Roman" w:cs="Times New Roman" w:hint="eastAsia" w:eastAsia="楷体_GB2312"/>
          <w:b w:val="false"/>
          <w:kern w:val="2"/>
          <w:sz w:val="32"/>
          <w:szCs w:val="32"/>
        </w:rPr>
        <w:t>日芜湖市第十六届人民代表大会常务委员会第五次会议通过</w:t>
      </w:r>
      <w:r>
        <w:rPr>
          <w:rFonts w:cs="楷体_GB2312" w:eastAsia="楷体_GB2312"/>
        </w:rPr>
        <w:t xml:space="preserve"> </w:t>
      </w:r>
      <w:r>
        <w:rPr>
          <w:rFonts w:cs="楷体_GB2312" w:hint="eastAsia" w:eastAsia="楷体_GB2312"/>
        </w:rPr>
        <w:t xml:space="preserve"> </w:t>
      </w:r>
      <w:r>
        <w:rPr>
          <w:rStyle w:val="Strong"/>
          <w:rFonts w:eastAsia="楷体_GB2312" w:cs="Times New Roman" w:ascii="Times New Roman" w:hAnsi="Times New Roman"/>
          <w:b w:val="false"/>
          <w:kern w:val="2"/>
          <w:sz w:val="32"/>
          <w:szCs w:val="32"/>
        </w:rPr>
        <w:t>2018</w:t>
      </w:r>
      <w:r>
        <w:rPr>
          <w:rStyle w:val="Strong"/>
          <w:rFonts w:ascii="Times New Roman" w:hAnsi="Times New Roman" w:cs="Times New Roman" w:eastAsia="楷体_GB2312"/>
          <w:b w:val="false"/>
          <w:kern w:val="2"/>
          <w:sz w:val="32"/>
          <w:szCs w:val="32"/>
        </w:rPr>
        <w:t>年</w:t>
      </w:r>
      <w:r>
        <w:rPr>
          <w:rStyle w:val="Strong"/>
          <w:rFonts w:eastAsia="楷体_GB2312" w:cs="Times New Roman" w:ascii="Times New Roman" w:hAnsi="Times New Roman"/>
          <w:b w:val="false"/>
          <w:kern w:val="2"/>
          <w:sz w:val="32"/>
          <w:szCs w:val="32"/>
        </w:rPr>
        <w:t>9</w:t>
      </w:r>
      <w:r>
        <w:rPr>
          <w:rStyle w:val="Strong"/>
          <w:rFonts w:ascii="Times New Roman" w:hAnsi="Times New Roman" w:cs="Times New Roman" w:eastAsia="楷体_GB2312"/>
          <w:b w:val="false"/>
          <w:kern w:val="2"/>
          <w:sz w:val="32"/>
          <w:szCs w:val="32"/>
        </w:rPr>
        <w:t>月</w:t>
      </w:r>
      <w:r>
        <w:rPr>
          <w:rStyle w:val="Strong"/>
          <w:rFonts w:eastAsia="楷体_GB2312" w:cs="Times New Roman" w:hint="eastAsia" w:ascii="Times New Roman" w:hAnsi="Times New Roman"/>
          <w:b w:val="false"/>
          <w:kern w:val="2"/>
          <w:sz w:val="32"/>
          <w:szCs w:val="32"/>
        </w:rPr>
        <w:t>29</w:t>
      </w:r>
      <w:r>
        <w:rPr>
          <w:rStyle w:val="Strong"/>
          <w:rFonts w:ascii="Times New Roman" w:hAnsi="Times New Roman" w:cs="Times New Roman" w:eastAsia="楷体_GB2312"/>
          <w:b w:val="false"/>
          <w:kern w:val="2"/>
          <w:sz w:val="32"/>
          <w:szCs w:val="32"/>
        </w:rPr>
        <w:t>日安徽省第十三届人民代表大会常务委员会第五次会议批准）</w:t>
      </w:r>
    </w:p>
    <w:p>
      <w:pPr>
        <w:pStyle w:val="Normal"/>
        <w:jc w:val="center"/>
        <w:rPr>
          <w:rStyle w:val="Strong"/>
          <w:rFonts w:ascii="Times New Roman" w:hAnsi="Times New Roman" w:eastAsia="楷体_GB2312" w:cs="Times New Roman"/>
          <w:b w:val="false"/>
          <w:bCs w:val="false"/>
          <w:color w:val="000000"/>
          <w:kern w:val="2"/>
          <w:sz w:val="32"/>
          <w:szCs w:val="32"/>
        </w:rPr>
      </w:pPr>
      <w:r>
        <w:rPr/>
      </w:r>
    </w:p>
    <w:p>
      <w:pPr>
        <w:pStyle w:val="Normal"/>
        <w:ind w:firstLineChars="200" w:startChars="0" w:start="0" w:endChars="0" w:end="0"/>
        <w:rPr>
          <w:color w:val="000000"/>
          <w:kern w:val="2"/>
        </w:rPr>
      </w:pPr>
      <w:r>
        <w:rPr>
          <w:rFonts w:eastAsia="黑体;SimHei"/>
          <w:color w:val="000000"/>
          <w:kern w:val="2"/>
        </w:rPr>
        <w:t>第一条</w:t>
      </w:r>
      <w:r>
        <w:rPr>
          <w:color w:val="000000"/>
          <w:kern w:val="2"/>
        </w:rPr>
        <w:t xml:space="preserve">  为了加强烟花爆竹的燃放管理，保障公共安全和人身、财产安全，改善环</w:t>
      </w:r>
      <w:bookmarkStart w:id="0" w:name="_GoBack"/>
      <w:bookmarkEnd w:id="0"/>
      <w:r>
        <w:rPr>
          <w:color w:val="000000"/>
          <w:kern w:val="2"/>
        </w:rPr>
        <w:t>境质量，根据有关</w:t>
      </w:r>
      <w:hyperlink r:id="rId2">
        <w:r>
          <w:rPr>
            <w:rStyle w:val="Hyperlink"/>
            <w:color w:val="000000"/>
            <w:kern w:val="2"/>
          </w:rPr>
          <w:t>法律、行政</w:t>
        </w:r>
      </w:hyperlink>
      <w:hyperlink r:id="rId3">
        <w:r>
          <w:rPr>
            <w:rStyle w:val="Hyperlink"/>
            <w:color w:val="000000"/>
            <w:kern w:val="2"/>
          </w:rPr>
          <w:t>法规，结合本市实际，制定本条例。</w:t>
        </w:r>
      </w:hyperlink>
    </w:p>
    <w:p>
      <w:pPr>
        <w:pStyle w:val="Normal"/>
        <w:ind w:firstLineChars="200" w:startChars="0" w:start="0" w:endChars="0" w:end="0"/>
        <w:rPr/>
      </w:pPr>
      <w:r>
        <w:rPr>
          <w:rFonts w:eastAsia="黑体;SimHei"/>
          <w:color w:val="000000"/>
          <w:kern w:val="2"/>
        </w:rPr>
        <w:t>第二条</w:t>
      </w:r>
      <w:r>
        <w:rPr>
          <w:color w:val="000000"/>
          <w:kern w:val="2"/>
        </w:rPr>
        <w:t xml:space="preserve">  本条例适用于本市行政区域内烟花爆竹的燃放及相关管理活动。</w:t>
      </w:r>
    </w:p>
    <w:p>
      <w:pPr>
        <w:pStyle w:val="Normal"/>
        <w:ind w:firstLineChars="200" w:startChars="0" w:start="0" w:endChars="0" w:end="0"/>
        <w:rPr>
          <w:color w:val="000000"/>
          <w:kern w:val="2"/>
        </w:rPr>
      </w:pPr>
      <w:r>
        <w:rPr>
          <w:color w:val="000000"/>
          <w:kern w:val="2"/>
        </w:rPr>
        <w:t>举办焰火晚会以及其他大型焰火燃放活动，适用有关法律、行政法规的规定。</w:t>
      </w:r>
    </w:p>
    <w:p>
      <w:pPr>
        <w:pStyle w:val="Normal"/>
        <w:ind w:firstLineChars="200" w:startChars="0" w:start="0" w:endChars="0" w:end="0"/>
        <w:rPr/>
      </w:pPr>
      <w:r>
        <w:rPr>
          <w:rFonts w:eastAsia="黑体;SimHei"/>
          <w:color w:val="000000"/>
          <w:kern w:val="2"/>
        </w:rPr>
        <w:t>第三条</w:t>
      </w:r>
      <w:r>
        <w:rPr>
          <w:color w:val="000000"/>
          <w:kern w:val="2"/>
        </w:rPr>
        <w:t xml:space="preserve">  烟花爆竹的燃放管理实行禁止和限制相结合、教育和处罚相结合的原则。</w:t>
      </w:r>
    </w:p>
    <w:p>
      <w:pPr>
        <w:pStyle w:val="Normal"/>
        <w:ind w:firstLineChars="200" w:startChars="0" w:start="0" w:endChars="0" w:end="0"/>
        <w:rPr/>
      </w:pPr>
      <w:r>
        <w:rPr>
          <w:rFonts w:eastAsia="黑体;SimHei"/>
          <w:color w:val="000000"/>
          <w:kern w:val="2"/>
        </w:rPr>
        <w:t>第四条</w:t>
      </w:r>
      <w:r>
        <w:rPr>
          <w:color w:val="000000"/>
          <w:kern w:val="2"/>
        </w:rPr>
        <w:t xml:space="preserve">  市人民政府应当加强全市烟花爆竹燃放管理工作，建立联席会议制度，强化联防联控长效工作机制，并将相关活动纳入社会信用体系建设。</w:t>
      </w:r>
    </w:p>
    <w:p>
      <w:pPr>
        <w:pStyle w:val="Normal"/>
        <w:ind w:firstLineChars="200" w:startChars="0" w:start="0" w:endChars="0" w:end="0"/>
        <w:rPr>
          <w:color w:val="000000"/>
          <w:kern w:val="2"/>
        </w:rPr>
      </w:pPr>
      <w:r>
        <w:rPr>
          <w:color w:val="000000"/>
          <w:kern w:val="2"/>
        </w:rPr>
        <w:t>县（区）人民政府负责本辖区烟花爆竹燃放管理工作，督促有关部门依法履行烟花爆竹燃放管理职责。</w:t>
      </w:r>
    </w:p>
    <w:p>
      <w:pPr>
        <w:pStyle w:val="Normal"/>
        <w:ind w:firstLineChars="200" w:startChars="0" w:start="0" w:endChars="0" w:end="0"/>
        <w:rPr>
          <w:color w:val="000000"/>
          <w:kern w:val="2"/>
        </w:rPr>
      </w:pPr>
      <w:r>
        <w:rPr>
          <w:color w:val="000000"/>
          <w:kern w:val="2"/>
        </w:rPr>
        <w:t>镇人民政府、街道办事处应当将烟花爆竹燃放管理纳入基层社会治理工作。</w:t>
      </w:r>
    </w:p>
    <w:p>
      <w:pPr>
        <w:pStyle w:val="Normal"/>
        <w:ind w:firstLineChars="200" w:startChars="0" w:start="0" w:endChars="0" w:end="0"/>
        <w:rPr>
          <w:color w:val="000000"/>
          <w:kern w:val="2"/>
        </w:rPr>
      </w:pPr>
      <w:r>
        <w:rPr>
          <w:color w:val="000000"/>
          <w:kern w:val="2"/>
        </w:rPr>
        <w:t>江北产业集中区、开发区管委会应当按照市人民政府的要求做好本辖区烟花爆竹燃放管理工作。</w:t>
      </w:r>
    </w:p>
    <w:p>
      <w:pPr>
        <w:pStyle w:val="Normal"/>
        <w:ind w:firstLineChars="200" w:startChars="0" w:start="0" w:endChars="0" w:end="0"/>
        <w:rPr/>
      </w:pPr>
      <w:r>
        <w:rPr>
          <w:rFonts w:eastAsia="黑体;SimHei"/>
          <w:color w:val="000000"/>
          <w:kern w:val="2"/>
        </w:rPr>
        <w:t>第五条</w:t>
      </w:r>
      <w:r>
        <w:rPr>
          <w:color w:val="000000"/>
          <w:kern w:val="2"/>
        </w:rPr>
        <w:t xml:space="preserve">  公安机关是烟花爆竹燃放管理的行政主管部门，负责烟花爆竹的公共安全管理，应当依法查处违法燃放烟花爆竹的行为，并会同有关部门建立联合执法制度。</w:t>
      </w:r>
    </w:p>
    <w:p>
      <w:pPr>
        <w:pStyle w:val="Normal"/>
        <w:ind w:firstLineChars="200" w:startChars="0" w:start="0" w:endChars="0" w:end="0"/>
        <w:rPr>
          <w:color w:val="000000"/>
          <w:kern w:val="2"/>
        </w:rPr>
      </w:pPr>
      <w:r>
        <w:rPr>
          <w:color w:val="000000"/>
          <w:kern w:val="2"/>
        </w:rPr>
        <w:t>城市管理部门应当依法查处燃放烟花爆竹影响环境卫生等行为。</w:t>
      </w:r>
    </w:p>
    <w:p>
      <w:pPr>
        <w:pStyle w:val="Normal"/>
        <w:ind w:firstLineChars="200" w:startChars="0" w:start="0" w:endChars="0" w:end="0"/>
        <w:rPr>
          <w:color w:val="000000"/>
          <w:kern w:val="2"/>
        </w:rPr>
      </w:pPr>
      <w:r>
        <w:rPr>
          <w:color w:val="000000"/>
          <w:kern w:val="2"/>
        </w:rPr>
        <w:t>住房和城乡建设部门应当督促建设、施工等单位遵守烟花爆竹燃放管理的有关规定，并督促物业服务企业做好服务区域内烟花爆竹燃放管理工作。</w:t>
      </w:r>
    </w:p>
    <w:p>
      <w:pPr>
        <w:pStyle w:val="Normal"/>
        <w:ind w:firstLineChars="200" w:startChars="0" w:start="0" w:endChars="0" w:end="0"/>
        <w:rPr>
          <w:color w:val="000000"/>
          <w:kern w:val="2"/>
        </w:rPr>
      </w:pPr>
      <w:r>
        <w:rPr>
          <w:color w:val="000000"/>
          <w:kern w:val="2"/>
        </w:rPr>
        <w:t>民政部门应当在婚姻登记、殡仪馆、陵园等场所开展宣传工作，引导婚丧嫁娶活动遵守烟花爆竹燃放管理的有关规定。</w:t>
      </w:r>
    </w:p>
    <w:p>
      <w:pPr>
        <w:pStyle w:val="Normal"/>
        <w:ind w:firstLineChars="200" w:startChars="0" w:start="0" w:endChars="0" w:end="0"/>
        <w:rPr>
          <w:color w:val="000000"/>
          <w:kern w:val="2"/>
        </w:rPr>
      </w:pPr>
      <w:r>
        <w:rPr>
          <w:color w:val="000000"/>
          <w:kern w:val="2"/>
        </w:rPr>
        <w:t>环保、教育等部门应当在各自职责范围内，做好烟花爆竹燃放管理的相关工作。</w:t>
      </w:r>
    </w:p>
    <w:p>
      <w:pPr>
        <w:pStyle w:val="Normal"/>
        <w:ind w:firstLineChars="200" w:startChars="0" w:start="0" w:endChars="0" w:end="0"/>
        <w:rPr/>
      </w:pPr>
      <w:r>
        <w:rPr>
          <w:rFonts w:eastAsia="黑体;SimHei"/>
          <w:color w:val="000000"/>
          <w:kern w:val="2"/>
        </w:rPr>
        <w:t>第六条</w:t>
      </w:r>
      <w:r>
        <w:rPr>
          <w:color w:val="000000"/>
          <w:kern w:val="2"/>
        </w:rPr>
        <w:t xml:space="preserve">  机关、企事业单位、社会团体和其他组织应当做好本单位的烟花爆竹燃放管理工作。</w:t>
      </w:r>
    </w:p>
    <w:p>
      <w:pPr>
        <w:pStyle w:val="Normal"/>
        <w:ind w:firstLineChars="200" w:startChars="0" w:start="0" w:endChars="0" w:end="0"/>
        <w:rPr>
          <w:color w:val="000000"/>
          <w:kern w:val="2"/>
        </w:rPr>
      </w:pPr>
      <w:r>
        <w:rPr>
          <w:color w:val="000000"/>
          <w:kern w:val="2"/>
        </w:rPr>
        <w:t>物业服务企业、宾馆、酒店等单位对服务区域内违法燃放烟花爆竹的行为，应当及时予以劝阻；劝阻不成的，应当向公安机关报告。</w:t>
      </w:r>
    </w:p>
    <w:p>
      <w:pPr>
        <w:pStyle w:val="Normal"/>
        <w:ind w:firstLineChars="200" w:startChars="0" w:start="0" w:endChars="0" w:end="0"/>
        <w:rPr/>
      </w:pPr>
      <w:r>
        <w:rPr>
          <w:rFonts w:eastAsia="黑体;SimHei"/>
          <w:color w:val="000000"/>
          <w:kern w:val="2"/>
        </w:rPr>
        <w:t>第七条</w:t>
      </w:r>
      <w:r>
        <w:rPr>
          <w:color w:val="000000"/>
          <w:kern w:val="2"/>
        </w:rPr>
        <w:t xml:space="preserve">  下列场所禁止燃放烟花爆竹：</w:t>
      </w:r>
    </w:p>
    <w:p>
      <w:pPr>
        <w:pStyle w:val="Normal"/>
        <w:ind w:firstLineChars="200" w:startChars="0" w:start="0" w:endChars="0" w:end="0"/>
        <w:rPr>
          <w:color w:val="000000"/>
          <w:kern w:val="2"/>
        </w:rPr>
      </w:pPr>
      <w:r>
        <w:rPr>
          <w:color w:val="000000"/>
          <w:kern w:val="2"/>
        </w:rPr>
        <w:t>（一）国家机关；</w:t>
      </w:r>
    </w:p>
    <w:p>
      <w:pPr>
        <w:pStyle w:val="Normal"/>
        <w:ind w:firstLineChars="200" w:startChars="0" w:start="0" w:endChars="0" w:end="0"/>
        <w:rPr>
          <w:color w:val="000000"/>
          <w:kern w:val="2"/>
        </w:rPr>
      </w:pPr>
      <w:r>
        <w:rPr>
          <w:color w:val="000000"/>
          <w:kern w:val="2"/>
        </w:rPr>
        <w:t>（二）文物保护单位；</w:t>
      </w:r>
    </w:p>
    <w:p>
      <w:pPr>
        <w:pStyle w:val="Normal"/>
        <w:ind w:firstLineChars="200" w:startChars="0" w:start="0" w:endChars="0" w:end="0"/>
        <w:rPr>
          <w:color w:val="000000"/>
          <w:kern w:val="2"/>
        </w:rPr>
      </w:pPr>
      <w:r>
        <w:rPr>
          <w:color w:val="000000"/>
          <w:kern w:val="2"/>
        </w:rPr>
        <w:t>（三）车站、码头、机场等交通枢纽以及铁路线路安全保护区内；</w:t>
      </w:r>
    </w:p>
    <w:p>
      <w:pPr>
        <w:pStyle w:val="Normal"/>
        <w:ind w:firstLineChars="200" w:startChars="0" w:start="0" w:endChars="0" w:end="0"/>
        <w:rPr>
          <w:color w:val="000000"/>
          <w:kern w:val="2"/>
        </w:rPr>
      </w:pPr>
      <w:r>
        <w:rPr>
          <w:color w:val="000000"/>
          <w:kern w:val="2"/>
        </w:rPr>
        <w:t>（四）易燃易爆等危险物品生产、储存单位及其周边二百米范围内；</w:t>
      </w:r>
    </w:p>
    <w:p>
      <w:pPr>
        <w:pStyle w:val="Normal"/>
        <w:ind w:firstLineChars="200" w:startChars="0" w:start="0" w:endChars="0" w:end="0"/>
        <w:rPr>
          <w:color w:val="000000"/>
          <w:kern w:val="2"/>
        </w:rPr>
      </w:pPr>
      <w:r>
        <w:rPr>
          <w:color w:val="000000"/>
          <w:kern w:val="2"/>
        </w:rPr>
        <w:t>（五）输变电设施安全保护区内；</w:t>
      </w:r>
    </w:p>
    <w:p>
      <w:pPr>
        <w:pStyle w:val="Normal"/>
        <w:ind w:firstLineChars="200" w:startChars="0" w:start="0" w:endChars="0" w:end="0"/>
        <w:rPr>
          <w:color w:val="000000"/>
          <w:kern w:val="2"/>
        </w:rPr>
      </w:pPr>
      <w:r>
        <w:rPr>
          <w:color w:val="000000"/>
          <w:kern w:val="2"/>
        </w:rPr>
        <w:t>（六）医疗机构、养老机构、教育机构、公共文化服务场所、英雄烈士纪念场所；</w:t>
      </w:r>
    </w:p>
    <w:p>
      <w:pPr>
        <w:pStyle w:val="Normal"/>
        <w:ind w:firstLineChars="200" w:startChars="0" w:start="0" w:endChars="0" w:end="0"/>
        <w:rPr>
          <w:color w:val="000000"/>
          <w:kern w:val="2"/>
        </w:rPr>
      </w:pPr>
      <w:r>
        <w:rPr>
          <w:color w:val="000000"/>
          <w:kern w:val="2"/>
        </w:rPr>
        <w:t>（七）山林、苗圃等重点防火区；</w:t>
      </w:r>
    </w:p>
    <w:p>
      <w:pPr>
        <w:pStyle w:val="Normal"/>
        <w:ind w:firstLineChars="200" w:startChars="0" w:start="0" w:endChars="0" w:end="0"/>
        <w:rPr>
          <w:color w:val="000000"/>
          <w:kern w:val="2"/>
        </w:rPr>
      </w:pPr>
      <w:r>
        <w:rPr>
          <w:color w:val="000000"/>
          <w:kern w:val="2"/>
        </w:rPr>
        <w:t>（八）法律、法规以及市、县（区）人民政府规定的禁止燃放烟花爆竹的其他场所。</w:t>
      </w:r>
    </w:p>
    <w:p>
      <w:pPr>
        <w:pStyle w:val="Normal"/>
        <w:ind w:firstLineChars="200" w:startChars="0" w:start="0" w:endChars="0" w:end="0"/>
        <w:rPr>
          <w:color w:val="000000"/>
          <w:kern w:val="2"/>
        </w:rPr>
      </w:pPr>
      <w:r>
        <w:rPr>
          <w:color w:val="000000"/>
          <w:kern w:val="2"/>
        </w:rPr>
        <w:t>禁止燃放烟花爆竹的场所，其所有权人、使用权人或者管理单位应当设置禁止燃放烟花爆竹警示标识，并负责管理和维护。</w:t>
      </w:r>
    </w:p>
    <w:p>
      <w:pPr>
        <w:pStyle w:val="Normal"/>
        <w:ind w:firstLineChars="200" w:startChars="0" w:start="0" w:endChars="0" w:end="0"/>
        <w:rPr/>
      </w:pPr>
      <w:r>
        <w:rPr>
          <w:rFonts w:eastAsia="黑体;SimHei"/>
          <w:color w:val="000000"/>
          <w:kern w:val="2"/>
        </w:rPr>
        <w:t>第八条</w:t>
      </w:r>
      <w:r>
        <w:rPr>
          <w:color w:val="000000"/>
          <w:kern w:val="2"/>
        </w:rPr>
        <w:t xml:space="preserve">  镜湖区、弋江区、三山区、芜湖经济技术开发区、安徽芜湖三山经济开发区（芜湖承接产业转移集中示范园区）为禁止燃放烟花爆竹的区域。</w:t>
      </w:r>
    </w:p>
    <w:p>
      <w:pPr>
        <w:pStyle w:val="Normal"/>
        <w:ind w:firstLineChars="200" w:startChars="0" w:start="0" w:endChars="0" w:end="0"/>
        <w:rPr>
          <w:color w:val="000000"/>
          <w:kern w:val="2"/>
        </w:rPr>
      </w:pPr>
      <w:r>
        <w:rPr>
          <w:color w:val="000000"/>
          <w:kern w:val="2"/>
        </w:rPr>
        <w:t>无为县、芜湖县、繁昌县、南陵县、鸠江区、安徽省江北产业集中区禁止或者限制燃放烟花爆竹的时间、区域由县（区）人民政府、江北产业集中区管委会确定并向社会公布。</w:t>
      </w:r>
    </w:p>
    <w:p>
      <w:pPr>
        <w:pStyle w:val="Normal"/>
        <w:ind w:firstLineChars="200" w:startChars="0" w:start="0" w:endChars="0" w:end="0"/>
        <w:rPr/>
      </w:pPr>
      <w:r>
        <w:rPr>
          <w:rFonts w:eastAsia="黑体;SimHei"/>
          <w:color w:val="000000"/>
          <w:kern w:val="2"/>
        </w:rPr>
        <w:t>第九条</w:t>
      </w:r>
      <w:r>
        <w:rPr>
          <w:color w:val="000000"/>
          <w:kern w:val="2"/>
        </w:rPr>
        <w:t xml:space="preserve">  重污染天气预警期间，市、县（区）人民政府可以采取禁止燃放烟花爆竹的应急措施。</w:t>
      </w:r>
    </w:p>
    <w:p>
      <w:pPr>
        <w:pStyle w:val="Normal"/>
        <w:ind w:firstLineChars="200" w:startChars="0" w:start="0" w:endChars="0" w:end="0"/>
        <w:rPr/>
      </w:pPr>
      <w:r>
        <w:rPr>
          <w:rFonts w:eastAsia="黑体;SimHei"/>
          <w:color w:val="000000"/>
          <w:kern w:val="2"/>
        </w:rPr>
        <w:t>第十条</w:t>
      </w:r>
      <w:r>
        <w:rPr>
          <w:color w:val="000000"/>
          <w:kern w:val="2"/>
        </w:rPr>
        <w:t xml:space="preserve">  禁止以下列危害公共安全或者人身、财产安全的方式燃放烟花爆竹：</w:t>
      </w:r>
    </w:p>
    <w:p>
      <w:pPr>
        <w:pStyle w:val="Normal"/>
        <w:ind w:firstLineChars="200" w:startChars="0" w:start="0" w:endChars="0" w:end="0"/>
        <w:rPr>
          <w:color w:val="000000"/>
          <w:kern w:val="2"/>
        </w:rPr>
      </w:pPr>
      <w:r>
        <w:rPr>
          <w:color w:val="000000"/>
          <w:kern w:val="2"/>
        </w:rPr>
        <w:t>（一）在建筑物、构筑物内燃放；</w:t>
      </w:r>
    </w:p>
    <w:p>
      <w:pPr>
        <w:pStyle w:val="Normal"/>
        <w:ind w:firstLineChars="200" w:startChars="0" w:start="0" w:endChars="0" w:end="0"/>
        <w:rPr>
          <w:color w:val="000000"/>
          <w:kern w:val="2"/>
        </w:rPr>
      </w:pPr>
      <w:r>
        <w:rPr>
          <w:color w:val="000000"/>
          <w:kern w:val="2"/>
        </w:rPr>
        <w:t xml:space="preserve">（二）向行人、车辆、建筑物、构筑物、在建工地、树木、河道、公共绿地、窨井等投掷燃放； </w:t>
      </w:r>
    </w:p>
    <w:p>
      <w:pPr>
        <w:pStyle w:val="Normal"/>
        <w:ind w:firstLineChars="200" w:startChars="0" w:start="0" w:endChars="0" w:end="0"/>
        <w:rPr>
          <w:color w:val="000000"/>
          <w:kern w:val="2"/>
        </w:rPr>
      </w:pPr>
      <w:r>
        <w:rPr>
          <w:color w:val="000000"/>
          <w:kern w:val="2"/>
        </w:rPr>
        <w:t>（三）危害公共安全或者人身、财产安全的其他方式。</w:t>
      </w:r>
    </w:p>
    <w:p>
      <w:pPr>
        <w:pStyle w:val="Normal"/>
        <w:ind w:firstLineChars="200" w:startChars="0" w:start="0" w:endChars="0" w:end="0"/>
        <w:rPr/>
      </w:pPr>
      <w:r>
        <w:rPr>
          <w:rFonts w:eastAsia="黑体;SimHei"/>
          <w:color w:val="000000"/>
          <w:kern w:val="2"/>
        </w:rPr>
        <w:t>第十一条</w:t>
      </w:r>
      <w:r>
        <w:rPr>
          <w:color w:val="000000"/>
          <w:kern w:val="2"/>
        </w:rPr>
        <w:t xml:space="preserve">  市、县（区）人民政府及其有关部门、镇人民政府和街道办事处应当组织开展烟花爆竹燃放管理的宣传，并在春节、元宵节、清明节、冬至等重点时段加大宣传力度。</w:t>
      </w:r>
    </w:p>
    <w:p>
      <w:pPr>
        <w:pStyle w:val="Normal"/>
        <w:ind w:firstLineChars="200" w:startChars="0" w:start="0" w:endChars="0" w:end="0"/>
        <w:rPr>
          <w:color w:val="000000"/>
          <w:kern w:val="2"/>
        </w:rPr>
      </w:pPr>
      <w:r>
        <w:rPr>
          <w:color w:val="000000"/>
          <w:kern w:val="2"/>
        </w:rPr>
        <w:t>广播、电视、报刊、网络等媒体应当开展烟花爆竹燃放管理和移风易俗的公益宣传。</w:t>
      </w:r>
    </w:p>
    <w:p>
      <w:pPr>
        <w:pStyle w:val="Normal"/>
        <w:ind w:firstLineChars="200" w:startChars="0" w:start="0" w:endChars="0" w:end="0"/>
        <w:rPr>
          <w:color w:val="000000"/>
          <w:kern w:val="2"/>
        </w:rPr>
      </w:pPr>
      <w:r>
        <w:rPr>
          <w:color w:val="000000"/>
          <w:kern w:val="2"/>
        </w:rPr>
        <w:t>学校、未成年人的监护人应当对学生、未成年人进行禁放、限放和安全燃放烟花爆竹的教育并加强监管。</w:t>
      </w:r>
    </w:p>
    <w:p>
      <w:pPr>
        <w:pStyle w:val="Normal"/>
        <w:ind w:firstLineChars="200" w:startChars="0" w:start="0" w:endChars="0" w:end="0"/>
        <w:rPr/>
      </w:pPr>
      <w:r>
        <w:rPr>
          <w:rFonts w:eastAsia="黑体;SimHei"/>
          <w:color w:val="000000"/>
          <w:kern w:val="2"/>
        </w:rPr>
        <w:t>第十二条</w:t>
      </w:r>
      <w:r>
        <w:rPr>
          <w:color w:val="000000"/>
          <w:kern w:val="2"/>
        </w:rPr>
        <w:t xml:space="preserve">  公民、法人和其他组织有权对违反本条例的行为进行举报，接到举报的国家机关应当对举报人的信息予以保密。</w:t>
      </w:r>
    </w:p>
    <w:p>
      <w:pPr>
        <w:pStyle w:val="Normal"/>
        <w:ind w:firstLineChars="200" w:startChars="0" w:start="0" w:endChars="0" w:end="0"/>
        <w:rPr>
          <w:color w:val="000000"/>
          <w:kern w:val="2"/>
        </w:rPr>
      </w:pPr>
      <w:r>
        <w:rPr>
          <w:color w:val="000000"/>
          <w:kern w:val="2"/>
        </w:rPr>
        <w:t>公安机关、城市管理部门应当建立烟花爆竹燃放管理举报反馈制度，对相关举报及时登记、查处，并在结案后三个工作日内向举报人反馈查处结果。对查证属实的，给予举报人奖励，奖励标准由市人民政府制定。</w:t>
      </w:r>
    </w:p>
    <w:p>
      <w:pPr>
        <w:pStyle w:val="Normal"/>
        <w:ind w:firstLineChars="200" w:startChars="0" w:start="0" w:endChars="0" w:end="0"/>
        <w:rPr/>
      </w:pPr>
      <w:r>
        <w:rPr>
          <w:rFonts w:eastAsia="黑体;SimHei"/>
          <w:color w:val="000000"/>
          <w:kern w:val="2"/>
        </w:rPr>
        <w:t>第十三条</w:t>
      </w:r>
      <w:r>
        <w:rPr>
          <w:color w:val="000000"/>
          <w:kern w:val="2"/>
        </w:rPr>
        <w:t xml:space="preserve">  物业服务企业、宾馆、酒店等单位违反本条例第六条第二款规定，对服务区域内违法燃放烟花爆竹的行为未及时予以劝阻或者劝阻不成后未向公安机关报告的，由公安机关责令改正，可以给予警告或者处以五百元以下的罚款。</w:t>
      </w:r>
    </w:p>
    <w:p>
      <w:pPr>
        <w:pStyle w:val="Normal"/>
        <w:ind w:firstLineChars="200" w:startChars="0" w:start="0" w:endChars="0" w:end="0"/>
        <w:rPr/>
      </w:pPr>
      <w:r>
        <w:rPr>
          <w:rFonts w:eastAsia="黑体;SimHei"/>
          <w:color w:val="000000"/>
          <w:kern w:val="2"/>
        </w:rPr>
        <w:t>第十四条</w:t>
      </w:r>
      <w:r>
        <w:rPr>
          <w:color w:val="000000"/>
          <w:kern w:val="2"/>
        </w:rPr>
        <w:t xml:space="preserve">  烟花爆竹燃放管理有关部门的工作人员违反本条例，有下列情形之一的，依法给予处分；构成犯罪的，依法追究刑事责任：</w:t>
      </w:r>
    </w:p>
    <w:p>
      <w:pPr>
        <w:pStyle w:val="Normal"/>
        <w:ind w:firstLineChars="200" w:startChars="0" w:start="0" w:endChars="0" w:end="0"/>
        <w:rPr>
          <w:color w:val="000000"/>
          <w:kern w:val="2"/>
        </w:rPr>
      </w:pPr>
      <w:r>
        <w:rPr>
          <w:color w:val="000000"/>
          <w:kern w:val="2"/>
        </w:rPr>
        <w:t>（一）对相关举报不及时登记、查处和反馈的；</w:t>
      </w:r>
    </w:p>
    <w:p>
      <w:pPr>
        <w:pStyle w:val="Normal"/>
        <w:ind w:firstLineChars="200" w:startChars="0" w:start="0" w:endChars="0" w:end="0"/>
        <w:rPr>
          <w:color w:val="000000"/>
          <w:kern w:val="2"/>
        </w:rPr>
      </w:pPr>
      <w:r>
        <w:rPr>
          <w:color w:val="000000"/>
          <w:kern w:val="2"/>
        </w:rPr>
        <w:t>（二）对违法燃放烟花爆竹的行为不依法查处的；</w:t>
      </w:r>
    </w:p>
    <w:p>
      <w:pPr>
        <w:pStyle w:val="Normal"/>
        <w:ind w:firstLineChars="200" w:startChars="0" w:start="0" w:endChars="0" w:end="0"/>
        <w:rPr>
          <w:color w:val="000000"/>
          <w:kern w:val="2"/>
        </w:rPr>
      </w:pPr>
      <w:r>
        <w:rPr>
          <w:color w:val="000000"/>
          <w:kern w:val="2"/>
        </w:rPr>
        <w:t>（三）其他滥用职权、玩忽职守、徇私舞弊等情形。</w:t>
      </w:r>
    </w:p>
    <w:p>
      <w:pPr>
        <w:pStyle w:val="Normal"/>
        <w:ind w:firstLineChars="200" w:startChars="0" w:start="0" w:endChars="0" w:end="0"/>
        <w:rPr/>
      </w:pPr>
      <w:r>
        <w:rPr>
          <w:rFonts w:eastAsia="黑体;SimHei"/>
          <w:color w:val="000000"/>
          <w:kern w:val="2"/>
        </w:rPr>
        <w:t>第十五条</w:t>
      </w:r>
      <w:r>
        <w:rPr>
          <w:color w:val="000000"/>
          <w:kern w:val="2"/>
        </w:rPr>
        <w:t xml:space="preserve">  违反本条例的行为，法律、法规已有处罚规定的，从其规定。</w:t>
      </w:r>
    </w:p>
    <w:p>
      <w:pPr>
        <w:pStyle w:val="Normal"/>
        <w:ind w:firstLineChars="200" w:startChars="0" w:start="0" w:endChars="0" w:end="0"/>
        <w:rPr>
          <w:rFonts w:hint="eastAsia"/>
          <w:color w:val="000000"/>
        </w:rPr>
      </w:pPr>
      <w:r>
        <w:rPr>
          <w:rFonts w:eastAsia="黑体;SimHei"/>
          <w:color w:val="000000"/>
          <w:kern w:val="2"/>
        </w:rPr>
        <w:t>第十六条</w:t>
      </w:r>
      <w:r>
        <w:rPr>
          <w:color w:val="000000"/>
          <w:kern w:val="2"/>
        </w:rPr>
        <w:t xml:space="preserve">  本条例自</w:t>
      </w:r>
      <w:r>
        <w:rPr>
          <w:color w:val="000000"/>
          <w:kern w:val="2"/>
        </w:rPr>
        <w:t>2019</w:t>
      </w:r>
      <w:r>
        <w:rPr>
          <w:color w:val="000000"/>
          <w:kern w:val="2"/>
        </w:rPr>
        <w:t>年</w:t>
      </w:r>
      <w:r>
        <w:rPr>
          <w:color w:val="000000"/>
          <w:kern w:val="2"/>
        </w:rPr>
        <w:t>1</w:t>
      </w:r>
      <w:r>
        <w:rPr>
          <w:color w:val="000000"/>
          <w:kern w:val="2"/>
        </w:rPr>
        <w:t>月</w:t>
      </w:r>
      <w:r>
        <w:rPr>
          <w:color w:val="000000"/>
          <w:kern w:val="2"/>
        </w:rPr>
        <w:t>1</w:t>
      </w:r>
      <w:r>
        <w:rPr>
          <w:color w:val="000000"/>
          <w:kern w:val="2"/>
        </w:rPr>
        <w:t>日起施行。</w:t>
      </w:r>
    </w:p>
    <w:p>
      <w:pPr>
        <w:pStyle w:val="Normal"/>
        <w:rPr>
          <w:rFonts w:hint="eastAsia"/>
          <w:color w:val="000000"/>
        </w:rPr>
      </w:pPr>
      <w:r>
        <w:rPr>
          <w:rFonts w:hint="eastAsia"/>
          <w:color w:val="000000"/>
        </w:rPr>
      </w:r>
    </w:p>
    <w:sectPr>
      <w:footerReference w:type="default" r:id="rId4"/>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1341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61341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8.3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仿宋" w:hAnsi="仿宋" w:eastAsia="仿宋"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font21">
    <w:name w:val="font21"/>
    <w:basedOn w:val="Style14"/>
    <w:qFormat/>
    <w:rPr>
      <w:rFonts w:ascii="Times New Roman" w:hAnsi="Times New Roman" w:cs="Times New Roman"/>
      <w:color w:val="000000"/>
      <w:sz w:val="24"/>
      <w:szCs w:val="24"/>
      <w:u w:val="none"/>
    </w:rPr>
  </w:style>
  <w:style w:type="character" w:styleId="font01">
    <w:name w:val="font01"/>
    <w:basedOn w:val="Style14"/>
    <w:qFormat/>
    <w:rPr>
      <w:rFonts w:ascii="仿宋_GB2312" w:hAnsi="仿宋_GB2312" w:eastAsia="仿宋_GB2312" w:cs="仿宋_GB2312"/>
      <w:color w:val="000000"/>
      <w:sz w:val="24"/>
      <w:szCs w:val="24"/>
      <w:u w:val="none"/>
    </w:rPr>
  </w:style>
  <w:style w:type="character" w:styleId="Strong">
    <w:name w:val="Strong"/>
    <w:basedOn w:val="Style14"/>
    <w:qFormat/>
    <w:rPr>
      <w:rFonts w:cs="Times New Roman"/>
      <w:b/>
      <w:bCs/>
    </w:rPr>
  </w:style>
  <w:style w:type="character" w:styleId="apple-converted-space">
    <w:name w:val="apple-converted-space"/>
    <w:basedOn w:val="Style14"/>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NormalIndent">
    <w:name w:val="Normal Indent"/>
    <w:basedOn w:val="Normal"/>
    <w:qFormat/>
    <w:pPr>
      <w:ind w:firstLine="630" w:start="0" w:end="0"/>
    </w:pPr>
    <w:rPr>
      <w:kern w:val="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110.com/fagui/" TargetMode="External"/><Relationship Id="rId3" Type="http://schemas.openxmlformats.org/officeDocument/2006/relationships/hyperlink" Target="http://www.110.com/fagui/"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2018-10-08T15:09:00Z</dcterms:created>
  <dc:creator>ch</dc:creator>
  <dc:description/>
  <cp:keywords/>
  <dc:language>en-US</dc:language>
  <cp:lastModifiedBy>段铭</cp:lastModifiedBy>
  <cp:lastPrinted>2018-09-17T09:54:00Z</cp:lastPrinted>
  <dcterms:modified xsi:type="dcterms:W3CDTF">2018-10-08T15:59:00Z</dcterms:modified>
  <cp:revision>3</cp:revision>
  <dc:subject/>
  <dc:title>板心</dc:title>
</cp:coreProperties>
</file>