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440"/>
        <w:rPr>
          <w:rFonts w:hint="eastAsia"/>
        </w:rPr>
      </w:pPr>
      <w:r>
        <w:rPr>
          <w:rFonts w:hint="eastAsia"/>
        </w:rPr>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安徽省人民代表大会常务委员会</w:t>
      </w:r>
    </w:p>
    <w:p>
      <w:pPr>
        <w:pStyle w:val="Normal"/>
        <w:spacing w:lineRule="exact" w:line="680"/>
        <w:jc w:val="center"/>
        <w:rPr/>
      </w:pPr>
      <w:r>
        <w:rPr>
          <w:rFonts w:ascii="方正小标宋简体" w:hAnsi="方正小标宋简体" w:cs="宋体;SimSun" w:hint="eastAsia" w:eastAsia="方正小标宋简体"/>
          <w:color w:val="000000"/>
          <w:sz w:val="44"/>
          <w:szCs w:val="36"/>
        </w:rPr>
        <w:t>关于批准</w:t>
      </w:r>
      <w:r>
        <w:rPr>
          <w:rFonts w:ascii="方正小标宋简体" w:hAnsi="方正小标宋简体" w:hint="eastAsia" w:eastAsia="方正小标宋简体"/>
          <w:color w:val="000000"/>
          <w:sz w:val="44"/>
        </w:rPr>
        <w:t>《</w:t>
      </w:r>
      <w:r>
        <w:rPr>
          <w:rFonts w:hint="eastAsia" w:eastAsia="方正小标宋简体"/>
          <w:color w:val="000000"/>
          <w:sz w:val="44"/>
        </w:rPr>
        <w:t>黄山市徽州古建筑保护</w:t>
      </w:r>
      <w:r>
        <w:rPr>
          <w:rFonts w:eastAsia="方正小标宋简体"/>
          <w:color w:val="000000"/>
          <w:sz w:val="44"/>
        </w:rPr>
        <w:t>条例</w:t>
      </w:r>
      <w:r>
        <w:rPr>
          <w:rFonts w:ascii="方正小标宋简体" w:hAnsi="方正小标宋简体" w:hint="eastAsia" w:eastAsia="方正小标宋简体"/>
          <w:color w:val="000000"/>
          <w:sz w:val="44"/>
        </w:rPr>
        <w:t>》</w:t>
      </w:r>
    </w:p>
    <w:p>
      <w:pPr>
        <w:pStyle w:val="Normal"/>
        <w:spacing w:lineRule="exact" w:line="680"/>
        <w:jc w:val="center"/>
        <w:rPr>
          <w:rFonts w:ascii="方正小标宋简体" w:hAnsi="方正小标宋简体" w:eastAsia="方正小标宋简体" w:cs="宋体;SimSun" w:hint="eastAsia"/>
          <w:color w:val="000000"/>
          <w:sz w:val="44"/>
          <w:szCs w:val="36"/>
        </w:rPr>
      </w:pPr>
      <w:r>
        <w:rPr>
          <w:rFonts w:ascii="方正小标宋简体" w:hAnsi="方正小标宋简体" w:cs="宋体;SimSun" w:hint="eastAsia" w:eastAsia="方正小标宋简体"/>
          <w:color w:val="000000"/>
          <w:sz w:val="44"/>
          <w:szCs w:val="36"/>
        </w:rPr>
        <w:t>的决议</w:t>
      </w:r>
    </w:p>
    <w:p>
      <w:pPr>
        <w:pStyle w:val="Normal"/>
        <w:jc w:val="center"/>
        <w:rPr>
          <w:rFonts w:ascii="仿宋_GB2312" w:hAnsi="仿宋_GB2312" w:eastAsia="方正小标宋简体" w:cs="宋体;SimSun" w:hint="eastAsia"/>
          <w:color w:val="000000"/>
          <w:sz w:val="44"/>
          <w:szCs w:val="36"/>
        </w:rPr>
      </w:pPr>
      <w:r>
        <w:rPr>
          <w:rFonts w:eastAsia="方正小标宋简体" w:cs="宋体;SimSun" w:hint="eastAsia" w:ascii="仿宋_GB2312" w:hAnsi="仿宋_GB2312"/>
          <w:color w:val="000000"/>
          <w:sz w:val="44"/>
          <w:szCs w:val="36"/>
        </w:rPr>
      </w:r>
    </w:p>
    <w:p>
      <w:pPr>
        <w:pStyle w:val="Normal"/>
        <w:jc w:val="center"/>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12</w:t>
      </w:r>
      <w:r>
        <w:rPr>
          <w:rFonts w:eastAsia="楷体_GB2312"/>
          <w:color w:val="000000"/>
          <w:szCs w:val="30"/>
        </w:rPr>
        <w:t>月</w:t>
      </w:r>
      <w:r>
        <w:rPr>
          <w:rFonts w:eastAsia="楷体_GB2312" w:hint="eastAsia"/>
          <w:color w:val="000000"/>
          <w:szCs w:val="30"/>
        </w:rPr>
        <w:t>20</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常务委员会第四十二次会议通过）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四十二</w:t>
      </w:r>
      <w:r>
        <w:rPr>
          <w:rFonts w:ascii="仿宋_GB2312" w:hAnsi="仿宋_GB2312"/>
          <w:color w:val="000000"/>
        </w:rPr>
        <w:t>次会议审查了</w:t>
      </w:r>
      <w:r>
        <w:rPr>
          <w:rFonts w:ascii="仿宋_GB2312" w:hAnsi="仿宋_GB2312" w:hint="eastAsia"/>
          <w:color w:val="000000"/>
        </w:rPr>
        <w:t>《黄山市徽州古建筑保护条例》</w:t>
      </w:r>
      <w:r>
        <w:rPr>
          <w:rFonts w:ascii="仿宋_GB2312" w:hAnsi="仿宋_GB2312"/>
          <w:color w:val="000000"/>
        </w:rPr>
        <w:t>，决定予以批准，由</w:t>
      </w:r>
      <w:r>
        <w:rPr>
          <w:rFonts w:ascii="仿宋_GB2312" w:hAnsi="仿宋_GB2312" w:hint="eastAsia"/>
          <w:color w:val="000000"/>
        </w:rPr>
        <w:t>黄山</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ind w:startChars="0" w:start="0" w:endChars="0" w:end="0"/>
        <w:rPr>
          <w:rFonts w:hint="eastAsia"/>
        </w:rPr>
      </w:pPr>
      <w:r>
        <w:rPr>
          <w:rFonts w:hint="eastAsia"/>
        </w:rPr>
      </w:r>
    </w:p>
    <w:p>
      <w:pPr>
        <w:pStyle w:val="Normal"/>
        <w:spacing w:lineRule="exact" w:line="680"/>
        <w:jc w:val="center"/>
        <w:rPr>
          <w:rFonts w:eastAsia="方正小标宋简体" w:cs="方正小标宋简体" w:hint="eastAsia"/>
          <w:sz w:val="44"/>
          <w:szCs w:val="44"/>
        </w:rPr>
      </w:pPr>
      <w:r>
        <w:rPr>
          <w:rFonts w:cs="方正小标宋简体" w:hint="eastAsia" w:eastAsia="方正小标宋简体"/>
          <w:sz w:val="44"/>
          <w:szCs w:val="44"/>
        </w:rPr>
        <w:t>黄山市徽州古建筑保护条例</w:t>
      </w:r>
    </w:p>
    <w:p>
      <w:pPr>
        <w:pStyle w:val="Normal"/>
        <w:spacing w:lineRule="exact" w:line="560"/>
        <w:jc w:val="center"/>
        <w:rPr>
          <w:rFonts w:eastAsia="楷体_GB2312" w:cs="仿宋_GB2312" w:hint="eastAsia"/>
          <w:bCs/>
          <w:sz w:val="44"/>
          <w:szCs w:val="32"/>
        </w:rPr>
      </w:pPr>
      <w:r>
        <w:rPr>
          <w:rFonts w:eastAsia="楷体_GB2312" w:cs="仿宋_GB2312" w:hint="eastAsia"/>
          <w:bCs/>
          <w:sz w:val="44"/>
          <w:szCs w:val="32"/>
        </w:rPr>
      </w:r>
    </w:p>
    <w:p>
      <w:pPr>
        <w:pStyle w:val="Normal"/>
        <w:ind w:firstLineChars="200" w:startChars="0" w:start="0" w:endChars="0" w:end="0"/>
        <w:rPr/>
      </w:pPr>
      <w:r>
        <w:rPr>
          <w:rFonts w:cs="仿宋_GB2312" w:hint="eastAsia" w:eastAsia="楷体_GB2312"/>
          <w:bCs/>
          <w:szCs w:val="32"/>
        </w:rPr>
        <w:t>（</w:t>
      </w:r>
      <w:r>
        <w:rPr>
          <w:rFonts w:eastAsia="楷体_GB2312" w:cs="仿宋_GB2312" w:hint="eastAsia"/>
          <w:bCs/>
          <w:szCs w:val="32"/>
        </w:rPr>
        <w:t>2017</w:t>
      </w:r>
      <w:r>
        <w:rPr>
          <w:rFonts w:cs="仿宋_GB2312" w:hint="eastAsia" w:eastAsia="楷体_GB2312"/>
          <w:bCs/>
          <w:szCs w:val="32"/>
        </w:rPr>
        <w:t>年</w:t>
      </w:r>
      <w:r>
        <w:rPr>
          <w:rFonts w:eastAsia="楷体_GB2312" w:cs="仿宋_GB2312" w:hint="eastAsia"/>
          <w:bCs/>
          <w:szCs w:val="32"/>
        </w:rPr>
        <w:t>11</w:t>
      </w:r>
      <w:r>
        <w:rPr>
          <w:rFonts w:cs="仿宋_GB2312" w:hint="eastAsia" w:eastAsia="楷体_GB2312"/>
          <w:bCs/>
          <w:szCs w:val="32"/>
        </w:rPr>
        <w:t>月</w:t>
      </w:r>
      <w:r>
        <w:rPr>
          <w:rFonts w:eastAsia="楷体_GB2312" w:cs="仿宋_GB2312" w:hint="eastAsia"/>
          <w:bCs/>
          <w:szCs w:val="32"/>
        </w:rPr>
        <w:t>20</w:t>
      </w:r>
      <w:r>
        <w:rPr>
          <w:rFonts w:cs="仿宋_GB2312" w:hint="eastAsia" w:eastAsia="楷体_GB2312"/>
          <w:bCs/>
          <w:szCs w:val="32"/>
        </w:rPr>
        <w:t xml:space="preserve">日黄山市第六届人民代表大会常务委员会第三十五次会议通过    </w:t>
      </w:r>
      <w:r>
        <w:rPr>
          <w:rFonts w:eastAsia="楷体_GB2312" w:hint="eastAsia"/>
          <w:bCs/>
        </w:rPr>
        <w:t>2017</w:t>
      </w:r>
      <w:r>
        <w:rPr>
          <w:rFonts w:hint="eastAsia" w:eastAsia="楷体_GB2312"/>
          <w:bCs/>
        </w:rPr>
        <w:t>年</w:t>
      </w:r>
      <w:r>
        <w:rPr>
          <w:rFonts w:eastAsia="楷体_GB2312" w:hint="eastAsia"/>
          <w:bCs/>
        </w:rPr>
        <w:t>12</w:t>
      </w:r>
      <w:r>
        <w:rPr>
          <w:rFonts w:hint="eastAsia" w:eastAsia="楷体_GB2312"/>
          <w:bCs/>
        </w:rPr>
        <w:t>月</w:t>
      </w:r>
      <w:r>
        <w:rPr>
          <w:rFonts w:eastAsia="楷体_GB2312" w:hint="eastAsia"/>
          <w:bCs/>
        </w:rPr>
        <w:t>20</w:t>
      </w:r>
      <w:r>
        <w:rPr>
          <w:rFonts w:hint="eastAsia" w:eastAsia="楷体_GB2312"/>
          <w:bCs/>
        </w:rPr>
        <w:t>日安徽省第十二届人民代表大会常务委员会第四十二次会议批准</w:t>
      </w:r>
      <w:r>
        <w:rPr>
          <w:rFonts w:cs="仿宋_GB2312" w:hint="eastAsia" w:eastAsia="楷体_GB2312"/>
          <w:bCs/>
          <w:szCs w:val="32"/>
        </w:rPr>
        <w:t>）</w:t>
      </w:r>
    </w:p>
    <w:p>
      <w:pPr>
        <w:pStyle w:val="1"/>
        <w:ind w:firstLineChars="0" w:firstLine="0" w:endChars="0" w:end="0"/>
        <w:jc w:val="center"/>
        <w:rPr>
          <w:rFonts w:ascii="Times New Roman" w:hAnsi="Times New Roman" w:eastAsia="仿宋;Arial Unicode MS" w:cs="仿宋_GB2312" w:hint="eastAsia"/>
          <w:bCs/>
          <w:sz w:val="32"/>
          <w:szCs w:val="32"/>
        </w:rPr>
      </w:pPr>
      <w:r>
        <w:rPr>
          <w:rFonts w:eastAsia="仿宋;Arial Unicode MS" w:cs="仿宋_GB2312" w:hint="eastAsia" w:ascii="Times New Roman" w:hAnsi="Times New Roman"/>
          <w:bCs/>
          <w:sz w:val="32"/>
          <w:szCs w:val="32"/>
        </w:rPr>
      </w:r>
    </w:p>
    <w:p>
      <w:pPr>
        <w:pStyle w:val="Normal"/>
        <w:ind w:firstLineChars="200" w:startChars="0" w:start="0" w:endChars="0" w:end="0"/>
        <w:rPr/>
      </w:pPr>
      <w:r>
        <w:rPr>
          <w:rFonts w:cs="仿宋_GB2312" w:hint="eastAsia" w:eastAsia="黑体;SimHei"/>
          <w:szCs w:val="32"/>
        </w:rPr>
        <w:t xml:space="preserve">第一条  </w:t>
      </w:r>
      <w:r>
        <w:rPr>
          <w:rFonts w:cs="仿宋_GB2312" w:hint="eastAsia"/>
          <w:szCs w:val="32"/>
        </w:rPr>
        <w:t>为了加强徽州古建筑保护，传承优秀历史文化遗产，</w:t>
      </w:r>
      <w:r>
        <w:rPr>
          <w:rFonts w:cs="黑体;SimHei" w:hint="eastAsia"/>
          <w:szCs w:val="32"/>
        </w:rPr>
        <w:t>根据《中华人民共和国文物保护法》和有关法律、行政法规，</w:t>
      </w:r>
      <w:r>
        <w:rPr>
          <w:rFonts w:cs="仿宋_GB2312" w:hint="eastAsia"/>
          <w:szCs w:val="32"/>
        </w:rPr>
        <w:t>结合本市实际，制定本条例。</w:t>
      </w:r>
    </w:p>
    <w:p>
      <w:pPr>
        <w:pStyle w:val="Normal"/>
        <w:ind w:firstLineChars="200" w:startChars="0" w:start="0" w:endChars="0" w:end="0"/>
        <w:rPr/>
      </w:pPr>
      <w:r>
        <w:rPr>
          <w:rFonts w:cs="仿宋_GB2312" w:hint="eastAsia" w:eastAsia="黑体;SimHei"/>
          <w:szCs w:val="32"/>
        </w:rPr>
        <w:t xml:space="preserve">第二条  </w:t>
      </w:r>
      <w:r>
        <w:rPr>
          <w:rFonts w:cs="仿宋_GB2312" w:hint="eastAsia"/>
          <w:szCs w:val="32"/>
        </w:rPr>
        <w:t>本条例适用于本市行政区域内的徽州古建筑（以下简称古建筑）及其构件的保护。</w:t>
      </w:r>
    </w:p>
    <w:p>
      <w:pPr>
        <w:pStyle w:val="Normal"/>
        <w:ind w:firstLineChars="200" w:startChars="0" w:start="0" w:endChars="0" w:end="0"/>
        <w:rPr>
          <w:rFonts w:cs="仿宋_GB2312" w:hint="eastAsia"/>
          <w:szCs w:val="32"/>
        </w:rPr>
      </w:pPr>
      <w:r>
        <w:rPr>
          <w:rFonts w:cs="仿宋_GB2312" w:hint="eastAsia"/>
          <w:szCs w:val="32"/>
        </w:rPr>
        <w:t>涉及文物保护和历史文化名城名镇名村保护的适用相关法律、法规规定。</w:t>
      </w:r>
    </w:p>
    <w:p>
      <w:pPr>
        <w:pStyle w:val="Normal"/>
        <w:ind w:firstLineChars="200" w:startChars="0" w:start="0" w:endChars="0" w:end="0"/>
        <w:rPr/>
      </w:pPr>
      <w:r>
        <w:rPr>
          <w:rFonts w:cs="仿宋_GB2312" w:hint="eastAsia" w:eastAsia="黑体;SimHei"/>
          <w:szCs w:val="32"/>
        </w:rPr>
        <w:t xml:space="preserve">第三条  </w:t>
      </w:r>
      <w:r>
        <w:rPr>
          <w:rFonts w:cs="仿宋_GB2312" w:hint="eastAsia"/>
          <w:szCs w:val="32"/>
        </w:rPr>
        <w:t>本条例所称古建筑是指本市境内建于</w:t>
      </w:r>
      <w:r>
        <w:rPr>
          <w:rFonts w:cs="仿宋_GB2312" w:hint="eastAsia"/>
          <w:szCs w:val="32"/>
        </w:rPr>
        <w:t>1949</w:t>
      </w:r>
      <w:r>
        <w:rPr>
          <w:rFonts w:cs="仿宋_GB2312" w:hint="eastAsia"/>
          <w:szCs w:val="32"/>
        </w:rPr>
        <w:t>年以前具有历史、艺术、科学价值， 能够反映历史风貌和地方特色，并列入保护名录的各类建筑物。</w:t>
      </w:r>
    </w:p>
    <w:p>
      <w:pPr>
        <w:pStyle w:val="Normal"/>
        <w:ind w:firstLineChars="200" w:startChars="0" w:start="0" w:endChars="0" w:end="0"/>
        <w:rPr>
          <w:rFonts w:cs="仿宋_GB2312" w:hint="eastAsia"/>
          <w:szCs w:val="32"/>
        </w:rPr>
      </w:pPr>
      <w:r>
        <w:rPr>
          <w:rFonts w:cs="仿宋_GB2312" w:hint="eastAsia"/>
          <w:szCs w:val="32"/>
        </w:rPr>
        <w:t>古建筑包括古民居、古祠堂、古牌坊、古书院、古寺庙、古戏台、古楼阁、古城墙、古码头、古水系、古塔、古桥、古坝、古亭、古道、古井等建筑物、构筑物。</w:t>
      </w:r>
    </w:p>
    <w:p>
      <w:pPr>
        <w:pStyle w:val="Normal"/>
        <w:ind w:firstLineChars="200" w:startChars="0" w:start="0" w:endChars="0" w:end="0"/>
        <w:rPr>
          <w:rFonts w:cs="仿宋_GB2312" w:hint="eastAsia"/>
          <w:szCs w:val="32"/>
        </w:rPr>
      </w:pPr>
      <w:r>
        <w:rPr>
          <w:rFonts w:cs="仿宋_GB2312" w:hint="eastAsia"/>
          <w:szCs w:val="32"/>
        </w:rPr>
        <w:t>古建筑构件包括天花、藻井、隔扇、门窗、隔断、斗拱、雀替、斜撑、梁柱、门罩、匾额、柱础、吻兽、抱鼓石等木构件、石构件、砖构件。</w:t>
      </w:r>
      <w:bookmarkStart w:id="0" w:name="_GoBack"/>
      <w:bookmarkEnd w:id="0"/>
    </w:p>
    <w:p>
      <w:pPr>
        <w:pStyle w:val="Normal"/>
        <w:ind w:firstLineChars="200" w:startChars="0" w:start="0" w:endChars="0" w:end="0"/>
        <w:rPr/>
      </w:pPr>
      <w:r>
        <w:rPr>
          <w:rFonts w:cs="仿宋_GB2312" w:hint="eastAsia" w:eastAsia="黑体;SimHei"/>
          <w:szCs w:val="32"/>
        </w:rPr>
        <w:t xml:space="preserve">第四条  </w:t>
      </w:r>
      <w:r>
        <w:rPr>
          <w:rFonts w:cs="仿宋_GB2312" w:hint="eastAsia"/>
          <w:szCs w:val="32"/>
        </w:rPr>
        <w:t>古建筑保护应当遵循保护为主、合理利用、</w:t>
      </w:r>
      <w:r>
        <w:rPr>
          <w:rFonts w:cs="黑体;SimHei" w:hint="eastAsia"/>
          <w:szCs w:val="32"/>
        </w:rPr>
        <w:t>加强管理、</w:t>
      </w:r>
      <w:r>
        <w:rPr>
          <w:rFonts w:cs="仿宋_GB2312" w:hint="eastAsia"/>
          <w:szCs w:val="32"/>
        </w:rPr>
        <w:t>社会参与的原则。</w:t>
      </w:r>
    </w:p>
    <w:p>
      <w:pPr>
        <w:pStyle w:val="Normal"/>
        <w:ind w:firstLineChars="200" w:startChars="0" w:start="0" w:endChars="0" w:end="0"/>
        <w:rPr/>
      </w:pPr>
      <w:r>
        <w:rPr>
          <w:rFonts w:cs="仿宋_GB2312" w:hint="eastAsia" w:eastAsia="黑体;SimHei"/>
          <w:szCs w:val="32"/>
        </w:rPr>
        <w:t xml:space="preserve">第五条  </w:t>
      </w:r>
      <w:r>
        <w:rPr>
          <w:rFonts w:cs="仿宋_GB2312" w:hint="eastAsia"/>
          <w:szCs w:val="32"/>
        </w:rPr>
        <w:t>市、县（区）人民政府应当加强古建筑保护工作，将其纳入国民经济和社会发展规划，所需专项资金列入本级财政预算；</w:t>
      </w:r>
      <w:r>
        <w:rPr>
          <w:rFonts w:cs="黑体;SimHei" w:hint="eastAsia"/>
          <w:szCs w:val="32"/>
        </w:rPr>
        <w:t>组织文化、文物、旅游、公安、国土、住建、规划、林业、工商等部门</w:t>
      </w:r>
      <w:r>
        <w:rPr>
          <w:rFonts w:cs="仿宋_GB2312" w:hint="eastAsia"/>
          <w:szCs w:val="32"/>
        </w:rPr>
        <w:t>建立古建筑保护利用工作沟通协调机制</w:t>
      </w:r>
      <w:r>
        <w:rPr>
          <w:rFonts w:cs="黑体;SimHei" w:hint="eastAsia"/>
          <w:szCs w:val="32"/>
        </w:rPr>
        <w:t>。</w:t>
      </w:r>
    </w:p>
    <w:p>
      <w:pPr>
        <w:pStyle w:val="Normal"/>
        <w:ind w:firstLineChars="200" w:startChars="0" w:start="0" w:endChars="0" w:end="0"/>
        <w:rPr/>
      </w:pPr>
      <w:r>
        <w:rPr>
          <w:rFonts w:cs="仿宋_GB2312" w:hint="eastAsia"/>
          <w:szCs w:val="32"/>
        </w:rPr>
        <w:t>市、县（区）人民政府文物主管部门负责本行政区域内古建筑保护利用的监督管理。政府有关行政部门应当在各自的职责范围内，依法履行</w:t>
      </w:r>
      <w:r>
        <w:rPr>
          <w:rFonts w:cs="黑体;SimHei" w:hint="eastAsia"/>
          <w:szCs w:val="32"/>
        </w:rPr>
        <w:t>对古建筑保护管理职责</w:t>
      </w:r>
      <w:r>
        <w:rPr>
          <w:rFonts w:cs="仿宋_GB2312" w:hint="eastAsia"/>
          <w:szCs w:val="32"/>
        </w:rPr>
        <w:t>。</w:t>
      </w:r>
    </w:p>
    <w:p>
      <w:pPr>
        <w:pStyle w:val="Normal"/>
        <w:ind w:firstLineChars="200" w:startChars="0" w:start="0" w:endChars="0" w:end="0"/>
        <w:rPr>
          <w:rFonts w:cs="仿宋_GB2312" w:hint="eastAsia"/>
          <w:szCs w:val="32"/>
        </w:rPr>
      </w:pPr>
      <w:r>
        <w:rPr>
          <w:rFonts w:cs="仿宋_GB2312" w:hint="eastAsia"/>
          <w:szCs w:val="32"/>
        </w:rPr>
        <w:t>乡（镇）人民政府、街道办事处负责古建筑的日常巡查并配合有关部门做好古建筑的保护管理工作。</w:t>
      </w:r>
    </w:p>
    <w:p>
      <w:pPr>
        <w:pStyle w:val="Normal"/>
        <w:ind w:firstLineChars="200" w:startChars="0" w:start="0" w:endChars="0" w:end="0"/>
        <w:rPr>
          <w:rFonts w:cs="仿宋_GB2312" w:hint="eastAsia"/>
          <w:szCs w:val="32"/>
        </w:rPr>
      </w:pPr>
      <w:r>
        <w:rPr>
          <w:rFonts w:cs="仿宋_GB2312" w:hint="eastAsia"/>
          <w:szCs w:val="32"/>
        </w:rPr>
        <w:t>古建筑所在地村民委员会或者居民委员会应当制定古建筑保护村规民约，自觉开展古建筑保护。</w:t>
      </w:r>
    </w:p>
    <w:p>
      <w:pPr>
        <w:pStyle w:val="Normal"/>
        <w:ind w:firstLineChars="200" w:startChars="0" w:start="0" w:endChars="0" w:end="0"/>
        <w:rPr>
          <w:rFonts w:cs="仿宋_GB2312" w:hint="eastAsia"/>
          <w:szCs w:val="32"/>
        </w:rPr>
      </w:pPr>
      <w:r>
        <w:rPr>
          <w:rFonts w:cs="仿宋_GB2312" w:hint="eastAsia"/>
          <w:szCs w:val="32"/>
        </w:rPr>
        <w:t>每年六月的第二周为古建筑保护宣传活动周。</w:t>
      </w:r>
    </w:p>
    <w:p>
      <w:pPr>
        <w:pStyle w:val="Normal"/>
        <w:ind w:firstLineChars="200" w:startChars="0" w:start="0" w:endChars="0" w:end="0"/>
        <w:rPr/>
      </w:pPr>
      <w:r>
        <w:rPr>
          <w:rFonts w:hint="eastAsia" w:eastAsia="黑体;SimHei"/>
          <w:szCs w:val="32"/>
        </w:rPr>
        <w:t xml:space="preserve">第六条  </w:t>
      </w:r>
      <w:r>
        <w:rPr>
          <w:rFonts w:hint="eastAsia"/>
          <w:szCs w:val="32"/>
        </w:rPr>
        <w:t>古建筑保护实行名录管理。县（区）文物主管部门负责组织专家对需列入名录的古建筑进行认定，经县（区）人民政府审核，报市人民政府批准并公布。</w:t>
      </w:r>
    </w:p>
    <w:p>
      <w:pPr>
        <w:pStyle w:val="Normal"/>
        <w:ind w:firstLineChars="200" w:startChars="0" w:start="0" w:endChars="0" w:end="0"/>
        <w:rPr>
          <w:rFonts w:cs="仿宋_GB2312" w:hint="eastAsia"/>
          <w:szCs w:val="32"/>
        </w:rPr>
      </w:pPr>
      <w:r>
        <w:rPr>
          <w:rFonts w:cs="仿宋_GB2312" w:hint="eastAsia"/>
          <w:szCs w:val="32"/>
        </w:rPr>
        <w:t>列入保护名录的古建筑应当建立档案，设立标志。</w:t>
      </w:r>
    </w:p>
    <w:p>
      <w:pPr>
        <w:pStyle w:val="Normal"/>
        <w:ind w:firstLineChars="200" w:startChars="0" w:start="0" w:endChars="0" w:end="0"/>
        <w:rPr>
          <w:rFonts w:cs="仿宋_GB2312" w:hint="eastAsia"/>
          <w:szCs w:val="32"/>
        </w:rPr>
      </w:pPr>
      <w:r>
        <w:rPr>
          <w:rFonts w:cs="仿宋_GB2312" w:hint="eastAsia"/>
          <w:szCs w:val="32"/>
        </w:rPr>
        <w:t>列入保护名录的古建筑失去保护价值，县（区）文物主管部门应当组织专家进行评估，经县（区）人民政府审核，报市人民政府核准退出名录。</w:t>
      </w:r>
    </w:p>
    <w:p>
      <w:pPr>
        <w:pStyle w:val="Normal"/>
        <w:ind w:firstLineChars="200" w:startChars="0" w:start="0" w:endChars="0" w:end="0"/>
        <w:rPr>
          <w:rFonts w:cs="仿宋_GB2312" w:hint="eastAsia"/>
          <w:szCs w:val="32"/>
          <w:shd w:fill="D8D8D8" w:val="clear"/>
        </w:rPr>
      </w:pPr>
      <w:r>
        <w:rPr>
          <w:rFonts w:cs="仿宋_GB2312" w:hint="eastAsia" w:eastAsia="黑体;SimHei"/>
          <w:szCs w:val="32"/>
        </w:rPr>
        <w:t xml:space="preserve">第七条  </w:t>
      </w:r>
      <w:r>
        <w:rPr>
          <w:rFonts w:cs="仿宋_GB2312" w:hint="eastAsia"/>
          <w:szCs w:val="32"/>
        </w:rPr>
        <w:t>市、县（区）人民政府应当编制古建筑保护规划。市、县（区）文物主管部门应当根据古建筑保护规划，编制专项保护规划和包含古建筑基本信息、保护范围和使用要求的古建筑保护图则，并予以公布。</w:t>
      </w:r>
    </w:p>
    <w:p>
      <w:pPr>
        <w:pStyle w:val="Normal"/>
        <w:ind w:firstLineChars="200" w:startChars="0" w:start="0" w:endChars="0" w:end="0"/>
        <w:rPr>
          <w:rFonts w:cs="仿宋_GB2312" w:hint="eastAsia"/>
          <w:szCs w:val="32"/>
        </w:rPr>
      </w:pPr>
      <w:r>
        <w:rPr>
          <w:rFonts w:cs="仿宋_GB2312" w:hint="eastAsia"/>
          <w:szCs w:val="32"/>
        </w:rPr>
        <w:t>古建筑应当按照专项保护规划和保护图则的要求进行保护和利用。</w:t>
      </w:r>
    </w:p>
    <w:p>
      <w:pPr>
        <w:pStyle w:val="Normal"/>
        <w:ind w:firstLineChars="200" w:startChars="0" w:start="0" w:endChars="0" w:end="0"/>
        <w:rPr/>
      </w:pPr>
      <w:r>
        <w:rPr>
          <w:rFonts w:cs="仿宋_GB2312" w:hint="eastAsia" w:eastAsia="黑体;SimHei"/>
          <w:szCs w:val="32"/>
        </w:rPr>
        <w:t xml:space="preserve">第八条  </w:t>
      </w:r>
      <w:r>
        <w:rPr>
          <w:rFonts w:cs="仿宋_GB2312" w:hint="eastAsia"/>
          <w:szCs w:val="32"/>
        </w:rPr>
        <w:t>市、县（区）文物主管部门应当会同城乡规划主管部门</w:t>
      </w:r>
      <w:r>
        <w:rPr>
          <w:rFonts w:cs="黑体;SimHei" w:hint="eastAsia"/>
          <w:szCs w:val="32"/>
        </w:rPr>
        <w:t>划定古建筑保护范围并公布</w:t>
      </w:r>
      <w:r>
        <w:rPr>
          <w:rFonts w:cs="仿宋_GB2312" w:hint="eastAsia"/>
          <w:szCs w:val="32"/>
        </w:rPr>
        <w:t>。</w:t>
      </w:r>
    </w:p>
    <w:p>
      <w:pPr>
        <w:pStyle w:val="Normal"/>
        <w:ind w:firstLineChars="200" w:startChars="0" w:start="0" w:endChars="0" w:end="0"/>
        <w:rPr>
          <w:rFonts w:cs="仿宋_GB2312" w:hint="eastAsia"/>
          <w:szCs w:val="32"/>
        </w:rPr>
      </w:pPr>
      <w:r>
        <w:rPr>
          <w:rFonts w:cs="仿宋_GB2312" w:hint="eastAsia"/>
          <w:szCs w:val="32"/>
        </w:rPr>
        <w:t>在古建筑保护范围内不得进行有损于古建筑保护的其他工程建设或者爆破、钻探、挖掘等作业。</w:t>
      </w:r>
    </w:p>
    <w:p>
      <w:pPr>
        <w:pStyle w:val="Normal"/>
        <w:ind w:firstLineChars="200" w:startChars="0" w:start="0" w:endChars="0" w:end="0"/>
        <w:rPr>
          <w:rFonts w:cs="仿宋_GB2312" w:hint="eastAsia"/>
          <w:szCs w:val="32"/>
        </w:rPr>
      </w:pPr>
      <w:r>
        <w:rPr>
          <w:rFonts w:cs="仿宋_GB2312" w:hint="eastAsia"/>
          <w:szCs w:val="32"/>
        </w:rPr>
        <w:t>因特殊情况需要进行上述作业的，应当经所在地文物主管部门同意，并报经有关部门批准。建设单位或者施工单位应当制定相应的保护方案，并严格按照方案实施。</w:t>
      </w:r>
    </w:p>
    <w:p>
      <w:pPr>
        <w:pStyle w:val="Normal"/>
        <w:ind w:firstLineChars="200" w:startChars="0" w:start="0" w:endChars="0" w:end="0"/>
        <w:rPr/>
      </w:pPr>
      <w:r>
        <w:rPr>
          <w:rFonts w:cs="仿宋_GB2312" w:hint="eastAsia" w:eastAsia="黑体;SimHei"/>
          <w:szCs w:val="32"/>
        </w:rPr>
        <w:t xml:space="preserve">第九条  </w:t>
      </w:r>
      <w:r>
        <w:rPr>
          <w:rFonts w:cs="仿宋_GB2312" w:hint="eastAsia"/>
          <w:szCs w:val="32"/>
        </w:rPr>
        <w:t>实行古建筑保护责任人制度。县（区）文物主管部门应当与古建筑保护责任人签订责任书。</w:t>
      </w:r>
    </w:p>
    <w:p>
      <w:pPr>
        <w:pStyle w:val="Normal"/>
        <w:ind w:firstLineChars="200" w:startChars="0" w:start="0" w:endChars="0" w:end="0"/>
        <w:rPr>
          <w:rFonts w:cs="仿宋_GB2312" w:hint="eastAsia"/>
          <w:szCs w:val="32"/>
        </w:rPr>
      </w:pPr>
      <w:r>
        <w:rPr>
          <w:rFonts w:cs="仿宋_GB2312" w:hint="eastAsia"/>
          <w:szCs w:val="32"/>
        </w:rPr>
        <w:t>国有古建筑，其使用人是保护责任人；使用人不明确的，古建筑所在地的乡（镇）人民政府或街道办事处是保护责任人。</w:t>
      </w:r>
    </w:p>
    <w:p>
      <w:pPr>
        <w:pStyle w:val="Normal"/>
        <w:ind w:firstLineChars="200" w:startChars="0" w:start="0" w:endChars="0" w:end="0"/>
        <w:rPr/>
      </w:pPr>
      <w:r>
        <w:rPr>
          <w:rFonts w:cs="仿宋_GB2312" w:hint="eastAsia"/>
          <w:szCs w:val="32"/>
        </w:rPr>
        <w:t>非国有古建筑，其所有权人是保护责任人；所有权人不明或者房屋权属不清晰的，使用人是保护责任人。</w:t>
      </w:r>
      <w:r>
        <w:rPr>
          <w:rFonts w:cs="黑体;SimHei" w:hint="eastAsia"/>
          <w:szCs w:val="32"/>
        </w:rPr>
        <w:t>租赁房屋另有约定的除外。</w:t>
      </w:r>
    </w:p>
    <w:p>
      <w:pPr>
        <w:pStyle w:val="Normal"/>
        <w:ind w:firstLineChars="200" w:startChars="0" w:start="0" w:endChars="0" w:end="0"/>
        <w:rPr/>
      </w:pPr>
      <w:r>
        <w:rPr>
          <w:rFonts w:cs="仿宋_GB2312" w:hint="eastAsia" w:eastAsia="黑体;SimHei"/>
          <w:szCs w:val="32"/>
        </w:rPr>
        <w:t xml:space="preserve">第十条  </w:t>
      </w:r>
      <w:r>
        <w:rPr>
          <w:rFonts w:cs="仿宋_GB2312" w:hint="eastAsia"/>
          <w:szCs w:val="32"/>
        </w:rPr>
        <w:t>古建筑保护责任人应当履行下列义务：</w:t>
      </w:r>
    </w:p>
    <w:p>
      <w:pPr>
        <w:pStyle w:val="Normal"/>
        <w:ind w:firstLineChars="200" w:startChars="0" w:start="0" w:endChars="0" w:end="0"/>
        <w:rPr>
          <w:rFonts w:cs="仿宋_GB2312" w:hint="eastAsia"/>
          <w:szCs w:val="32"/>
        </w:rPr>
      </w:pPr>
      <w:r>
        <w:rPr>
          <w:rFonts w:cs="仿宋_GB2312" w:hint="eastAsia"/>
          <w:szCs w:val="32"/>
        </w:rPr>
        <w:t>（一）对古建筑进行日常维护、维修；</w:t>
      </w:r>
    </w:p>
    <w:p>
      <w:pPr>
        <w:pStyle w:val="Normal"/>
        <w:ind w:firstLineChars="200" w:startChars="0" w:start="0" w:endChars="0" w:end="0"/>
        <w:rPr>
          <w:rFonts w:cs="仿宋_GB2312" w:hint="eastAsia"/>
          <w:szCs w:val="32"/>
        </w:rPr>
      </w:pPr>
      <w:r>
        <w:rPr>
          <w:rFonts w:cs="仿宋_GB2312" w:hint="eastAsia"/>
          <w:szCs w:val="32"/>
        </w:rPr>
        <w:t>（二）落实古建筑防火、防虫、防盗等安全措施；</w:t>
      </w:r>
    </w:p>
    <w:p>
      <w:pPr>
        <w:pStyle w:val="Normal"/>
        <w:ind w:firstLineChars="200" w:startChars="0" w:start="0" w:endChars="0" w:end="0"/>
        <w:rPr>
          <w:rFonts w:cs="仿宋_GB2312" w:hint="eastAsia"/>
          <w:szCs w:val="32"/>
        </w:rPr>
      </w:pPr>
      <w:r>
        <w:rPr>
          <w:rFonts w:cs="仿宋_GB2312" w:hint="eastAsia"/>
          <w:szCs w:val="32"/>
        </w:rPr>
        <w:t>（三）接受文物、消防等有关部门的监管、指导和培训；</w:t>
      </w:r>
    </w:p>
    <w:p>
      <w:pPr>
        <w:pStyle w:val="Normal"/>
        <w:ind w:firstLineChars="200" w:startChars="0" w:start="0" w:endChars="0" w:end="0"/>
        <w:rPr>
          <w:rFonts w:cs="仿宋_GB2312" w:hint="eastAsia"/>
          <w:szCs w:val="32"/>
        </w:rPr>
      </w:pPr>
      <w:r>
        <w:rPr>
          <w:rFonts w:cs="仿宋_GB2312" w:hint="eastAsia"/>
          <w:szCs w:val="32"/>
        </w:rPr>
        <w:t>（四）其他依法或者依据约定应当履行的保护义务。</w:t>
      </w:r>
    </w:p>
    <w:p>
      <w:pPr>
        <w:pStyle w:val="Normal"/>
        <w:ind w:firstLineChars="200" w:startChars="0" w:start="0" w:endChars="0" w:end="0"/>
        <w:rPr/>
      </w:pPr>
      <w:r>
        <w:rPr>
          <w:rFonts w:cs="仿宋_GB2312" w:hint="eastAsia" w:eastAsia="黑体;SimHei"/>
          <w:szCs w:val="32"/>
        </w:rPr>
        <w:t xml:space="preserve">第十一条  </w:t>
      </w:r>
      <w:r>
        <w:rPr>
          <w:rFonts w:cs="仿宋_GB2312" w:hint="eastAsia"/>
          <w:szCs w:val="32"/>
        </w:rPr>
        <w:t>古建筑维修应当遵循最小干预原则。维修古建筑应当制定维修方案，经所在地县（区）文物主管部门同意后实施。</w:t>
      </w:r>
    </w:p>
    <w:p>
      <w:pPr>
        <w:pStyle w:val="Normal"/>
        <w:ind w:firstLine="640" w:end="0"/>
        <w:rPr>
          <w:rFonts w:eastAsia="黑体;SimHei" w:cs="仿宋_GB2312" w:hint="eastAsia"/>
          <w:sz w:val="36"/>
          <w:szCs w:val="36"/>
          <w:u w:val="single"/>
        </w:rPr>
      </w:pPr>
      <w:r>
        <w:rPr>
          <w:rFonts w:cs="仿宋_GB2312" w:hint="eastAsia"/>
          <w:szCs w:val="32"/>
        </w:rPr>
        <w:t>古建筑维修费用应当由保护责任人承担。保护责任人承担维修费用确有困难的，可以提出申请，经所在地县（区）文物主管部门审核，报本级人民政府批准后，从古建筑保护专项资金中给予适当补助。经专项资金补助维修的古民居，其所有权人出售的，所在地县（区）文物主管部门应当从出售古民居的收益中收回补助资金，用于其他古建筑的保护。</w:t>
      </w:r>
    </w:p>
    <w:p>
      <w:pPr>
        <w:pStyle w:val="Normal"/>
        <w:ind w:firstLine="640" w:end="0"/>
        <w:rPr/>
      </w:pPr>
      <w:r>
        <w:rPr>
          <w:rFonts w:cs="仿宋_GB2312" w:hint="eastAsia"/>
          <w:sz w:val="36"/>
          <w:szCs w:val="36"/>
        </w:rPr>
        <w:t>古</w:t>
      </w:r>
      <w:r>
        <w:rPr>
          <w:rFonts w:cs="仿宋_GB2312" w:hint="eastAsia"/>
          <w:szCs w:val="32"/>
        </w:rPr>
        <w:t>建筑被辟为经营场所的，提取不低于</w:t>
      </w:r>
      <w:r>
        <w:rPr>
          <w:rFonts w:cs="仿宋_GB2312" w:hint="eastAsia"/>
          <w:szCs w:val="32"/>
        </w:rPr>
        <w:t>10%</w:t>
      </w:r>
      <w:r>
        <w:rPr>
          <w:rFonts w:cs="仿宋_GB2312" w:hint="eastAsia"/>
          <w:szCs w:val="32"/>
        </w:rPr>
        <w:t>的经营收入用于古建筑的维修、保养和安全管理，并接受所在地县（区）文物主管部门的监督检查。</w:t>
      </w:r>
    </w:p>
    <w:p>
      <w:pPr>
        <w:pStyle w:val="Normal"/>
        <w:ind w:firstLineChars="200" w:startChars="0" w:start="0" w:endChars="0" w:end="0"/>
        <w:rPr>
          <w:rFonts w:cs="仿宋_GB2312" w:hint="eastAsia"/>
          <w:szCs w:val="32"/>
        </w:rPr>
      </w:pPr>
      <w:r>
        <w:rPr>
          <w:rFonts w:cs="仿宋_GB2312" w:hint="eastAsia"/>
          <w:szCs w:val="32"/>
        </w:rPr>
        <w:t>鼓励社会力量通过出资、捐资、捐赠、设立基金等方式参与古建筑保护和利用。</w:t>
      </w:r>
    </w:p>
    <w:p>
      <w:pPr>
        <w:pStyle w:val="Normal"/>
        <w:ind w:firstLineChars="200" w:startChars="0" w:start="0" w:endChars="0" w:end="0"/>
        <w:rPr/>
      </w:pPr>
      <w:r>
        <w:rPr>
          <w:rFonts w:cs="仿宋_GB2312" w:hint="eastAsia" w:eastAsia="黑体;SimHei"/>
          <w:szCs w:val="32"/>
        </w:rPr>
        <w:t xml:space="preserve">第十二条  </w:t>
      </w:r>
      <w:r>
        <w:rPr>
          <w:rFonts w:cs="仿宋_GB2312" w:hint="eastAsia"/>
          <w:szCs w:val="32"/>
        </w:rPr>
        <w:t>古建筑有损毁危险时，保护责任人应当立即采取必要的措施对古建筑进行抢险加固，并向所在地乡（镇）人民政府或街道办事处报告，也可以直接向县（区）文物主管部门报告。县（区）文物主管部门对古建筑抢救性保护工作进行现场勘察、指导。</w:t>
      </w:r>
    </w:p>
    <w:p>
      <w:pPr>
        <w:pStyle w:val="Normal"/>
        <w:ind w:firstLineChars="200" w:startChars="0" w:start="0" w:endChars="0" w:end="0"/>
        <w:rPr>
          <w:rFonts w:cs="仿宋_GB2312" w:hint="eastAsia"/>
          <w:szCs w:val="32"/>
        </w:rPr>
      </w:pPr>
      <w:r>
        <w:rPr>
          <w:rFonts w:cs="仿宋_GB2312" w:hint="eastAsia"/>
          <w:szCs w:val="32"/>
        </w:rPr>
        <w:t>保护责任人未履行维护责任或者未尽到维修义务的，古建筑所在地乡（镇）人民政府或街道办事处应当及时督促保护责任人履行维修责任。</w:t>
      </w:r>
    </w:p>
    <w:p>
      <w:pPr>
        <w:pStyle w:val="Normal"/>
        <w:ind w:firstLineChars="200" w:startChars="0" w:start="0" w:endChars="0" w:end="0"/>
        <w:rPr/>
      </w:pPr>
      <w:r>
        <w:rPr>
          <w:rFonts w:cs="仿宋_GB2312" w:hint="eastAsia" w:eastAsia="黑体;SimHei"/>
          <w:szCs w:val="32"/>
        </w:rPr>
        <w:t xml:space="preserve">第十三条  </w:t>
      </w:r>
      <w:r>
        <w:rPr>
          <w:rFonts w:cs="仿宋_GB2312" w:hint="eastAsia"/>
          <w:szCs w:val="32"/>
        </w:rPr>
        <w:t>古建筑应当原址保护。因地质灾害、重大工程建设等原因，确实无法原址保护的，可以通过迁移进行保护。</w:t>
      </w:r>
    </w:p>
    <w:p>
      <w:pPr>
        <w:pStyle w:val="Normal"/>
        <w:ind w:firstLineChars="200" w:startChars="0" w:start="0" w:endChars="0" w:end="0"/>
        <w:rPr>
          <w:rFonts w:cs="仿宋_GB2312" w:hint="eastAsia"/>
          <w:szCs w:val="32"/>
        </w:rPr>
      </w:pPr>
      <w:r>
        <w:rPr>
          <w:rFonts w:cs="仿宋_GB2312" w:hint="eastAsia"/>
          <w:szCs w:val="32"/>
        </w:rPr>
        <w:t>古建筑需迁移保护的，由所有权人提出申请，经县（区）文物主管部门审核，报市文物主管部门批准。迁移出本市范围的，应当报市人民政府批准。</w:t>
      </w:r>
    </w:p>
    <w:p>
      <w:pPr>
        <w:pStyle w:val="Normal"/>
        <w:ind w:firstLineChars="200" w:startChars="0" w:start="0" w:endChars="0" w:end="0"/>
        <w:rPr>
          <w:rFonts w:cs="仿宋_GB2312" w:hint="eastAsia"/>
          <w:szCs w:val="32"/>
        </w:rPr>
      </w:pPr>
      <w:r>
        <w:rPr>
          <w:rFonts w:cs="仿宋_GB2312" w:hint="eastAsia"/>
          <w:szCs w:val="32"/>
        </w:rPr>
        <w:t>经批准实施迁移保护的古建筑，实施单位应当做好测绘、文字、影像等建档工作。</w:t>
      </w:r>
    </w:p>
    <w:p>
      <w:pPr>
        <w:pStyle w:val="Normal"/>
        <w:ind w:firstLineChars="200" w:startChars="0" w:start="0" w:endChars="0" w:end="0"/>
        <w:rPr/>
      </w:pPr>
      <w:r>
        <w:rPr>
          <w:rFonts w:cs="仿宋_GB2312" w:hint="eastAsia" w:eastAsia="黑体;SimHei"/>
          <w:szCs w:val="32"/>
        </w:rPr>
        <w:t xml:space="preserve">第十四条  </w:t>
      </w:r>
      <w:r>
        <w:rPr>
          <w:rFonts w:cs="仿宋_GB2312" w:hint="eastAsia"/>
          <w:szCs w:val="32"/>
        </w:rPr>
        <w:t>对国有古建筑散落构件，由所在地文物主管部门保管或者收藏，并登记造册。</w:t>
      </w:r>
    </w:p>
    <w:p>
      <w:pPr>
        <w:pStyle w:val="Normal"/>
        <w:ind w:firstLineChars="200" w:startChars="0" w:start="0" w:endChars="0" w:end="0"/>
        <w:rPr>
          <w:rFonts w:cs="仿宋_GB2312" w:hint="eastAsia"/>
          <w:szCs w:val="32"/>
        </w:rPr>
      </w:pPr>
      <w:r>
        <w:rPr>
          <w:rFonts w:cs="仿宋_GB2312" w:hint="eastAsia"/>
          <w:szCs w:val="32"/>
        </w:rPr>
        <w:t>鼓励本市的文物收藏单位对非国有古建筑散落构件征集保护。</w:t>
      </w:r>
    </w:p>
    <w:p>
      <w:pPr>
        <w:pStyle w:val="Normal"/>
        <w:ind w:firstLineChars="200" w:startChars="0" w:start="0" w:endChars="0" w:end="0"/>
        <w:rPr>
          <w:rFonts w:cs="仿宋_GB2312" w:hint="eastAsia"/>
          <w:szCs w:val="32"/>
        </w:rPr>
      </w:pPr>
      <w:r>
        <w:rPr>
          <w:rFonts w:cs="仿宋_GB2312" w:hint="eastAsia"/>
          <w:szCs w:val="32"/>
        </w:rPr>
        <w:t>捐赠古建筑散落构件给文物收藏单位的，可以给予适当补偿。</w:t>
      </w:r>
    </w:p>
    <w:p>
      <w:pPr>
        <w:pStyle w:val="Normal"/>
        <w:ind w:firstLineChars="200" w:startChars="0" w:start="0" w:endChars="0" w:end="0"/>
        <w:rPr/>
      </w:pPr>
      <w:r>
        <w:rPr>
          <w:rFonts w:cs="仿宋_GB2312" w:hint="eastAsia" w:eastAsia="黑体;SimHei"/>
          <w:szCs w:val="32"/>
        </w:rPr>
        <w:t xml:space="preserve">第十五条  </w:t>
      </w:r>
      <w:r>
        <w:rPr>
          <w:rFonts w:cs="仿宋_GB2312" w:hint="eastAsia"/>
          <w:szCs w:val="32"/>
        </w:rPr>
        <w:t>市、县（区）公安机关、文物主管部门应当加强古建筑消防工作监督管理，制定消防安全整治方案，组织开展古建筑消防安全排查整治，消除火灾隐患。古建筑所在地乡（镇）人民政府或街道办事处应当配备消防安全员，开展日常消防安全巡查。</w:t>
      </w:r>
    </w:p>
    <w:p>
      <w:pPr>
        <w:pStyle w:val="Normal"/>
        <w:ind w:firstLine="640" w:end="0"/>
        <w:rPr>
          <w:rFonts w:cs="仿宋_GB2312" w:hint="eastAsia"/>
          <w:szCs w:val="32"/>
        </w:rPr>
      </w:pPr>
      <w:r>
        <w:rPr>
          <w:rFonts w:cs="仿宋_GB2312" w:hint="eastAsia"/>
          <w:szCs w:val="32"/>
        </w:rPr>
        <w:t>古建筑保护责任人应当加强日常消防安全管理，履行消防安全职责，配备必要的消防安全设施设备，完善消防安全技术措施。鼓励在不损害古建筑结构的前提下，采用先进消防和应急救援技术、设备。</w:t>
      </w:r>
    </w:p>
    <w:p>
      <w:pPr>
        <w:pStyle w:val="Normal"/>
        <w:ind w:firstLineChars="200" w:startChars="0" w:start="0" w:endChars="0" w:end="0"/>
        <w:rPr/>
      </w:pPr>
      <w:r>
        <w:rPr>
          <w:rFonts w:cs="仿宋_GB2312" w:hint="eastAsia" w:eastAsia="黑体;SimHei"/>
          <w:szCs w:val="32"/>
        </w:rPr>
        <w:t xml:space="preserve">第十六条  </w:t>
      </w:r>
      <w:r>
        <w:rPr>
          <w:rFonts w:cs="仿宋_GB2312" w:hint="eastAsia"/>
          <w:szCs w:val="32"/>
        </w:rPr>
        <w:t>市、县（区）文物主管部门和有关部门应当加强对古建筑的白蚁、粉蠹、黑蜂等有害生物的防治。防治古建筑有害生物应当防止环境污染或危害人体健康。</w:t>
      </w:r>
    </w:p>
    <w:p>
      <w:pPr>
        <w:pStyle w:val="Normal"/>
        <w:ind w:firstLineChars="200" w:startChars="0" w:start="0" w:endChars="0" w:end="0"/>
        <w:rPr/>
      </w:pPr>
      <w:r>
        <w:rPr>
          <w:rFonts w:cs="仿宋_GB2312" w:hint="eastAsia" w:eastAsia="黑体;SimHei"/>
          <w:szCs w:val="32"/>
        </w:rPr>
        <w:t xml:space="preserve">第十七条  </w:t>
      </w:r>
      <w:r>
        <w:rPr>
          <w:rFonts w:cs="仿宋_GB2312" w:hint="eastAsia"/>
          <w:szCs w:val="32"/>
        </w:rPr>
        <w:t>古建筑修缮应当采用传统工艺技术和原有材质，适度运用已验证有利于古建筑长期保护的、可逆性的新工艺技术和新材料。</w:t>
      </w:r>
    </w:p>
    <w:p>
      <w:pPr>
        <w:pStyle w:val="Normal"/>
        <w:ind w:firstLineChars="200" w:startChars="0" w:start="0" w:endChars="0" w:end="0"/>
        <w:rPr/>
      </w:pPr>
      <w:r>
        <w:rPr>
          <w:rFonts w:cs="仿宋_GB2312" w:hint="eastAsia" w:eastAsia="黑体;SimHei"/>
          <w:szCs w:val="32"/>
        </w:rPr>
        <w:t xml:space="preserve">第十八条  </w:t>
      </w:r>
      <w:r>
        <w:rPr>
          <w:rFonts w:cs="仿宋_GB2312" w:hint="eastAsia"/>
          <w:szCs w:val="32"/>
        </w:rPr>
        <w:t>禁止下列危害和影响古建筑安全和景观的行为：</w:t>
      </w:r>
    </w:p>
    <w:p>
      <w:pPr>
        <w:pStyle w:val="Normal"/>
        <w:ind w:firstLineChars="200" w:startChars="0" w:start="0" w:endChars="0" w:end="0"/>
        <w:rPr>
          <w:rFonts w:cs="仿宋_GB2312" w:hint="eastAsia"/>
          <w:szCs w:val="32"/>
        </w:rPr>
      </w:pPr>
      <w:r>
        <w:rPr>
          <w:rFonts w:cs="仿宋_GB2312" w:hint="eastAsia"/>
          <w:szCs w:val="32"/>
        </w:rPr>
        <w:t>（一）外墙上增设、拆改门窗等擅自改变古建筑外观和风貌；</w:t>
      </w:r>
    </w:p>
    <w:p>
      <w:pPr>
        <w:pStyle w:val="Normal"/>
        <w:ind w:firstLineChars="200" w:startChars="0" w:start="0" w:endChars="0" w:end="0"/>
        <w:rPr>
          <w:rFonts w:cs="仿宋_GB2312" w:hint="eastAsia"/>
          <w:szCs w:val="32"/>
        </w:rPr>
      </w:pPr>
      <w:r>
        <w:rPr>
          <w:rFonts w:cs="仿宋_GB2312" w:hint="eastAsia"/>
          <w:szCs w:val="32"/>
        </w:rPr>
        <w:t>（二）擅自拆卸古建筑构件；</w:t>
      </w:r>
    </w:p>
    <w:p>
      <w:pPr>
        <w:pStyle w:val="Normal"/>
        <w:ind w:firstLineChars="200" w:startChars="0" w:start="0" w:endChars="0" w:end="0"/>
        <w:rPr>
          <w:rFonts w:cs="仿宋_GB2312" w:hint="eastAsia"/>
          <w:szCs w:val="32"/>
        </w:rPr>
      </w:pPr>
      <w:r>
        <w:rPr>
          <w:rFonts w:cs="仿宋_GB2312" w:hint="eastAsia"/>
          <w:szCs w:val="32"/>
        </w:rPr>
        <w:t>（三）损坏古建筑承重结构；</w:t>
      </w:r>
    </w:p>
    <w:p>
      <w:pPr>
        <w:pStyle w:val="Normal"/>
        <w:ind w:firstLineChars="200" w:startChars="0" w:start="0" w:endChars="0" w:end="0"/>
        <w:rPr>
          <w:rFonts w:cs="仿宋_GB2312" w:hint="eastAsia"/>
          <w:szCs w:val="32"/>
        </w:rPr>
      </w:pPr>
      <w:r>
        <w:rPr>
          <w:rFonts w:cs="仿宋_GB2312" w:hint="eastAsia"/>
          <w:szCs w:val="32"/>
        </w:rPr>
        <w:t>（四）违法搭建建筑物；</w:t>
      </w:r>
    </w:p>
    <w:p>
      <w:pPr>
        <w:pStyle w:val="Normal"/>
        <w:ind w:firstLineChars="200" w:startChars="0" w:start="0" w:endChars="0" w:end="0"/>
        <w:rPr>
          <w:rFonts w:cs="仿宋_GB2312" w:hint="eastAsia"/>
          <w:szCs w:val="32"/>
        </w:rPr>
      </w:pPr>
      <w:r>
        <w:rPr>
          <w:rFonts w:cs="仿宋_GB2312" w:hint="eastAsia"/>
          <w:szCs w:val="32"/>
        </w:rPr>
        <w:t>（五）古建筑内生产、经营、储存、堆放易燃、易爆、剧毒、放射性和腐蚀性等危险物品；</w:t>
      </w:r>
    </w:p>
    <w:p>
      <w:pPr>
        <w:pStyle w:val="Normal"/>
        <w:ind w:firstLineChars="200" w:startChars="0" w:start="0" w:endChars="0" w:end="0"/>
        <w:rPr>
          <w:rFonts w:cs="仿宋_GB2312" w:hint="eastAsia"/>
          <w:szCs w:val="32"/>
        </w:rPr>
      </w:pPr>
      <w:r>
        <w:rPr>
          <w:rFonts w:cs="仿宋_GB2312" w:hint="eastAsia"/>
          <w:szCs w:val="32"/>
        </w:rPr>
        <w:t>（六）对古井或者古水系填埋、覆压、截断等；</w:t>
      </w:r>
    </w:p>
    <w:p>
      <w:pPr>
        <w:pStyle w:val="Normal"/>
        <w:ind w:firstLineChars="200" w:startChars="0" w:start="0" w:endChars="0" w:end="0"/>
        <w:rPr>
          <w:rFonts w:cs="仿宋_GB2312" w:hint="eastAsia"/>
          <w:szCs w:val="32"/>
        </w:rPr>
      </w:pPr>
      <w:r>
        <w:rPr>
          <w:rFonts w:cs="仿宋_GB2312" w:hint="eastAsia"/>
          <w:szCs w:val="32"/>
        </w:rPr>
        <w:t>（七）对古道挖毁截断、盗取石材、覆盖路面、改造硬化等；</w:t>
      </w:r>
    </w:p>
    <w:p>
      <w:pPr>
        <w:pStyle w:val="Normal"/>
        <w:ind w:firstLineChars="200" w:startChars="0" w:start="0" w:endChars="0" w:end="0"/>
        <w:rPr>
          <w:rFonts w:cs="仿宋_GB2312" w:hint="eastAsia"/>
          <w:szCs w:val="32"/>
        </w:rPr>
      </w:pPr>
      <w:r>
        <w:rPr>
          <w:rFonts w:cs="仿宋_GB2312" w:hint="eastAsia"/>
          <w:szCs w:val="32"/>
        </w:rPr>
        <w:t>（八）其他危害和影响古建筑安全的行为。</w:t>
      </w:r>
    </w:p>
    <w:p>
      <w:pPr>
        <w:pStyle w:val="Normal"/>
        <w:ind w:firstLineChars="200" w:startChars="0" w:start="0" w:endChars="0" w:end="0"/>
        <w:jc w:val="start"/>
        <w:rPr/>
      </w:pPr>
      <w:r>
        <w:rPr>
          <w:rFonts w:cs="仿宋_GB2312" w:hint="eastAsia" w:eastAsia="黑体;SimHei"/>
          <w:szCs w:val="32"/>
        </w:rPr>
        <w:t xml:space="preserve">第十九条  </w:t>
      </w:r>
      <w:r>
        <w:rPr>
          <w:rFonts w:cs="仿宋_GB2312" w:hint="eastAsia"/>
          <w:szCs w:val="32"/>
        </w:rPr>
        <w:t>利用古建筑应当保持古建筑周边环境原有的人文生态及历史风貌</w:t>
      </w:r>
      <w:r>
        <w:rPr>
          <w:rFonts w:cs="仿宋_GB2312" w:hint="eastAsia" w:eastAsia="黑体;SimHei"/>
          <w:szCs w:val="32"/>
        </w:rPr>
        <w:t>，</w:t>
      </w:r>
      <w:r>
        <w:rPr>
          <w:rFonts w:cs="仿宋_GB2312" w:hint="eastAsia"/>
          <w:szCs w:val="32"/>
        </w:rPr>
        <w:t>不得破坏古建筑原有内部结构。古建筑使用人应当制定古建筑利用方案，报文物主管部门审查同意后实施。</w:t>
      </w:r>
    </w:p>
    <w:p>
      <w:pPr>
        <w:pStyle w:val="Normal"/>
        <w:ind w:firstLineChars="200" w:startChars="0" w:start="0" w:endChars="0" w:end="0"/>
        <w:rPr/>
      </w:pPr>
      <w:r>
        <w:rPr>
          <w:rFonts w:cs="仿宋_GB2312" w:hint="eastAsia" w:eastAsia="黑体;SimHei"/>
          <w:szCs w:val="32"/>
        </w:rPr>
        <w:t xml:space="preserve">第二十条  </w:t>
      </w:r>
      <w:r>
        <w:rPr>
          <w:rFonts w:cs="仿宋_GB2312" w:hint="eastAsia"/>
          <w:bCs/>
          <w:szCs w:val="32"/>
        </w:rPr>
        <w:t>鼓励</w:t>
      </w:r>
      <w:r>
        <w:rPr>
          <w:rFonts w:cs="仿宋_GB2312" w:hint="eastAsia"/>
          <w:szCs w:val="32"/>
        </w:rPr>
        <w:t>通过以下方式依法合理利用古建筑：</w:t>
      </w:r>
    </w:p>
    <w:p>
      <w:pPr>
        <w:pStyle w:val="Normal"/>
        <w:ind w:firstLineChars="200" w:startChars="0" w:start="0" w:endChars="0" w:end="0"/>
        <w:rPr>
          <w:rFonts w:cs="仿宋_GB2312" w:hint="eastAsia"/>
          <w:szCs w:val="32"/>
        </w:rPr>
      </w:pPr>
      <w:r>
        <w:rPr>
          <w:rFonts w:cs="仿宋_GB2312" w:hint="eastAsia"/>
          <w:szCs w:val="32"/>
        </w:rPr>
        <w:t>（一）开办博物馆、图书馆、美术馆、纪念馆 ；</w:t>
      </w:r>
    </w:p>
    <w:p>
      <w:pPr>
        <w:pStyle w:val="Normal"/>
        <w:ind w:firstLineChars="200" w:startChars="0" w:start="0" w:endChars="0" w:end="0"/>
        <w:rPr>
          <w:rFonts w:cs="仿宋_GB2312" w:hint="eastAsia"/>
          <w:szCs w:val="32"/>
        </w:rPr>
      </w:pPr>
      <w:r>
        <w:rPr>
          <w:rFonts w:cs="仿宋_GB2312" w:hint="eastAsia"/>
          <w:szCs w:val="32"/>
        </w:rPr>
        <w:t>（二）开设徽州民间艺术、传统工艺、民俗展示、非遗传习场所；</w:t>
      </w:r>
    </w:p>
    <w:p>
      <w:pPr>
        <w:pStyle w:val="Normal"/>
        <w:ind w:firstLineChars="200" w:startChars="0" w:start="0" w:endChars="0" w:end="0"/>
        <w:rPr>
          <w:rFonts w:cs="仿宋_GB2312" w:hint="eastAsia"/>
          <w:szCs w:val="32"/>
        </w:rPr>
      </w:pPr>
      <w:r>
        <w:rPr>
          <w:rFonts w:cs="仿宋_GB2312" w:hint="eastAsia"/>
          <w:szCs w:val="32"/>
        </w:rPr>
        <w:t>（三）开办教育培训、文化创意基地；</w:t>
      </w:r>
    </w:p>
    <w:p>
      <w:pPr>
        <w:pStyle w:val="Normal"/>
        <w:ind w:firstLineChars="200" w:startChars="0" w:start="0" w:endChars="0" w:end="0"/>
        <w:rPr>
          <w:rFonts w:cs="仿宋_GB2312" w:hint="eastAsia"/>
          <w:szCs w:val="32"/>
        </w:rPr>
      </w:pPr>
      <w:r>
        <w:rPr>
          <w:rFonts w:cs="仿宋_GB2312" w:hint="eastAsia"/>
          <w:szCs w:val="32"/>
        </w:rPr>
        <w:t>（四）开发旅游景点；</w:t>
      </w:r>
    </w:p>
    <w:p>
      <w:pPr>
        <w:pStyle w:val="Normal"/>
        <w:ind w:firstLineChars="200" w:startChars="0" w:start="0" w:endChars="0" w:end="0"/>
        <w:rPr>
          <w:rFonts w:cs="仿宋_GB2312" w:hint="eastAsia"/>
          <w:szCs w:val="32"/>
        </w:rPr>
      </w:pPr>
      <w:r>
        <w:rPr>
          <w:rFonts w:cs="仿宋_GB2312" w:hint="eastAsia"/>
          <w:szCs w:val="32"/>
        </w:rPr>
        <w:t>（五）开办民宿、客栈；</w:t>
      </w:r>
    </w:p>
    <w:p>
      <w:pPr>
        <w:pStyle w:val="Normal"/>
        <w:ind w:firstLineChars="200" w:startChars="0" w:start="0" w:endChars="0" w:end="0"/>
        <w:rPr>
          <w:rFonts w:cs="仿宋_GB2312" w:hint="eastAsia"/>
          <w:szCs w:val="32"/>
        </w:rPr>
      </w:pPr>
      <w:r>
        <w:rPr>
          <w:rFonts w:cs="仿宋_GB2312" w:hint="eastAsia"/>
          <w:szCs w:val="32"/>
        </w:rPr>
        <w:t>（六）举办文化体验活动；</w:t>
      </w:r>
    </w:p>
    <w:p>
      <w:pPr>
        <w:pStyle w:val="Normal"/>
        <w:ind w:firstLineChars="200" w:startChars="0" w:start="0" w:endChars="0" w:end="0"/>
        <w:rPr>
          <w:rFonts w:cs="仿宋_GB2312" w:hint="eastAsia"/>
          <w:szCs w:val="32"/>
        </w:rPr>
      </w:pPr>
      <w:r>
        <w:rPr>
          <w:rFonts w:cs="仿宋_GB2312" w:hint="eastAsia"/>
          <w:szCs w:val="32"/>
        </w:rPr>
        <w:t>（七）其他有利于古建筑保护的利用方式。</w:t>
      </w:r>
    </w:p>
    <w:p>
      <w:pPr>
        <w:pStyle w:val="Normal"/>
        <w:ind w:firstLineChars="200" w:startChars="0" w:start="0" w:endChars="0" w:end="0"/>
        <w:rPr/>
      </w:pPr>
      <w:r>
        <w:rPr>
          <w:rFonts w:cs="仿宋_GB2312" w:hint="eastAsia" w:eastAsia="黑体;SimHei"/>
          <w:szCs w:val="32"/>
        </w:rPr>
        <w:t xml:space="preserve">第二十一条  </w:t>
      </w:r>
      <w:r>
        <w:rPr>
          <w:rFonts w:cs="仿宋_GB2312" w:hint="eastAsia"/>
          <w:szCs w:val="32"/>
        </w:rPr>
        <w:t>公民、法人和其他组织可以通过合法流转方式取得古民居所有权或者使用权。</w:t>
      </w:r>
    </w:p>
    <w:p>
      <w:pPr>
        <w:pStyle w:val="Normal"/>
        <w:ind w:firstLineChars="200" w:startChars="0" w:start="0" w:endChars="0" w:end="0"/>
        <w:rPr>
          <w:rFonts w:cs="仿宋_GB2312" w:hint="eastAsia"/>
          <w:szCs w:val="32"/>
        </w:rPr>
      </w:pPr>
      <w:r>
        <w:rPr>
          <w:rFonts w:cs="仿宋_GB2312" w:hint="eastAsia"/>
          <w:szCs w:val="32"/>
        </w:rPr>
        <w:t>为公共利益的需要，集体土地上的古民居可以按照法律规定进行征收。</w:t>
      </w:r>
    </w:p>
    <w:p>
      <w:pPr>
        <w:pStyle w:val="Normal"/>
        <w:ind w:firstLineChars="200" w:startChars="0" w:start="0" w:endChars="0" w:end="0"/>
        <w:rPr>
          <w:rFonts w:cs="仿宋_GB2312" w:hint="eastAsia"/>
          <w:szCs w:val="32"/>
        </w:rPr>
      </w:pPr>
      <w:r>
        <w:rPr>
          <w:rFonts w:cs="仿宋_GB2312" w:hint="eastAsia"/>
          <w:szCs w:val="32"/>
        </w:rPr>
        <w:t>市人民政府整合全市古民居产权集中交易平台，促进古民居产权依法有序流转。</w:t>
      </w:r>
    </w:p>
    <w:p>
      <w:pPr>
        <w:pStyle w:val="Normal"/>
        <w:ind w:firstLineChars="200" w:startChars="0" w:start="0" w:endChars="0" w:end="0"/>
        <w:rPr/>
      </w:pPr>
      <w:r>
        <w:rPr>
          <w:rFonts w:cs="仿宋_GB2312" w:hint="eastAsia" w:eastAsia="黑体;SimHei"/>
          <w:szCs w:val="32"/>
        </w:rPr>
        <w:t xml:space="preserve">第二十二条  </w:t>
      </w:r>
      <w:r>
        <w:rPr>
          <w:rFonts w:cs="仿宋_GB2312" w:hint="eastAsia"/>
          <w:szCs w:val="32"/>
        </w:rPr>
        <w:t>违反本条例第八条第二款规定的，由古建筑所在地文物主管部门责令改正；造成严重后果的，处一万元以上十万元以下的罚款；造成损失的，依法承担赔偿责任。</w:t>
      </w:r>
    </w:p>
    <w:p>
      <w:pPr>
        <w:pStyle w:val="Normal"/>
        <w:ind w:firstLineChars="200" w:startChars="0" w:start="0" w:endChars="0" w:end="0"/>
        <w:rPr/>
      </w:pPr>
      <w:r>
        <w:rPr>
          <w:rFonts w:cs="仿宋_GB2312" w:hint="eastAsia" w:eastAsia="黑体;SimHei"/>
          <w:szCs w:val="32"/>
        </w:rPr>
        <w:t xml:space="preserve">第二十三条  </w:t>
      </w:r>
      <w:r>
        <w:rPr>
          <w:rFonts w:cs="仿宋_GB2312" w:hint="eastAsia"/>
          <w:szCs w:val="32"/>
        </w:rPr>
        <w:t>违反本条例第十一条第一款、第十九条规定，未制定或未严格落实古建筑维修、利用方案的，由古建筑所在地的文物主管部门责令限期改正。</w:t>
      </w:r>
    </w:p>
    <w:p>
      <w:pPr>
        <w:pStyle w:val="Normal"/>
        <w:ind w:firstLineChars="200" w:startChars="0" w:start="0" w:endChars="0" w:end="0"/>
        <w:rPr/>
      </w:pPr>
      <w:r>
        <w:rPr>
          <w:rFonts w:cs="仿宋_GB2312" w:hint="eastAsia" w:eastAsia="黑体;SimHei"/>
          <w:szCs w:val="32"/>
        </w:rPr>
        <w:t xml:space="preserve">第二十四条  </w:t>
      </w:r>
      <w:r>
        <w:rPr>
          <w:rFonts w:cs="仿宋_GB2312" w:hint="eastAsia"/>
          <w:szCs w:val="32"/>
        </w:rPr>
        <w:t>违反本条例第十三条第二款规定，擅自迁移古建筑的，由市、县（区）人民政府文物主管部门责令改正、限期恢复原状；造成严重后果的，处一万元以上十万元以下罚款。</w:t>
      </w:r>
    </w:p>
    <w:p>
      <w:pPr>
        <w:pStyle w:val="Normal"/>
        <w:ind w:firstLineChars="200" w:startChars="0" w:start="0" w:endChars="0" w:end="0"/>
        <w:rPr/>
      </w:pPr>
      <w:r>
        <w:rPr>
          <w:rFonts w:cs="仿宋_GB2312" w:hint="eastAsia" w:eastAsia="黑体;SimHei"/>
          <w:szCs w:val="32"/>
        </w:rPr>
        <w:t xml:space="preserve">第二十五条  </w:t>
      </w:r>
      <w:r>
        <w:rPr>
          <w:rFonts w:cs="仿宋_GB2312" w:hint="eastAsia"/>
          <w:szCs w:val="32"/>
        </w:rPr>
        <w:t>违反本条例第十八条第一项、第二项、第三项、第四项、第六项、第七项规定的，由古建筑所在地文物主管部门责令其停止违法行为、限期恢复原状；造成严重后果的，对单位并处一万元以上五万元以下的罚款，对个人并处二千元以上一万元以下罚款；造成损失的，依法承担赔偿责任。</w:t>
      </w:r>
    </w:p>
    <w:p>
      <w:pPr>
        <w:pStyle w:val="Normal"/>
        <w:ind w:firstLineChars="200" w:startChars="0" w:start="0" w:endChars="0" w:end="0"/>
        <w:rPr/>
      </w:pPr>
      <w:r>
        <w:rPr>
          <w:rFonts w:cs="仿宋_GB2312" w:hint="eastAsia" w:eastAsia="黑体;SimHei"/>
          <w:szCs w:val="32"/>
        </w:rPr>
        <w:t xml:space="preserve">第二十六条  </w:t>
      </w:r>
      <w:r>
        <w:rPr>
          <w:rFonts w:cs="仿宋_GB2312" w:hint="eastAsia"/>
          <w:szCs w:val="32"/>
        </w:rPr>
        <w:t>文物主管部门和其他有关部门及其工作人员玩忽职守、滥用职权、徇私舞弊的，对直接负责的主管人员和其他直接责任人员，依法给予处分；构成犯罪的，依法追究刑事责任。</w:t>
      </w:r>
    </w:p>
    <w:p>
      <w:pPr>
        <w:pStyle w:val="Normal"/>
        <w:ind w:firstLineChars="200" w:startChars="0" w:start="0" w:endChars="0" w:end="0"/>
        <w:rPr>
          <w:rFonts w:cs="仿宋_GB2312" w:hint="eastAsia"/>
          <w:szCs w:val="32"/>
        </w:rPr>
      </w:pPr>
      <w:r>
        <w:rPr>
          <w:rFonts w:cs="仿宋_GB2312" w:hint="eastAsia" w:eastAsia="黑体;SimHei"/>
          <w:szCs w:val="32"/>
        </w:rPr>
        <w:t>第二十七条</w:t>
      </w:r>
      <w:r>
        <w:rPr>
          <w:rFonts w:cs="仿宋_GB2312" w:hint="eastAsia"/>
          <w:szCs w:val="32"/>
        </w:rPr>
        <w:t xml:space="preserve">  </w:t>
      </w:r>
      <w:r>
        <w:rPr>
          <w:rFonts w:hint="eastAsia"/>
          <w:color w:val="000000"/>
          <w:szCs w:val="32"/>
        </w:rPr>
        <w:t>违反本条例规定的行为，法律、法规已有法律责任规定的，依照其规定处罚。</w:t>
      </w:r>
    </w:p>
    <w:p>
      <w:pPr>
        <w:pStyle w:val="Normal"/>
        <w:ind w:firstLineChars="200" w:startChars="0" w:start="0" w:endChars="0" w:end="0"/>
        <w:rPr>
          <w:szCs w:val="32"/>
        </w:rPr>
      </w:pPr>
      <w:r>
        <w:rPr>
          <w:rFonts w:cs="黑体;SimHei" w:hint="eastAsia" w:eastAsia="黑体;SimHei"/>
          <w:szCs w:val="32"/>
        </w:rPr>
        <w:t>第二十</w:t>
      </w:r>
      <w:r>
        <w:rPr>
          <w:rFonts w:ascii="黑体;SimHei" w:hAnsi="黑体;SimHei" w:cs="黑体;SimHei" w:hint="eastAsia" w:eastAsia="黑体;SimHei"/>
          <w:szCs w:val="32"/>
        </w:rPr>
        <w:t>八</w:t>
      </w:r>
      <w:r>
        <w:rPr>
          <w:rFonts w:cs="黑体;SimHei" w:hint="eastAsia" w:eastAsia="黑体;SimHei"/>
          <w:szCs w:val="32"/>
        </w:rPr>
        <w:t xml:space="preserve">条  </w:t>
      </w:r>
      <w:r>
        <w:rPr>
          <w:rFonts w:cs="仿宋_GB2312" w:hint="eastAsia"/>
          <w:szCs w:val="32"/>
        </w:rPr>
        <w:t>本条例自</w:t>
      </w:r>
      <w:r>
        <w:rPr>
          <w:rFonts w:cs="仿宋_GB2312" w:hint="eastAsia"/>
          <w:szCs w:val="32"/>
        </w:rPr>
        <w:t>2018</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18</w:t>
      </w:r>
      <w:r>
        <w:rPr>
          <w:rFonts w:cs="仿宋_GB2312" w:hint="eastAsia"/>
          <w:szCs w:val="32"/>
        </w:rPr>
        <w:t>日起实施。</w:t>
      </w:r>
    </w:p>
    <w:p>
      <w:pPr>
        <w:pStyle w:val="Normal"/>
        <w:rPr>
          <w:rFonts w:hint="eastAsia"/>
          <w:szCs w:val="32"/>
        </w:rPr>
      </w:pPr>
      <w:r>
        <w:rPr>
          <w:rFonts w:hint="eastAsia"/>
          <w:szCs w:val="32"/>
        </w:rPr>
      </w:r>
    </w:p>
    <w:p>
      <w:pPr>
        <w:pStyle w:val="Normal"/>
        <w:rPr>
          <w:rFonts w:hint="eastAsia"/>
          <w:szCs w:val="32"/>
        </w:rPr>
      </w:pPr>
      <w:r>
        <w:rPr>
          <w:rFonts w:hint="eastAsia"/>
          <w:szCs w:val="32"/>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Calibri">
    <w:charset w:val="00" w:characterSet="windows-1252"/>
    <w:family w:val="swiss"/>
    <w:pitch w:val="variable"/>
  </w:font>
  <w:font w:name="方正小标宋简体">
    <w:charset w:val="86"/>
    <w:family w:val="auto"/>
    <w:pitch w:val="variable"/>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13410" cy="553720"/>
              <wp:effectExtent l="0" t="0" r="0" b="0"/>
              <wp:wrapSquare wrapText="bothSides"/>
              <wp:docPr id="1" name="Frame1"/>
              <a:graphic xmlns:a="http://schemas.openxmlformats.org/drawingml/2006/main">
                <a:graphicData uri="http://schemas.microsoft.com/office/word/2010/wordprocessingShape">
                  <wps:wsp>
                    <wps:cNvSpPr txBox="1"/>
                    <wps:spPr>
                      <a:xfrm>
                        <a:off x="0" y="0"/>
                        <a:ext cx="613410" cy="55372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8.3pt;height:43.6pt;mso-wrap-distance-left:0pt;mso-wrap-distance-right:0pt;mso-wrap-distance-top:0pt;mso-wrap-distance-bottom:0pt;margin-top:0.05pt;mso-position-vertical-relative:text;margin-left:393.9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cs="宋体;SimSun"/>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eastAsia="宋体;SimSun"/>
      <w:b/>
      <w:kern w:val="2"/>
      <w:sz w:val="44"/>
      <w:szCs w:val="28"/>
    </w:rPr>
  </w:style>
  <w:style w:type="character" w:styleId="WW8Num1z0">
    <w:name w:val="WW8Num1z0"/>
    <w:qFormat/>
    <w:rPr/>
  </w:style>
  <w:style w:type="character" w:styleId="WW8Num2z0">
    <w:name w:val="WW8Num2z0"/>
    <w:qFormat/>
    <w:rPr/>
  </w:style>
  <w:style w:type="character" w:styleId="WW8Num6z0">
    <w:name w:val="WW8Num6z0"/>
    <w:qFormat/>
    <w:rPr/>
  </w:style>
  <w:style w:type="character" w:styleId="WW8Num7z0">
    <w:name w:val="WW8Num7z0"/>
    <w:qFormat/>
    <w:rPr/>
  </w:style>
  <w:style w:type="character" w:styleId="Style13">
    <w:name w:val="默认段落字体"/>
    <w:qFormat/>
    <w:rPr/>
  </w:style>
  <w:style w:type="character" w:styleId="PageNumber">
    <w:name w:val="page number"/>
    <w:basedOn w:val="Style13"/>
    <w:rPr/>
  </w:style>
  <w:style w:type="character" w:styleId="Strong">
    <w:name w:val="Strong"/>
    <w:qFormat/>
    <w:rPr>
      <w:rFonts w:ascii="Times New Roman" w:hAnsi="Times New Roman" w:cs="Times New Roman"/>
      <w:b/>
      <w:bCs w:val="false"/>
      <w:lang w:bidi="ar-SA"/>
    </w:rPr>
  </w:style>
  <w:style w:type="character" w:styleId="CharChar">
    <w:name w:val=" Char Char"/>
    <w:basedOn w:val="Style13"/>
    <w:qFormat/>
    <w:rPr>
      <w:rFonts w:eastAsia="仿宋_GB2312"/>
      <w:kern w:val="2"/>
      <w:sz w:val="32"/>
      <w:szCs w:val="24"/>
      <w:lang w:bidi="ar-SA"/>
    </w:rPr>
  </w:style>
  <w:style w:type="character" w:styleId="CharacterStyle1">
    <w:name w:val="Character Style 1"/>
    <w:qFormat/>
    <w:rPr>
      <w:sz w:val="29"/>
      <w:szCs w:val="29"/>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BodyTextIndent">
    <w:name w:val="Body Text Indent"/>
    <w:basedOn w:val="Normal"/>
    <w:pPr>
      <w:spacing w:before="0" w:after="120"/>
      <w:ind w:firstLineChars="0" w:firstLine="0" w:startChars="200" w:endChars="0" w:end="0"/>
    </w:pPr>
    <w:rPr/>
  </w:style>
  <w:style w:type="paragraph" w:styleId="Style15">
    <w:name w:val="普通(网站)"/>
    <w:basedOn w:val="Normal"/>
    <w:qFormat/>
    <w:pPr>
      <w:widowControl/>
      <w:spacing w:before="280" w:after="280"/>
      <w:jc w:val="start"/>
    </w:pPr>
    <w:rPr>
      <w:rFonts w:eastAsia="宋体;SimSun"/>
      <w:kern w:val="0"/>
      <w:sz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szCs w:val="32"/>
    </w:rPr>
  </w:style>
  <w:style w:type="paragraph" w:styleId="Style16">
    <w:name w:val="日期"/>
    <w:basedOn w:val="Normal"/>
    <w:next w:val="Normal"/>
    <w:qFormat/>
    <w:pPr>
      <w:ind w:firstLineChars="0" w:firstLine="0" w:startChars="2500" w:endChars="0" w:end="0"/>
    </w:pPr>
    <w:rPr>
      <w:rFonts w:eastAsia="宋体;SimSun"/>
    </w:rPr>
  </w:style>
  <w:style w:type="paragraph" w:styleId="Style41">
    <w:name w:val="Style 4"/>
    <w:basedOn w:val="Normal"/>
    <w:qFormat/>
    <w:pPr>
      <w:autoSpaceDE w:val="false"/>
      <w:spacing w:lineRule="exact" w:line="564" w:before="360" w:after="144"/>
      <w:ind w:firstLine="576" w:start="0" w:end="144"/>
    </w:pPr>
    <w:rPr>
      <w:rFonts w:eastAsia="宋体;SimSun"/>
      <w:kern w:val="0"/>
      <w:sz w:val="29"/>
      <w:szCs w:val="29"/>
    </w:rPr>
  </w:style>
  <w:style w:type="paragraph" w:styleId="1">
    <w:name w:val="列出段落1"/>
    <w:basedOn w:val="Normal"/>
    <w:qFormat/>
    <w:pPr>
      <w:ind w:firstLineChars="200" w:startChars="0" w:start="0" w:endChars="0" w:end="0"/>
    </w:pPr>
    <w:rPr>
      <w:rFonts w:ascii="Calibri" w:hAnsi="Calibri" w:eastAsia="宋体;SimSun" w:cs="Calibri"/>
      <w:sz w:val="21"/>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2017-12-19T09:26:00Z</dcterms:created>
  <dc:creator>梁艳</dc:creator>
  <dc:description/>
  <cp:keywords/>
  <dc:language>en-US</dc:language>
  <cp:lastModifiedBy>段铭</cp:lastModifiedBy>
  <cp:lastPrinted>2017-12-13T10:43:00Z</cp:lastPrinted>
  <dcterms:modified xsi:type="dcterms:W3CDTF">2017-12-25T16:16:00Z</dcterms:modified>
  <cp:revision>11</cp:revision>
  <dc:subject/>
  <dc:title>省十二届人大常委会</dc:title>
</cp:coreProperties>
</file>