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eastAsia="方正小标宋简体;黑体" w:cs="方正小标宋简体;黑体"/>
          <w:sz w:val="44"/>
          <w:szCs w:val="44"/>
        </w:rPr>
      </w:pPr>
      <w:r>
        <w:rPr>
          <w:rFonts w:eastAsia="方正小标宋简体;黑体" w:cs="方正小标宋简体;黑体"/>
          <w:sz w:val="44"/>
          <w:szCs w:val="44"/>
        </w:rPr>
      </w:r>
    </w:p>
    <w:p>
      <w:pPr>
        <w:pStyle w:val="Normal"/>
        <w:snapToGrid w:val="false"/>
        <w:spacing w:lineRule="exact" w:line="600"/>
        <w:jc w:val="center"/>
        <w:rPr>
          <w:rFonts w:ascii="方正小标宋简体;黑体" w:hAnsi="方正小标宋简体;黑体" w:eastAsia="方正小标宋简体;黑体" w:cs="方正小标宋简体;黑体" w:hint="eastAsia"/>
          <w:sz w:val="44"/>
          <w:szCs w:val="44"/>
        </w:rPr>
      </w:pPr>
      <w:r>
        <w:rPr>
          <w:rFonts w:ascii="方正小标宋简体;黑体" w:hAnsi="方正小标宋简体;黑体" w:cs="方正小标宋简体;黑体" w:hint="eastAsia" w:eastAsia="方正小标宋简体;黑体"/>
          <w:sz w:val="44"/>
          <w:szCs w:val="44"/>
        </w:rPr>
        <w:t>宿州市公园条例</w:t>
      </w:r>
    </w:p>
    <w:p>
      <w:pPr>
        <w:pStyle w:val="Normal"/>
        <w:snapToGrid w:val="false"/>
        <w:spacing w:lineRule="exact" w:line="600"/>
        <w:jc w:val="center"/>
        <w:rPr>
          <w:rFonts w:ascii="方正小标宋简体;黑体" w:hAnsi="方正小标宋简体;黑体" w:eastAsia="方正小标宋简体;黑体" w:cs="方正小标宋简体;黑体" w:hint="eastAsia"/>
          <w:sz w:val="44"/>
          <w:szCs w:val="44"/>
        </w:rPr>
      </w:pPr>
      <w:r>
        <w:rPr>
          <w:rFonts w:eastAsia="方正小标宋简体;黑体" w:cs="方正小标宋简体;黑体" w:hint="eastAsia" w:ascii="方正小标宋简体;黑体" w:hAnsi="方正小标宋简体;黑体"/>
          <w:sz w:val="44"/>
          <w:szCs w:val="44"/>
        </w:rPr>
      </w:r>
    </w:p>
    <w:p>
      <w:pPr>
        <w:pStyle w:val="Normal"/>
        <w:ind w:firstLineChars="200" w:startChars="0" w:start="0" w:endChars="0" w:end="0"/>
        <w:rPr>
          <w:rFonts w:eastAsia="楷体_GB2312;楷体" w:cs="楷体" w:hint="eastAsia"/>
        </w:rPr>
      </w:pPr>
      <w:r>
        <w:rPr>
          <w:rFonts w:cs="楷体" w:hint="eastAsia" w:eastAsia="楷体_GB2312;楷体"/>
        </w:rPr>
        <w:t>（</w:t>
      </w:r>
      <w:r>
        <w:rPr>
          <w:rFonts w:eastAsia="楷体_GB2312;楷体" w:cs="楷体" w:hint="eastAsia"/>
        </w:rPr>
        <w:t>2019</w:t>
      </w:r>
      <w:r>
        <w:rPr>
          <w:rFonts w:cs="楷体" w:hint="eastAsia" w:eastAsia="楷体_GB2312;楷体"/>
        </w:rPr>
        <w:t>年</w:t>
      </w:r>
      <w:r>
        <w:rPr>
          <w:rFonts w:eastAsia="楷体_GB2312;楷体" w:cs="楷体" w:hint="eastAsia"/>
        </w:rPr>
        <w:t>8</w:t>
      </w:r>
      <w:r>
        <w:rPr>
          <w:rFonts w:cs="楷体" w:hint="eastAsia" w:eastAsia="楷体_GB2312;楷体"/>
        </w:rPr>
        <w:t>月</w:t>
      </w:r>
      <w:r>
        <w:rPr>
          <w:rFonts w:eastAsia="楷体_GB2312;楷体" w:cs="楷体" w:hint="eastAsia"/>
        </w:rPr>
        <w:t>27</w:t>
      </w:r>
      <w:r>
        <w:rPr>
          <w:rFonts w:cs="楷体" w:hint="eastAsia" w:eastAsia="楷体_GB2312;楷体"/>
        </w:rPr>
        <w:t xml:space="preserve">日宿州市第五届人民代表大会常务委员会第十四次会议通过  </w:t>
      </w:r>
      <w:r>
        <w:rPr>
          <w:rFonts w:eastAsia="楷体_GB2312;楷体" w:hint="eastAsia"/>
          <w:bCs/>
          <w:color w:val="000000"/>
        </w:rPr>
        <w:t>2019</w:t>
      </w:r>
      <w:r>
        <w:rPr>
          <w:rFonts w:hint="eastAsia" w:eastAsia="楷体_GB2312;楷体"/>
          <w:bCs/>
          <w:color w:val="000000"/>
        </w:rPr>
        <w:t>年</w:t>
      </w:r>
      <w:r>
        <w:rPr>
          <w:rFonts w:eastAsia="楷体_GB2312;楷体" w:hint="eastAsia"/>
          <w:bCs/>
          <w:color w:val="000000"/>
        </w:rPr>
        <w:t>9</w:t>
      </w:r>
      <w:r>
        <w:rPr>
          <w:rFonts w:hint="eastAsia" w:eastAsia="楷体_GB2312;楷体"/>
          <w:bCs/>
          <w:color w:val="000000"/>
        </w:rPr>
        <w:t>月</w:t>
      </w:r>
      <w:r>
        <w:rPr>
          <w:rFonts w:eastAsia="楷体_GB2312;楷体" w:hint="eastAsia"/>
          <w:bCs/>
          <w:color w:val="000000"/>
        </w:rPr>
        <w:t>27</w:t>
      </w:r>
      <w:r>
        <w:rPr>
          <w:rFonts w:hint="eastAsia" w:eastAsia="楷体_GB2312;楷体"/>
          <w:bCs/>
          <w:color w:val="000000"/>
        </w:rPr>
        <w:t>日安徽省第十三届人民代表大会常务委员会第十二次会议批准</w:t>
      </w:r>
      <w:r>
        <w:rPr>
          <w:rFonts w:cs="楷体" w:hint="eastAsia" w:eastAsia="楷体_GB2312;楷体"/>
        </w:rPr>
        <w:t>）</w:t>
      </w:r>
    </w:p>
    <w:p>
      <w:pPr>
        <w:pStyle w:val="Normal"/>
        <w:rPr>
          <w:rFonts w:eastAsia="楷体_GB2312;楷体" w:cs="楷体" w:hint="eastAsia"/>
        </w:rPr>
      </w:pPr>
      <w:r>
        <w:rPr>
          <w:rFonts w:eastAsia="楷体_GB2312;楷体" w:cs="楷体" w:hint="eastAsia"/>
        </w:rPr>
      </w:r>
    </w:p>
    <w:p>
      <w:pPr>
        <w:pStyle w:val="Normal"/>
        <w:jc w:val="center"/>
        <w:rPr>
          <w:rFonts w:eastAsia="楷体_GB2312;楷体" w:hint="eastAsia"/>
        </w:rPr>
      </w:pPr>
      <w:r>
        <w:rPr>
          <w:rFonts w:cs="方正黑体简体;微软雅黑" w:hint="eastAsia" w:eastAsia="楷体_GB2312;楷体"/>
        </w:rPr>
        <w:t>目    录</w:t>
      </w:r>
    </w:p>
    <w:p>
      <w:pPr>
        <w:pStyle w:val="Normal"/>
        <w:ind w:firstLineChars="200" w:startChars="0" w:start="0" w:endChars="0" w:end="0"/>
        <w:jc w:val="start"/>
        <w:rPr>
          <w:rFonts w:eastAsia="楷体_GB2312;楷体" w:cs="仿宋" w:hint="eastAsia"/>
        </w:rPr>
      </w:pPr>
      <w:r>
        <w:rPr>
          <w:rFonts w:eastAsia="楷体_GB2312;楷体" w:cs="仿宋" w:hint="eastAsia"/>
        </w:rPr>
      </w:r>
    </w:p>
    <w:p>
      <w:pPr>
        <w:pStyle w:val="Normal"/>
        <w:ind w:firstLineChars="200" w:startChars="0" w:start="0" w:endChars="0" w:end="0"/>
        <w:jc w:val="start"/>
        <w:rPr>
          <w:rFonts w:eastAsia="楷体_GB2312;楷体" w:hint="eastAsia"/>
        </w:rPr>
      </w:pPr>
      <w:r>
        <w:rPr>
          <w:rFonts w:cs="仿宋" w:hint="eastAsia" w:eastAsia="楷体_GB2312;楷体"/>
        </w:rPr>
        <w:t>第一章  总    则</w:t>
      </w:r>
    </w:p>
    <w:p>
      <w:pPr>
        <w:pStyle w:val="Normal"/>
        <w:ind w:firstLineChars="200" w:startChars="0" w:start="0" w:endChars="0" w:end="0"/>
        <w:jc w:val="start"/>
        <w:rPr>
          <w:rFonts w:eastAsia="楷体_GB2312;楷体" w:hint="eastAsia"/>
        </w:rPr>
      </w:pPr>
      <w:r>
        <w:rPr>
          <w:rFonts w:cs="仿宋" w:hint="eastAsia" w:eastAsia="楷体_GB2312;楷体"/>
        </w:rPr>
        <w:t>第二章  规划与建设</w:t>
      </w:r>
    </w:p>
    <w:p>
      <w:pPr>
        <w:pStyle w:val="Normal"/>
        <w:ind w:firstLineChars="200" w:startChars="0" w:start="0" w:endChars="0" w:end="0"/>
        <w:jc w:val="start"/>
        <w:rPr>
          <w:rFonts w:eastAsia="楷体_GB2312;楷体" w:hint="eastAsia"/>
        </w:rPr>
      </w:pPr>
      <w:r>
        <w:rPr>
          <w:rFonts w:cs="仿宋" w:hint="eastAsia" w:eastAsia="楷体_GB2312;楷体"/>
        </w:rPr>
        <w:t>第三章  管理与使用</w:t>
      </w:r>
    </w:p>
    <w:p>
      <w:pPr>
        <w:pStyle w:val="Normal"/>
        <w:ind w:firstLineChars="200" w:startChars="0" w:start="0" w:endChars="0" w:end="0"/>
        <w:jc w:val="start"/>
        <w:rPr>
          <w:rFonts w:eastAsia="楷体_GB2312;楷体" w:hint="eastAsia"/>
        </w:rPr>
      </w:pPr>
      <w:r>
        <w:rPr>
          <w:rFonts w:cs="仿宋" w:hint="eastAsia" w:eastAsia="楷体_GB2312;楷体"/>
        </w:rPr>
        <w:t>第四章  法律责任</w:t>
      </w:r>
    </w:p>
    <w:p>
      <w:pPr>
        <w:pStyle w:val="Normal"/>
        <w:ind w:firstLineChars="200" w:startChars="0" w:start="0" w:endChars="0" w:end="0"/>
        <w:jc w:val="start"/>
        <w:rPr>
          <w:rFonts w:eastAsia="楷体_GB2312;楷体" w:hint="eastAsia"/>
        </w:rPr>
      </w:pPr>
      <w:r>
        <w:rPr>
          <w:rFonts w:cs="仿宋" w:hint="eastAsia" w:eastAsia="楷体_GB2312;楷体"/>
        </w:rPr>
        <w:t>第五章  附    则</w:t>
      </w:r>
    </w:p>
    <w:p>
      <w:pPr>
        <w:pStyle w:val="Normal"/>
        <w:jc w:val="start"/>
        <w:rPr>
          <w:rFonts w:eastAsia="楷体_GB2312;楷体" w:hint="eastAsia"/>
          <w:b/>
          <w:bCs/>
        </w:rPr>
      </w:pPr>
      <w:r>
        <w:rPr>
          <w:rFonts w:eastAsia="楷体_GB2312;楷体" w:hint="eastAsia"/>
          <w:b/>
          <w:bCs/>
        </w:rPr>
      </w:r>
    </w:p>
    <w:p>
      <w:pPr>
        <w:pStyle w:val="Normal"/>
        <w:jc w:val="center"/>
        <w:rPr>
          <w:rFonts w:eastAsia="黑体" w:cs="黑体" w:hint="eastAsia"/>
        </w:rPr>
      </w:pPr>
      <w:r>
        <w:rPr>
          <w:rFonts w:cs="黑体" w:hint="eastAsia" w:eastAsia="黑体"/>
        </w:rPr>
        <w:t>第一章  总    则</w:t>
      </w:r>
    </w:p>
    <w:p>
      <w:pPr>
        <w:pStyle w:val="Normal"/>
        <w:ind w:firstLineChars="200" w:startChars="0" w:start="0" w:endChars="0" w:end="0"/>
        <w:rPr>
          <w:rFonts w:eastAsia="黑体" w:cs="黑体" w:hint="eastAsia"/>
          <w:b/>
          <w:bCs/>
        </w:rPr>
      </w:pPr>
      <w:r>
        <w:rPr>
          <w:rFonts w:eastAsia="黑体" w:cs="黑体" w:hint="eastAsia"/>
          <w:b/>
          <w:bCs/>
        </w:rPr>
      </w:r>
    </w:p>
    <w:p>
      <w:pPr>
        <w:pStyle w:val="Normal"/>
        <w:ind w:firstLineChars="200" w:startChars="0" w:start="0" w:endChars="0" w:end="0"/>
        <w:rPr>
          <w:rFonts w:hint="eastAsia"/>
        </w:rPr>
      </w:pPr>
      <w:r>
        <w:rPr>
          <w:rFonts w:cs="黑体" w:hint="eastAsia" w:eastAsia="黑体"/>
        </w:rPr>
        <w:t>第一条</w:t>
      </w:r>
      <w:r>
        <w:rPr>
          <w:rFonts w:cs="黑体" w:hint="eastAsia"/>
        </w:rPr>
        <w:t xml:space="preserve">  </w:t>
      </w:r>
      <w:r>
        <w:rPr>
          <w:rFonts w:cs="仿宋" w:hint="eastAsia"/>
        </w:rPr>
        <w:t>为了促进公园的建设与管理，加快</w:t>
      </w:r>
      <w:bookmarkStart w:id="0" w:name="OLE_LINK2"/>
      <w:r>
        <w:rPr>
          <w:rFonts w:cs="仿宋" w:hint="eastAsia"/>
        </w:rPr>
        <w:t>公园事业发展</w:t>
      </w:r>
      <w:bookmarkEnd w:id="0"/>
      <w:r>
        <w:rPr>
          <w:rFonts w:cs="仿宋" w:hint="eastAsia"/>
        </w:rPr>
        <w:t>，改善生态和人居环境，根据有关法律、行政法规，结合本市实际，制定本条例。</w:t>
      </w:r>
    </w:p>
    <w:p>
      <w:pPr>
        <w:pStyle w:val="Normal"/>
        <w:ind w:firstLineChars="200" w:startChars="0" w:start="0" w:endChars="0" w:end="0"/>
        <w:rPr>
          <w:rFonts w:hint="eastAsia"/>
        </w:rPr>
      </w:pPr>
      <w:r>
        <w:rPr>
          <w:rFonts w:cs="黑体" w:hint="eastAsia" w:eastAsia="黑体"/>
        </w:rPr>
        <w:t>第二条</w:t>
      </w:r>
      <w:r>
        <w:rPr>
          <w:rFonts w:cs="黑体" w:hint="eastAsia"/>
        </w:rPr>
        <w:t xml:space="preserve">  </w:t>
      </w:r>
      <w:r>
        <w:rPr>
          <w:rFonts w:cs="仿宋" w:hint="eastAsia"/>
        </w:rPr>
        <w:t>本条例适用于本市行政区域内公园的规划、建设、管理和使用。</w:t>
      </w:r>
    </w:p>
    <w:p>
      <w:pPr>
        <w:pStyle w:val="Normal"/>
        <w:ind w:firstLineChars="200" w:startChars="0" w:start="0" w:endChars="0" w:end="0"/>
        <w:rPr>
          <w:rFonts w:hint="eastAsia"/>
        </w:rPr>
      </w:pPr>
      <w:r>
        <w:rPr>
          <w:rFonts w:cs="仿宋" w:hint="eastAsia"/>
        </w:rPr>
        <w:t>法律、法规和国家有关规定对国家公园、自然保护区、自然公园等公园的管理和保护以及历史文物保护、古树名木保护等另有规定的，从其规定。</w:t>
      </w:r>
    </w:p>
    <w:p>
      <w:pPr>
        <w:pStyle w:val="Normal"/>
        <w:ind w:firstLineChars="200" w:startChars="0" w:start="0" w:endChars="0" w:end="0"/>
        <w:rPr>
          <w:rFonts w:hint="eastAsia"/>
        </w:rPr>
      </w:pPr>
      <w:r>
        <w:rPr>
          <w:rFonts w:cs="黑体" w:hint="eastAsia" w:eastAsia="黑体"/>
        </w:rPr>
        <w:t>第三条</w:t>
      </w:r>
      <w:r>
        <w:rPr>
          <w:rFonts w:cs="黑体" w:hint="eastAsia"/>
        </w:rPr>
        <w:t xml:space="preserve">  </w:t>
      </w:r>
      <w:r>
        <w:rPr>
          <w:rFonts w:cs="仿宋" w:hint="eastAsia"/>
        </w:rPr>
        <w:t>本条例所称公园，是指具有良好的景观和较完善的配套设施，具备改善生态、美化环境、休闲游憩、健身娱乐、传承文化、保护资源、科普教育、防灾避险等功能的公共绿地，包括综合公园、社区公园、相关专类公园和游园等。</w:t>
      </w:r>
    </w:p>
    <w:p>
      <w:pPr>
        <w:pStyle w:val="Normal"/>
        <w:ind w:firstLineChars="200" w:startChars="0" w:start="0" w:endChars="0" w:end="0"/>
        <w:rPr>
          <w:rFonts w:hint="eastAsia"/>
        </w:rPr>
      </w:pPr>
      <w:r>
        <w:rPr>
          <w:rFonts w:cs="黑体" w:hint="eastAsia" w:eastAsia="黑体"/>
        </w:rPr>
        <w:t>第四条</w:t>
      </w:r>
      <w:r>
        <w:rPr>
          <w:rFonts w:cs="黑体" w:hint="eastAsia"/>
        </w:rPr>
        <w:t xml:space="preserve">  </w:t>
      </w:r>
      <w:r>
        <w:rPr>
          <w:rFonts w:cs="仿宋" w:hint="eastAsia"/>
        </w:rPr>
        <w:t>各级人民政府应当坚持公园的公益属性，将公园事业纳入国民经济和社会发展规划，保障公园事业发展所需经费。</w:t>
      </w:r>
    </w:p>
    <w:p>
      <w:pPr>
        <w:pStyle w:val="Normal"/>
        <w:ind w:firstLineChars="200" w:startChars="0" w:start="0" w:endChars="0" w:end="0"/>
        <w:rPr>
          <w:rFonts w:hint="eastAsia"/>
        </w:rPr>
      </w:pPr>
      <w:r>
        <w:rPr>
          <w:rFonts w:cs="仿宋" w:hint="eastAsia"/>
        </w:rPr>
        <w:t>鼓励公民、法人和其他组织以投资、捐赠等方式参与公园的建设、管理和保护。</w:t>
      </w:r>
    </w:p>
    <w:p>
      <w:pPr>
        <w:pStyle w:val="Normal"/>
        <w:ind w:firstLineChars="200" w:startChars="0" w:start="0" w:endChars="0" w:end="0"/>
        <w:rPr>
          <w:rFonts w:hint="eastAsia"/>
        </w:rPr>
      </w:pPr>
      <w:r>
        <w:rPr>
          <w:rFonts w:cs="黑体" w:hint="eastAsia" w:eastAsia="黑体"/>
        </w:rPr>
        <w:t>第五条</w:t>
      </w:r>
      <w:r>
        <w:rPr>
          <w:rFonts w:cs="黑体" w:hint="eastAsia"/>
        </w:rPr>
        <w:t xml:space="preserve">  </w:t>
      </w:r>
      <w:r>
        <w:rPr>
          <w:rFonts w:cs="仿宋" w:hint="eastAsia"/>
        </w:rPr>
        <w:t>市、县（区）城市管理部门负责本行政区域内公园的行业管理、业务指导和监督检查；自然资源和规划、住房和城乡建设、林业、水利、生态环境、文化和旅游、教育体育、财政、公安、应急管理等部门按照职责分工做好公园规划、建设和管理有关工作。</w:t>
      </w:r>
    </w:p>
    <w:p>
      <w:pPr>
        <w:pStyle w:val="Normal"/>
        <w:ind w:firstLineChars="200" w:startChars="0" w:start="0" w:endChars="0" w:end="0"/>
        <w:rPr>
          <w:rFonts w:hint="eastAsia"/>
        </w:rPr>
      </w:pPr>
      <w:r>
        <w:rPr>
          <w:rFonts w:cs="仿宋" w:hint="eastAsia"/>
        </w:rPr>
        <w:t>市城市规划区范围内，区城市管理部门、开发区管委会按照市人民政府规定的职责做好公园的规划、建设、管理和使用工作。</w:t>
      </w:r>
    </w:p>
    <w:p>
      <w:pPr>
        <w:pStyle w:val="Normal"/>
        <w:ind w:firstLineChars="200" w:startChars="0" w:start="0" w:endChars="0" w:end="0"/>
        <w:rPr>
          <w:rFonts w:hint="eastAsia"/>
        </w:rPr>
      </w:pPr>
      <w:r>
        <w:rPr>
          <w:rFonts w:cs="仿宋" w:hint="eastAsia"/>
        </w:rPr>
        <w:t>乡镇人民政府负责其自建公园的建设和管理工作。乡镇人民政府、街道办事处配合有关部门做好辖区公园的日常巡查、监督考核等有关工作。</w:t>
      </w:r>
    </w:p>
    <w:p>
      <w:pPr>
        <w:pStyle w:val="Normal"/>
        <w:ind w:firstLineChars="200" w:startChars="0" w:start="0" w:endChars="0" w:end="0"/>
        <w:rPr>
          <w:rFonts w:hint="eastAsia"/>
          <w:b/>
          <w:bCs/>
          <w:strike/>
        </w:rPr>
      </w:pPr>
      <w:r>
        <w:rPr>
          <w:rFonts w:cs="黑体" w:hint="eastAsia" w:eastAsia="黑体"/>
        </w:rPr>
        <w:t>第六条</w:t>
      </w:r>
      <w:r>
        <w:rPr>
          <w:rFonts w:cs="黑体" w:hint="eastAsia"/>
        </w:rPr>
        <w:t xml:space="preserve">  </w:t>
      </w:r>
      <w:r>
        <w:rPr>
          <w:rFonts w:cs="仿宋" w:hint="eastAsia"/>
        </w:rPr>
        <w:t>公园实行名录和分类、分级管理。公园名录、类别、等级的确定和调整，由市城市管理部门征求有关部门意见后提出方案，市人民政府批准后向社会公布。</w:t>
      </w:r>
    </w:p>
    <w:p>
      <w:pPr>
        <w:pStyle w:val="Normal"/>
        <w:jc w:val="center"/>
        <w:rPr>
          <w:rFonts w:cs="方正黑体简体;微软雅黑" w:hint="eastAsia"/>
          <w:b/>
          <w:bCs/>
          <w:strike/>
        </w:rPr>
      </w:pPr>
      <w:r>
        <w:rPr>
          <w:rFonts w:cs="方正黑体简体;微软雅黑" w:hint="eastAsia"/>
          <w:b/>
          <w:bCs/>
          <w:strike/>
        </w:rPr>
      </w:r>
    </w:p>
    <w:p>
      <w:pPr>
        <w:pStyle w:val="Normal"/>
        <w:jc w:val="center"/>
        <w:rPr>
          <w:rFonts w:eastAsia="黑体" w:cs="黑体" w:hint="eastAsia"/>
        </w:rPr>
      </w:pPr>
      <w:r>
        <w:rPr>
          <w:rFonts w:cs="黑体" w:hint="eastAsia" w:eastAsia="黑体"/>
        </w:rPr>
        <w:t>第二章  规划与建设</w:t>
      </w:r>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hint="eastAsia"/>
        </w:rPr>
      </w:pPr>
      <w:r>
        <w:rPr>
          <w:rFonts w:cs="黑体" w:hint="eastAsia" w:eastAsia="黑体"/>
        </w:rPr>
        <w:t>第七条</w:t>
      </w:r>
      <w:r>
        <w:rPr>
          <w:rFonts w:cs="黑体" w:hint="eastAsia"/>
        </w:rPr>
        <w:t xml:space="preserve">  </w:t>
      </w:r>
      <w:r>
        <w:rPr>
          <w:rFonts w:cs="仿宋" w:hint="eastAsia"/>
        </w:rPr>
        <w:t>市、县城市管理部门应当依据国土空间规划和城市绿地系统规划，组织编制公园体系建设和保护专项规划，经同级自然资源和规划部门核对后，报本级人民政府批准。</w:t>
      </w:r>
    </w:p>
    <w:p>
      <w:pPr>
        <w:pStyle w:val="Normal"/>
        <w:ind w:firstLineChars="200" w:startChars="0" w:start="0" w:endChars="0" w:end="0"/>
        <w:rPr>
          <w:rFonts w:hint="eastAsia"/>
        </w:rPr>
      </w:pPr>
      <w:r>
        <w:rPr>
          <w:rFonts w:cs="仿宋" w:hint="eastAsia"/>
        </w:rPr>
        <w:t>编制公园体系建设和保护专项规划，</w:t>
      </w:r>
      <w:bookmarkStart w:id="1" w:name="OLE_LINK1"/>
      <w:r>
        <w:rPr>
          <w:rFonts w:cs="仿宋" w:hint="eastAsia"/>
        </w:rPr>
        <w:t>应当召开论证会、听证会或者以其他形式征求有关部门、社会组织和公众以及专家学者的意见，并将规划草案予以公示。</w:t>
      </w:r>
    </w:p>
    <w:p>
      <w:pPr>
        <w:pStyle w:val="Normal"/>
        <w:ind w:firstLineChars="200" w:startChars="0" w:start="0" w:endChars="0" w:end="0"/>
        <w:rPr>
          <w:rFonts w:hint="eastAsia"/>
        </w:rPr>
      </w:pPr>
      <w:r>
        <w:rPr>
          <w:rFonts w:cs="黑体" w:hint="eastAsia" w:eastAsia="黑体"/>
        </w:rPr>
        <w:t xml:space="preserve">第八条 </w:t>
      </w:r>
      <w:r>
        <w:rPr>
          <w:rFonts w:cs="黑体" w:hint="eastAsia"/>
        </w:rPr>
        <w:t xml:space="preserve"> </w:t>
      </w:r>
      <w:r>
        <w:rPr>
          <w:rFonts w:cs="仿宋" w:hint="eastAsia"/>
        </w:rPr>
        <w:t>编制市公园体系建设和保护专项规划，应当结合人口分布状况和公众多样化需求，科学规划综合公园、社区公园、专类公园、游园的数量、选址和面积，做到布局合理、覆盖均衡、体系完整、功能多样，并符合以下要求：</w:t>
      </w:r>
    </w:p>
    <w:p>
      <w:pPr>
        <w:pStyle w:val="Normal"/>
        <w:ind w:firstLine="640" w:end="0"/>
        <w:rPr>
          <w:rFonts w:hint="eastAsia"/>
        </w:rPr>
      </w:pPr>
      <w:r>
        <w:rPr>
          <w:rFonts w:cs="仿宋" w:hint="eastAsia"/>
        </w:rPr>
        <w:t>（一）市城市规划区、县人民政府所在地镇规划区，应当按照每十五万常住人口不少于一个的标准，规划建设综合公园；</w:t>
      </w:r>
    </w:p>
    <w:p>
      <w:pPr>
        <w:pStyle w:val="Normal"/>
        <w:ind w:firstLineChars="200" w:startChars="0" w:start="0" w:endChars="0" w:end="0"/>
        <w:rPr>
          <w:rFonts w:hint="eastAsia"/>
        </w:rPr>
      </w:pPr>
      <w:r>
        <w:rPr>
          <w:rFonts w:cs="仿宋" w:hint="eastAsia"/>
        </w:rPr>
        <w:t>（二）按照十五分钟生活圈居住区不低于五万平方米、十分钟生活圈居住区不低于一万平方米、五分钟生活圈居住区不低于四千平方米的标准，在交通方便、公共服务设施集中的地方规划建设社区公园；</w:t>
      </w:r>
    </w:p>
    <w:p>
      <w:pPr>
        <w:pStyle w:val="Normal"/>
        <w:ind w:firstLineChars="200" w:startChars="0" w:start="0" w:endChars="0" w:end="0"/>
        <w:jc w:val="start"/>
        <w:rPr>
          <w:rFonts w:hint="eastAsia"/>
        </w:rPr>
      </w:pPr>
      <w:r>
        <w:rPr>
          <w:rFonts w:cs="仿宋" w:hint="eastAsia"/>
        </w:rPr>
        <w:t>（三）弘扬社会主义核心价值观，结合本市历史文化传承和自然资源保护，优先选择红色文化、运河文化、楚汉文化、孝文化、名人名家等主题元素规划建设专类公园，彰显宿州文化和宿州特色；</w:t>
      </w:r>
    </w:p>
    <w:p>
      <w:pPr>
        <w:pStyle w:val="Normal"/>
        <w:ind w:firstLine="640" w:end="0"/>
        <w:rPr>
          <w:rFonts w:hint="eastAsia"/>
        </w:rPr>
      </w:pPr>
      <w:r>
        <w:rPr>
          <w:rFonts w:cs="仿宋" w:hint="eastAsia"/>
        </w:rPr>
        <w:t>（四）结合城乡建设，在道路两侧和道路交叉口合理规划建设游园；市城市建成区房屋拆迁形成的净地面积小于十亩的，原则上用于规划建设游园；</w:t>
      </w:r>
    </w:p>
    <w:p>
      <w:pPr>
        <w:pStyle w:val="Normal"/>
        <w:ind w:firstLine="640" w:end="0"/>
        <w:rPr>
          <w:rFonts w:hint="eastAsia"/>
          <w:strike/>
        </w:rPr>
      </w:pPr>
      <w:r>
        <w:rPr>
          <w:rFonts w:cs="仿宋" w:hint="eastAsia"/>
        </w:rPr>
        <w:t>（五）结合水环境治理，沿城市水系合理规划建设公园；</w:t>
      </w:r>
    </w:p>
    <w:p>
      <w:pPr>
        <w:pStyle w:val="Normal"/>
        <w:ind w:firstLine="640" w:end="0"/>
        <w:rPr>
          <w:rFonts w:hint="eastAsia"/>
        </w:rPr>
      </w:pPr>
      <w:r>
        <w:rPr>
          <w:rFonts w:cs="仿宋" w:hint="eastAsia"/>
        </w:rPr>
        <w:t>（六）法律、法规规定的其他要求。</w:t>
      </w:r>
    </w:p>
    <w:p>
      <w:pPr>
        <w:pStyle w:val="Normal"/>
        <w:ind w:firstLine="640" w:end="0"/>
        <w:rPr>
          <w:rFonts w:hint="eastAsia"/>
        </w:rPr>
      </w:pPr>
      <w:r>
        <w:rPr>
          <w:rFonts w:cs="仿宋" w:hint="eastAsia"/>
        </w:rPr>
        <w:t>市公园体系建设和保护专项规划经市人民政府批准后不得擅自变更；确需变更的，按照原审批程序报批，公园的面积不得减少。</w:t>
      </w:r>
    </w:p>
    <w:p>
      <w:pPr>
        <w:pStyle w:val="Normal"/>
        <w:ind w:firstLineChars="200" w:startChars="0" w:start="0" w:endChars="0" w:end="0"/>
        <w:rPr>
          <w:rFonts w:hint="eastAsia"/>
        </w:rPr>
      </w:pPr>
      <w:bookmarkStart w:id="2" w:name="OLE_LINK4"/>
      <w:bookmarkEnd w:id="1"/>
      <w:r>
        <w:rPr>
          <w:rFonts w:cs="黑体" w:hint="eastAsia" w:eastAsia="黑体"/>
        </w:rPr>
        <w:t>第九条</w:t>
      </w:r>
      <w:r>
        <w:rPr>
          <w:rFonts w:cs="黑体" w:hint="eastAsia"/>
        </w:rPr>
        <w:t xml:space="preserve">  </w:t>
      </w:r>
      <w:r>
        <w:rPr>
          <w:rFonts w:cs="仿宋" w:hint="eastAsia"/>
        </w:rPr>
        <w:t>综合公园、历史名园等对景观有较高要求的公园，自然资源和规划部门应当会同同级城市管理等有关部门组织编制公园控制性详细规划，明确公园周边建（构）筑物的高度、密度等控制指标和体量、体型、色彩等设计指导原则。</w:t>
      </w:r>
    </w:p>
    <w:p>
      <w:pPr>
        <w:pStyle w:val="Normal"/>
        <w:ind w:firstLineChars="200" w:startChars="0" w:start="0" w:endChars="0" w:end="0"/>
        <w:rPr>
          <w:rFonts w:cs="仿宋" w:hint="eastAsia"/>
        </w:rPr>
      </w:pPr>
      <w:r>
        <w:rPr>
          <w:rFonts w:cs="黑体" w:hint="eastAsia" w:eastAsia="黑体"/>
        </w:rPr>
        <w:t>第十条</w:t>
      </w:r>
      <w:r>
        <w:rPr>
          <w:rFonts w:cs="黑体" w:hint="eastAsia"/>
        </w:rPr>
        <w:t xml:space="preserve">  </w:t>
      </w:r>
      <w:r>
        <w:rPr>
          <w:rFonts w:cs="仿宋" w:hint="eastAsia"/>
        </w:rPr>
        <w:t>各级人民政府应当根据公园体系建设和保护专项规划，按照规划期满完成建设的要求，制定公园年度建设计划并组织实施。</w:t>
      </w:r>
    </w:p>
    <w:p>
      <w:pPr>
        <w:pStyle w:val="Normal"/>
        <w:ind w:firstLineChars="200" w:startChars="0" w:start="0" w:endChars="0" w:end="0"/>
        <w:rPr>
          <w:rFonts w:hint="eastAsia"/>
        </w:rPr>
      </w:pPr>
      <w:r>
        <w:rPr>
          <w:rFonts w:cs="黑体" w:hint="eastAsia" w:eastAsia="黑体"/>
        </w:rPr>
        <w:t>第十一条</w:t>
      </w:r>
      <w:r>
        <w:rPr>
          <w:rFonts w:cs="黑体" w:hint="eastAsia"/>
        </w:rPr>
        <w:t xml:space="preserve">  </w:t>
      </w:r>
      <w:r>
        <w:rPr>
          <w:rFonts w:cs="仿宋" w:hint="eastAsia"/>
        </w:rPr>
        <w:t>新建、改建、扩建公园的，建设单位应当根据公园体系建设和保护专项规划、控制性详细规划和相关规范的要求，编制公园建设工程设计方案，需要建设单位编制修建性详细规划的，编制修建性详细规划，报自然资源和规划部门审定。自然资源和规划部门在审定时，应当征求同级城市管理等有关部门意见。</w:t>
      </w:r>
    </w:p>
    <w:p>
      <w:pPr>
        <w:pStyle w:val="Normal"/>
        <w:ind w:firstLineChars="200" w:startChars="0" w:start="0" w:endChars="0" w:end="0"/>
        <w:rPr>
          <w:rFonts w:hint="eastAsia"/>
        </w:rPr>
      </w:pPr>
      <w:r>
        <w:rPr>
          <w:rFonts w:cs="仿宋" w:hint="eastAsia"/>
        </w:rPr>
        <w:t>建设工程设计方案或者修建性详细规划经审定后，建设单位应当向社会公示。</w:t>
      </w:r>
    </w:p>
    <w:p>
      <w:pPr>
        <w:pStyle w:val="Normal"/>
        <w:ind w:firstLineChars="200" w:startChars="0" w:start="0" w:endChars="0" w:end="0"/>
        <w:rPr>
          <w:rFonts w:hint="eastAsia"/>
          <w:b/>
          <w:bCs/>
        </w:rPr>
      </w:pPr>
      <w:bookmarkEnd w:id="2"/>
      <w:r>
        <w:rPr>
          <w:rFonts w:cs="黑体" w:hint="eastAsia" w:eastAsia="黑体"/>
        </w:rPr>
        <w:t xml:space="preserve">第十二条 </w:t>
      </w:r>
      <w:r>
        <w:rPr>
          <w:rFonts w:cs="黑体" w:hint="eastAsia"/>
        </w:rPr>
        <w:t xml:space="preserve"> </w:t>
      </w:r>
      <w:r>
        <w:rPr>
          <w:rFonts w:cs="仿宋" w:hint="eastAsia"/>
        </w:rPr>
        <w:t>编制建设工程设计方案或者修建性详细规划，应当有利于公园功能的发挥，并符合以下要求：</w:t>
      </w:r>
    </w:p>
    <w:p>
      <w:pPr>
        <w:pStyle w:val="Normal"/>
        <w:ind w:firstLineChars="200" w:startChars="0" w:start="0" w:endChars="0" w:end="0"/>
        <w:rPr>
          <w:rFonts w:hint="eastAsia"/>
        </w:rPr>
      </w:pPr>
      <w:r>
        <w:rPr>
          <w:rFonts w:cs="仿宋" w:hint="eastAsia"/>
        </w:rPr>
        <w:t>（一）充分利用原有地形、地貌、水体、植被等自然、人文条件；鼓励应用绿色照明、清洁能源、再生水利用、园林垃圾资源化利用等节能环保新技术、新产品；提高雨水收集利用率，具备条件的公园应当规划建设储水池塘、下凹式绿地等；</w:t>
      </w:r>
    </w:p>
    <w:p>
      <w:pPr>
        <w:pStyle w:val="Normal"/>
        <w:ind w:firstLineChars="200" w:startChars="0" w:start="0" w:endChars="0" w:end="0"/>
        <w:rPr>
          <w:rFonts w:hint="eastAsia"/>
        </w:rPr>
      </w:pPr>
      <w:r>
        <w:rPr>
          <w:rFonts w:cs="仿宋" w:hint="eastAsia"/>
        </w:rPr>
        <w:t>（二）建（构）筑物的体量、体型、高度、色彩应当与公园景观、环境相协调，不得损害自然景观和人文景观，不得规划与公园功能无关的建（构）筑物和其他设施；</w:t>
      </w:r>
    </w:p>
    <w:p>
      <w:pPr>
        <w:pStyle w:val="Normal"/>
        <w:ind w:firstLineChars="200" w:startChars="0" w:start="0" w:endChars="0" w:end="0"/>
        <w:rPr>
          <w:rFonts w:hint="eastAsia"/>
        </w:rPr>
      </w:pPr>
      <w:r>
        <w:rPr>
          <w:rFonts w:cs="仿宋" w:hint="eastAsia"/>
        </w:rPr>
        <w:t>（三）除植物园等相关专类公园外，植物造景以乡土植物、适生植物为主，本地木本植物数量应当占木本植物总数的百分之八十以上；植物配置以乔木为主，合理确定乔木、灌木、地被比例，适当增加林下步道和休憩设施，林荫路占园路比例不低于百分之八十五，为游人营造更多绿色游憩空间；</w:t>
      </w:r>
    </w:p>
    <w:p>
      <w:pPr>
        <w:pStyle w:val="Normal"/>
        <w:ind w:firstLineChars="200" w:startChars="0" w:start="0" w:endChars="0" w:end="0"/>
        <w:rPr>
          <w:rFonts w:hint="eastAsia"/>
        </w:rPr>
      </w:pPr>
      <w:r>
        <w:rPr>
          <w:rFonts w:cs="仿宋" w:hint="eastAsia"/>
        </w:rPr>
        <w:t>（四）方便游人亲近自然，在符合公园设计规范的前提下，适当增加观赏步道、自行车道、亲水平台；</w:t>
      </w:r>
    </w:p>
    <w:p>
      <w:pPr>
        <w:pStyle w:val="Normal"/>
        <w:ind w:firstLineChars="200" w:startChars="0" w:start="0" w:endChars="0" w:end="0"/>
        <w:rPr>
          <w:rFonts w:hint="eastAsia"/>
        </w:rPr>
      </w:pPr>
      <w:r>
        <w:rPr>
          <w:rFonts w:cs="仿宋" w:hint="eastAsia"/>
        </w:rPr>
        <w:t>（五）综合公园应当按照动静分离、互不干扰的原则，划分安静休息区、运动健身区、娱乐活动区、主题游赏区等功能区，并设置游览、休憩、运动、健身、儿童游戏、科普等设施；社区公园应当设置儿童、老年人日常休憩需要的设施和不低于百分之十的体育活动场地；专类公园应当根据主题设置相应设施；游园应当注重街景效果，设置休憩设施；</w:t>
      </w:r>
    </w:p>
    <w:p>
      <w:pPr>
        <w:pStyle w:val="Normal"/>
        <w:ind w:firstLineChars="200" w:startChars="0" w:start="0" w:endChars="0" w:end="0"/>
        <w:rPr>
          <w:rFonts w:hint="eastAsia"/>
          <w:b/>
          <w:bCs/>
        </w:rPr>
      </w:pPr>
      <w:r>
        <w:rPr>
          <w:rFonts w:cs="仿宋" w:hint="eastAsia"/>
        </w:rPr>
        <w:t>（六）以游人需求为导向，结合公园的类别和主要功能，合理设置餐饮、零售、游憩等设施；根据游人容量设置停车场、公共厕所、无障碍设施等；</w:t>
      </w:r>
    </w:p>
    <w:p>
      <w:pPr>
        <w:pStyle w:val="Normal"/>
        <w:ind w:firstLineChars="200" w:startChars="0" w:start="0" w:endChars="0" w:end="0"/>
        <w:rPr>
          <w:rFonts w:hint="eastAsia"/>
        </w:rPr>
      </w:pPr>
      <w:r>
        <w:rPr>
          <w:rFonts w:cs="仿宋" w:hint="eastAsia"/>
        </w:rPr>
        <w:t>（七）结合公园的功能、规模，综合考虑应急避险场所和设施的设置；以防灾避险为主要功能的公园，应当按照相关标准、规范规划建设应急供水、供电、排污等必要设施；</w:t>
      </w:r>
    </w:p>
    <w:p>
      <w:pPr>
        <w:pStyle w:val="Normal"/>
        <w:ind w:firstLineChars="200" w:startChars="0" w:start="0" w:endChars="0" w:end="0"/>
        <w:rPr>
          <w:rFonts w:cs="仿宋" w:hint="eastAsia"/>
        </w:rPr>
      </w:pPr>
      <w:r>
        <w:rPr>
          <w:rFonts w:cs="仿宋" w:hint="eastAsia"/>
        </w:rPr>
        <w:t>（八）严格控制公园地下空间的商业性开发，开发利用公园地下空间应当以车辆停放、防灾避险、人民防空等设施建设为主；</w:t>
      </w:r>
    </w:p>
    <w:p>
      <w:pPr>
        <w:pStyle w:val="Normal"/>
        <w:ind w:firstLineChars="200" w:startChars="0" w:start="0" w:endChars="0" w:end="0"/>
        <w:rPr>
          <w:rFonts w:hint="eastAsia"/>
        </w:rPr>
      </w:pPr>
      <w:r>
        <w:rPr>
          <w:rFonts w:cs="仿宋" w:hint="eastAsia"/>
        </w:rPr>
        <w:t>（九）法律、法规规定的其他要求。</w:t>
      </w:r>
    </w:p>
    <w:p>
      <w:pPr>
        <w:pStyle w:val="Normal"/>
        <w:ind w:firstLineChars="200" w:startChars="0" w:start="0" w:endChars="0" w:end="0"/>
        <w:rPr>
          <w:rFonts w:hint="eastAsia"/>
        </w:rPr>
      </w:pPr>
      <w:r>
        <w:rPr>
          <w:rFonts w:cs="黑体" w:hint="eastAsia" w:eastAsia="黑体"/>
        </w:rPr>
        <w:t>第十三条</w:t>
      </w:r>
      <w:r>
        <w:rPr>
          <w:rFonts w:cs="黑体" w:hint="eastAsia"/>
        </w:rPr>
        <w:t xml:space="preserve">  </w:t>
      </w:r>
      <w:r>
        <w:rPr>
          <w:rFonts w:cs="仿宋" w:hint="eastAsia"/>
        </w:rPr>
        <w:t>公园的游憩、服务、管理设施应当按照公园建设工程设计方案或者修建性详细规划以及相关规范设置；对环境有影响的项目应当依法配套建设污染防治设施。</w:t>
      </w:r>
    </w:p>
    <w:p>
      <w:pPr>
        <w:pStyle w:val="Normal"/>
        <w:ind w:firstLineChars="200" w:startChars="0" w:start="0" w:endChars="0" w:end="0"/>
        <w:rPr>
          <w:rFonts w:cs="仿宋" w:hint="eastAsia"/>
        </w:rPr>
      </w:pPr>
      <w:r>
        <w:rPr>
          <w:rFonts w:cs="仿宋" w:hint="eastAsia"/>
        </w:rPr>
        <w:t>已建成的公园内，任何单位和个人不得新建建（构）筑物；确需建设的，应当向自然资源和规划部门提出申请。</w:t>
      </w:r>
    </w:p>
    <w:p>
      <w:pPr>
        <w:pStyle w:val="Normal"/>
        <w:ind w:firstLineChars="200" w:startChars="0" w:start="0" w:endChars="0" w:end="0"/>
        <w:rPr>
          <w:rFonts w:cs="仿宋" w:hint="eastAsia"/>
        </w:rPr>
      </w:pPr>
      <w:r>
        <w:rPr>
          <w:rFonts w:cs="仿宋" w:hint="eastAsia"/>
        </w:rPr>
        <w:t>在综合公园、历史名园等对景观有较高要求的公园周边新建、改建、扩建建（构）筑物的，应当符合公园控制性详细规划确定的控制指标和设计指导原则。</w:t>
      </w:r>
    </w:p>
    <w:p>
      <w:pPr>
        <w:pStyle w:val="Normal"/>
        <w:ind w:firstLineChars="200" w:startChars="0" w:start="0" w:endChars="0" w:end="0"/>
        <w:rPr>
          <w:rFonts w:hint="eastAsia"/>
          <w:strike/>
        </w:rPr>
      </w:pPr>
      <w:r>
        <w:rPr>
          <w:rFonts w:cs="黑体" w:hint="eastAsia" w:eastAsia="黑体"/>
        </w:rPr>
        <w:t xml:space="preserve">第十四条 </w:t>
      </w:r>
      <w:r>
        <w:rPr>
          <w:rFonts w:cs="黑体" w:hint="eastAsia"/>
        </w:rPr>
        <w:t xml:space="preserve"> </w:t>
      </w:r>
      <w:r>
        <w:rPr>
          <w:rFonts w:cs="仿宋" w:hint="eastAsia"/>
        </w:rPr>
        <w:t>公园内设置水、电、燃气、通信等管线和其他市政设施，应当符合有关技术规范并兼顾公园景观。</w:t>
      </w:r>
    </w:p>
    <w:p>
      <w:pPr>
        <w:pStyle w:val="Normal"/>
        <w:ind w:firstLineChars="200" w:startChars="0" w:start="0" w:endChars="0" w:end="0"/>
        <w:rPr>
          <w:rFonts w:hint="eastAsia"/>
        </w:rPr>
      </w:pPr>
      <w:r>
        <w:rPr>
          <w:rFonts w:cs="黑体" w:hint="eastAsia" w:eastAsia="黑体"/>
        </w:rPr>
        <w:t>第十五条</w:t>
      </w:r>
      <w:r>
        <w:rPr>
          <w:rFonts w:cs="黑体" w:hint="eastAsia"/>
        </w:rPr>
        <w:t xml:space="preserve">  </w:t>
      </w:r>
      <w:r>
        <w:rPr>
          <w:rFonts w:cs="仿宋" w:hint="eastAsia"/>
        </w:rPr>
        <w:t>公园游乐设施应当在娱乐活动区集中设置并符合有关技术规范和安全标准。大型游乐设施经特种设备检验机构检验合格后，方可投入使用。</w:t>
      </w:r>
    </w:p>
    <w:p>
      <w:pPr>
        <w:pStyle w:val="Normal"/>
        <w:ind w:firstLineChars="200" w:startChars="0" w:start="0" w:endChars="0" w:end="0"/>
        <w:rPr>
          <w:rFonts w:hint="eastAsia"/>
        </w:rPr>
      </w:pPr>
      <w:r>
        <w:rPr>
          <w:rFonts w:cs="黑体" w:hint="eastAsia" w:eastAsia="黑体"/>
        </w:rPr>
        <w:t>第十六条</w:t>
      </w:r>
      <w:r>
        <w:rPr>
          <w:rFonts w:cs="黑体" w:hint="eastAsia"/>
        </w:rPr>
        <w:t xml:space="preserve">  </w:t>
      </w:r>
      <w:r>
        <w:rPr>
          <w:rFonts w:cs="仿宋" w:hint="eastAsia"/>
        </w:rPr>
        <w:t>在公园内施工，应当保护公园景观以及各类设施。因施工影响公园景观或者造成各类设施损毁的，施工结束后应当及时恢复原状。</w:t>
      </w:r>
    </w:p>
    <w:p>
      <w:pPr>
        <w:pStyle w:val="Normal"/>
        <w:ind w:firstLineChars="200" w:startChars="0" w:start="0" w:endChars="0" w:end="0"/>
        <w:rPr>
          <w:rFonts w:hint="eastAsia"/>
        </w:rPr>
      </w:pPr>
      <w:r>
        <w:rPr>
          <w:rFonts w:cs="黑体" w:hint="eastAsia" w:eastAsia="黑体"/>
        </w:rPr>
        <w:t xml:space="preserve">第十七条 </w:t>
      </w:r>
      <w:r>
        <w:rPr>
          <w:rFonts w:cs="黑体" w:hint="eastAsia"/>
        </w:rPr>
        <w:t xml:space="preserve"> </w:t>
      </w:r>
      <w:r>
        <w:rPr>
          <w:rFonts w:cs="仿宋" w:hint="eastAsia"/>
        </w:rPr>
        <w:t>任何单位和个人不得擅自改变公园的用地性质。</w:t>
      </w:r>
    </w:p>
    <w:p>
      <w:pPr>
        <w:pStyle w:val="Normal"/>
        <w:ind w:firstLineChars="200" w:startChars="0" w:start="0" w:endChars="0" w:end="0"/>
        <w:rPr>
          <w:rFonts w:hint="eastAsia"/>
        </w:rPr>
      </w:pPr>
      <w:r>
        <w:rPr>
          <w:rFonts w:cs="仿宋" w:hint="eastAsia"/>
        </w:rPr>
        <w:t>因国家重点工程建设、城市重大基础设施建设确需改变公园用地性质的，自然资源和规划部门应当书面征求同级城市管理等有关部门意见，并采取座谈会、听证会等方式征求公众意见后，按照法定条件和程序调整。</w:t>
      </w:r>
    </w:p>
    <w:p>
      <w:pPr>
        <w:pStyle w:val="Normal"/>
        <w:jc w:val="center"/>
        <w:rPr>
          <w:rFonts w:hint="eastAsia"/>
        </w:rPr>
      </w:pPr>
      <w:r>
        <w:rPr>
          <w:rFonts w:hint="eastAsia"/>
        </w:rPr>
      </w:r>
    </w:p>
    <w:p>
      <w:pPr>
        <w:pStyle w:val="Normal"/>
        <w:jc w:val="center"/>
        <w:rPr>
          <w:rFonts w:eastAsia="黑体" w:cs="黑体" w:hint="eastAsia"/>
        </w:rPr>
      </w:pPr>
      <w:r>
        <w:rPr>
          <w:rFonts w:cs="黑体" w:hint="eastAsia" w:eastAsia="黑体"/>
        </w:rPr>
        <w:t>第三章  管理与使用</w:t>
      </w:r>
      <w:bookmarkStart w:id="3" w:name="OLE_LINK8"/>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hint="eastAsia"/>
        </w:rPr>
      </w:pPr>
      <w:r>
        <w:rPr>
          <w:rFonts w:cs="黑体" w:hint="eastAsia" w:eastAsia="黑体"/>
        </w:rPr>
        <w:t xml:space="preserve">第十八条 </w:t>
      </w:r>
      <w:r>
        <w:rPr>
          <w:rFonts w:cs="黑体" w:hint="eastAsia"/>
        </w:rPr>
        <w:t xml:space="preserve"> </w:t>
      </w:r>
      <w:r>
        <w:rPr>
          <w:rFonts w:cs="仿宋" w:hint="eastAsia"/>
        </w:rPr>
        <w:t>公园竣工验收合格后，方可交付使用；确需移交政府管理的公园，在建设单位与城市管理、财政等部门办理移交手续后，由城市管理部门或者政府确定的其他单位接收。</w:t>
      </w:r>
    </w:p>
    <w:p>
      <w:pPr>
        <w:pStyle w:val="Normal"/>
        <w:ind w:firstLineChars="200" w:startChars="0" w:start="0" w:endChars="0" w:end="0"/>
        <w:rPr>
          <w:rFonts w:hint="eastAsia"/>
        </w:rPr>
      </w:pPr>
      <w:r>
        <w:rPr>
          <w:rFonts w:cs="仿宋" w:hint="eastAsia"/>
        </w:rPr>
        <w:t>公园移交后，当年度的绿化养护、卫生保洁等所需资金由接收单位向同级财政部门申报。次年起所需经费纳入接收单位年度预算或者财政专项资金。</w:t>
      </w:r>
    </w:p>
    <w:p>
      <w:pPr>
        <w:pStyle w:val="Normal"/>
        <w:ind w:firstLineChars="200" w:startChars="0" w:start="0" w:endChars="0" w:end="0"/>
        <w:rPr>
          <w:rFonts w:hint="eastAsia"/>
          <w:strike/>
        </w:rPr>
      </w:pPr>
      <w:r>
        <w:rPr>
          <w:rFonts w:cs="黑体" w:hint="eastAsia" w:eastAsia="黑体"/>
        </w:rPr>
        <w:t>第十九条</w:t>
      </w:r>
      <w:r>
        <w:rPr>
          <w:rFonts w:cs="黑体" w:hint="eastAsia"/>
        </w:rPr>
        <w:t xml:space="preserve">  </w:t>
      </w:r>
      <w:r>
        <w:rPr>
          <w:rFonts w:cs="仿宋" w:hint="eastAsia"/>
        </w:rPr>
        <w:t>建设单位、接收单位应当设立或者采取政府购买服务的方式确定相关专业机构作为公园管理单位，负责公园的日常管理和服务工作。</w:t>
      </w:r>
    </w:p>
    <w:p>
      <w:pPr>
        <w:pStyle w:val="Normal"/>
        <w:ind w:firstLineChars="200" w:startChars="0" w:start="0" w:endChars="0" w:end="0"/>
        <w:rPr>
          <w:rFonts w:hint="eastAsia"/>
        </w:rPr>
      </w:pPr>
      <w:r>
        <w:rPr>
          <w:rFonts w:cs="仿宋" w:hint="eastAsia"/>
        </w:rPr>
        <w:t>鼓励公园管理单位、志愿服务组织开展选聘市民园长、特邀管理员等活动，组织志愿者参与公园管理与服务。</w:t>
      </w:r>
    </w:p>
    <w:p>
      <w:pPr>
        <w:pStyle w:val="Normal"/>
        <w:ind w:firstLineChars="200" w:startChars="0" w:start="0" w:endChars="0" w:end="0"/>
        <w:rPr>
          <w:rFonts w:cs="仿宋" w:hint="eastAsia"/>
        </w:rPr>
      </w:pPr>
      <w:r>
        <w:rPr>
          <w:rFonts w:cs="黑体" w:hint="eastAsia" w:eastAsia="黑体"/>
        </w:rPr>
        <w:t xml:space="preserve">第二十条 </w:t>
      </w:r>
      <w:r>
        <w:rPr>
          <w:rFonts w:cs="黑体" w:hint="eastAsia"/>
        </w:rPr>
        <w:t xml:space="preserve"> </w:t>
      </w:r>
      <w:r>
        <w:rPr>
          <w:rFonts w:cs="仿宋" w:hint="eastAsia"/>
        </w:rPr>
        <w:t>公园管理单位应当按照公园管理相关规范进行日常管理和服务。</w:t>
      </w:r>
    </w:p>
    <w:p>
      <w:pPr>
        <w:pStyle w:val="Normal"/>
        <w:ind w:firstLineChars="200" w:startChars="0" w:start="0" w:endChars="0" w:end="0"/>
        <w:rPr>
          <w:rFonts w:hint="eastAsia"/>
        </w:rPr>
      </w:pPr>
      <w:r>
        <w:rPr>
          <w:rFonts w:cs="仿宋" w:hint="eastAsia"/>
        </w:rPr>
        <w:t>政府投资建设和移交政府管理的公园，采取政府购买服务方式确定公园绿化养护、卫生保洁等经营服务企业的，可以在政府采购文件中明确公园管理规范相关要求。</w:t>
      </w:r>
    </w:p>
    <w:p>
      <w:pPr>
        <w:pStyle w:val="Normal"/>
        <w:ind w:firstLineChars="200" w:startChars="0" w:start="0" w:endChars="0" w:end="0"/>
        <w:rPr>
          <w:rFonts w:hint="eastAsia"/>
        </w:rPr>
      </w:pPr>
      <w:r>
        <w:rPr>
          <w:rFonts w:cs="黑体" w:hint="eastAsia" w:eastAsia="黑体"/>
        </w:rPr>
        <w:t>第二十一条</w:t>
      </w:r>
      <w:r>
        <w:rPr>
          <w:rFonts w:cs="黑体" w:hint="eastAsia"/>
        </w:rPr>
        <w:t xml:space="preserve">  </w:t>
      </w:r>
      <w:r>
        <w:rPr>
          <w:rFonts w:cs="仿宋" w:hint="eastAsia"/>
        </w:rPr>
        <w:t>公园入口处显著位置应当设置公园平面和功能区分布示意图、公园简介、游园须知，公示公园管理单位以及投诉举报电话；园内主要路口应当设置导向标志；健身、游乐等设施应当设置安全提示标志；危险地带应当设置安全警示标志；非游泳区、防火区、禁烟区、禁行区应当设置明显的禁止标志。</w:t>
      </w:r>
      <w:bookmarkStart w:id="4" w:name="OLE_LINK11"/>
      <w:bookmarkStart w:id="5" w:name="OLE_LINK10"/>
    </w:p>
    <w:p>
      <w:pPr>
        <w:pStyle w:val="Normal"/>
        <w:ind w:firstLineChars="200" w:startChars="0" w:start="0" w:endChars="0" w:end="0"/>
        <w:rPr>
          <w:rFonts w:hint="eastAsia"/>
          <w:strike/>
        </w:rPr>
      </w:pPr>
      <w:r>
        <w:rPr>
          <w:rFonts w:cs="仿宋" w:hint="eastAsia"/>
        </w:rPr>
        <w:t>公园内各类标识的文字、图形应当规范清晰、整洁完备。</w:t>
      </w:r>
    </w:p>
    <w:p>
      <w:pPr>
        <w:pStyle w:val="Normal"/>
        <w:ind w:firstLineChars="200" w:startChars="0" w:start="0" w:endChars="0" w:end="0"/>
        <w:rPr>
          <w:rFonts w:hint="eastAsia"/>
          <w:strike/>
        </w:rPr>
      </w:pPr>
      <w:bookmarkEnd w:id="4"/>
      <w:bookmarkEnd w:id="5"/>
      <w:r>
        <w:rPr>
          <w:rFonts w:cs="黑体" w:hint="eastAsia" w:eastAsia="黑体"/>
        </w:rPr>
        <w:t>第二十二条</w:t>
      </w:r>
      <w:r>
        <w:rPr>
          <w:rFonts w:cs="黑体" w:hint="eastAsia"/>
        </w:rPr>
        <w:t xml:space="preserve">  </w:t>
      </w:r>
      <w:r>
        <w:rPr>
          <w:rFonts w:cs="仿宋" w:hint="eastAsia"/>
        </w:rPr>
        <w:t>政府投资建设和移交政府管理的综合公园、社区公园和以文化传承、科普教育为主要功能的专类公园应当实行门票免费，特殊情况拟收取门票的，应当召开听证会，征求游人、经营者和有关方面意见，论证其必要性、可行性，实行政府定价或者政府指导价。</w:t>
      </w:r>
    </w:p>
    <w:p>
      <w:pPr>
        <w:pStyle w:val="Normal"/>
        <w:ind w:firstLineChars="200" w:startChars="0" w:start="0" w:endChars="0" w:end="0"/>
        <w:rPr>
          <w:rFonts w:cs="仿宋" w:hint="eastAsia"/>
        </w:rPr>
      </w:pPr>
      <w:r>
        <w:rPr>
          <w:rFonts w:cs="仿宋" w:hint="eastAsia"/>
        </w:rPr>
        <w:t>实行收费的公园，应当对儿童、学生、老年人、残疾人、现役军人、残疾军人、军队离休退休人员等特定群体实行免费或者其他优惠，并在售票处显著位置标明游园内容、票价种类、优惠对象、优惠幅度以及监督举报电话。</w:t>
      </w:r>
    </w:p>
    <w:p>
      <w:pPr>
        <w:pStyle w:val="Normal"/>
        <w:ind w:firstLineChars="200" w:startChars="0" w:start="0" w:endChars="0" w:end="0"/>
        <w:rPr>
          <w:rFonts w:hint="eastAsia"/>
        </w:rPr>
      </w:pPr>
      <w:r>
        <w:rPr>
          <w:rFonts w:cs="黑体" w:hint="eastAsia" w:eastAsia="黑体"/>
        </w:rPr>
        <w:t>第二十三条</w:t>
      </w:r>
      <w:r>
        <w:rPr>
          <w:rFonts w:cs="黑体" w:hint="eastAsia"/>
        </w:rPr>
        <w:t xml:space="preserve">  </w:t>
      </w:r>
      <w:r>
        <w:rPr>
          <w:rFonts w:cs="仿宋" w:hint="eastAsia"/>
        </w:rPr>
        <w:t>政府投资建设和移交政府管理公园的管理用房和亭、台、楼、阁等园林建筑不得改变用途或者出租、出借给他人经营使用。</w:t>
      </w:r>
    </w:p>
    <w:p>
      <w:pPr>
        <w:pStyle w:val="Normal"/>
        <w:ind w:firstLineChars="200" w:startChars="0" w:start="0" w:endChars="0" w:end="0"/>
        <w:rPr>
          <w:rFonts w:hint="eastAsia"/>
          <w:strike/>
        </w:rPr>
      </w:pPr>
      <w:r>
        <w:rPr>
          <w:rFonts w:cs="仿宋" w:hint="eastAsia"/>
        </w:rPr>
        <w:t>政府投资建设和移交政府管理公园内的配套经营服务项目，应当按照公开、公平、公正的原则依法确定经营者。</w:t>
      </w:r>
    </w:p>
    <w:p>
      <w:pPr>
        <w:pStyle w:val="Normal"/>
        <w:ind w:firstLineChars="200" w:startChars="0" w:start="0" w:endChars="0" w:end="0"/>
        <w:rPr>
          <w:rFonts w:hint="eastAsia"/>
        </w:rPr>
      </w:pPr>
      <w:r>
        <w:rPr>
          <w:rFonts w:cs="黑体" w:hint="eastAsia" w:eastAsia="黑体"/>
        </w:rPr>
        <w:t>第二十四条</w:t>
      </w:r>
      <w:bookmarkEnd w:id="3"/>
      <w:r>
        <w:rPr>
          <w:rFonts w:cs="黑体" w:hint="eastAsia"/>
        </w:rPr>
        <w:t xml:space="preserve">  </w:t>
      </w:r>
      <w:r>
        <w:rPr>
          <w:rFonts w:cs="仿宋" w:hint="eastAsia"/>
        </w:rPr>
        <w:t>利用公园内场地临时举办活动的，应当经公园管理单位同意，符合安全管理等有关规定，不得破坏公园设施和景观，不得影响正常游园秩序，依法需要报有关部门批准的，按照有关规定办理。活动结束后，举办者应当于当日清理场地、清除垃圾等各类废弃物。</w:t>
      </w:r>
    </w:p>
    <w:p>
      <w:pPr>
        <w:pStyle w:val="Normal"/>
        <w:ind w:firstLineChars="200" w:startChars="0" w:start="0" w:endChars="0" w:end="0"/>
        <w:rPr>
          <w:rFonts w:hint="eastAsia"/>
          <w:strike/>
        </w:rPr>
      </w:pPr>
      <w:r>
        <w:rPr>
          <w:rFonts w:cs="仿宋" w:hint="eastAsia"/>
        </w:rPr>
        <w:t>政府投资建设和移交政府管理的社区公园、游园和规模较小的专类公园，不得利用其园内场地举办商业性展览、演出活动。</w:t>
      </w:r>
    </w:p>
    <w:p>
      <w:pPr>
        <w:pStyle w:val="Normal"/>
        <w:ind w:firstLineChars="200" w:startChars="0" w:start="0" w:endChars="0" w:end="0"/>
        <w:rPr>
          <w:rFonts w:hint="eastAsia"/>
        </w:rPr>
      </w:pPr>
      <w:r>
        <w:rPr>
          <w:rFonts w:cs="黑体" w:hint="eastAsia" w:eastAsia="黑体"/>
        </w:rPr>
        <w:t>第二十五条</w:t>
      </w:r>
      <w:r>
        <w:rPr>
          <w:rFonts w:cs="黑体" w:hint="eastAsia"/>
        </w:rPr>
        <w:t xml:space="preserve">  </w:t>
      </w:r>
      <w:r>
        <w:rPr>
          <w:rFonts w:cs="仿宋" w:hint="eastAsia"/>
        </w:rPr>
        <w:t>政府投资建设和移交政府管理的公园内一般不得设置商业性户外广告；不得擅自摆摊设点。</w:t>
      </w:r>
    </w:p>
    <w:p>
      <w:pPr>
        <w:pStyle w:val="Normal"/>
        <w:ind w:firstLineChars="200" w:startChars="0" w:start="0" w:endChars="0" w:end="0"/>
        <w:rPr>
          <w:rFonts w:hint="eastAsia"/>
        </w:rPr>
      </w:pPr>
      <w:r>
        <w:rPr>
          <w:rFonts w:cs="黑体" w:hint="eastAsia" w:eastAsia="黑体"/>
        </w:rPr>
        <w:t>第二十六条</w:t>
      </w:r>
      <w:r>
        <w:rPr>
          <w:rFonts w:cs="黑体" w:hint="eastAsia"/>
        </w:rPr>
        <w:t xml:space="preserve">  </w:t>
      </w:r>
      <w:r>
        <w:rPr>
          <w:rFonts w:cs="仿宋" w:hint="eastAsia"/>
        </w:rPr>
        <w:t>任何单位和个人不得向公园水体倾倒、抛洒废弃物或者排放污水、废水。</w:t>
      </w:r>
    </w:p>
    <w:p>
      <w:pPr>
        <w:pStyle w:val="Normal"/>
        <w:ind w:firstLineChars="200" w:startChars="0" w:start="0" w:endChars="0" w:end="0"/>
        <w:rPr>
          <w:rFonts w:cs="仿宋" w:hint="eastAsia"/>
        </w:rPr>
      </w:pPr>
      <w:r>
        <w:rPr>
          <w:rFonts w:cs="仿宋" w:hint="eastAsia"/>
        </w:rPr>
        <w:t>任何单位和个人不得擅自在公园水体进行除娱乐性游钓以外的渔业捕捞活动。</w:t>
      </w:r>
    </w:p>
    <w:p>
      <w:pPr>
        <w:pStyle w:val="Normal"/>
        <w:ind w:firstLineChars="200" w:startChars="0" w:start="0" w:endChars="0" w:end="0"/>
        <w:rPr>
          <w:rFonts w:hint="eastAsia"/>
        </w:rPr>
      </w:pPr>
      <w:r>
        <w:rPr>
          <w:rFonts w:cs="仿宋" w:hint="eastAsia"/>
        </w:rPr>
        <w:t>公园管理单位可以禁止游人在公园水体或者其部分区域进行娱乐性游钓；禁止娱乐性游钓的，应当在显著位置设置禁止标志。</w:t>
      </w:r>
    </w:p>
    <w:p>
      <w:pPr>
        <w:pStyle w:val="Normal"/>
        <w:ind w:firstLineChars="200" w:startChars="0" w:start="0" w:endChars="0" w:end="0"/>
        <w:rPr>
          <w:rFonts w:hint="eastAsia"/>
        </w:rPr>
      </w:pPr>
      <w:r>
        <w:rPr>
          <w:rFonts w:cs="黑体" w:hint="eastAsia" w:eastAsia="黑体"/>
        </w:rPr>
        <w:t xml:space="preserve">第二十七条 </w:t>
      </w:r>
      <w:r>
        <w:rPr>
          <w:rFonts w:cs="黑体" w:hint="eastAsia"/>
        </w:rPr>
        <w:t xml:space="preserve"> </w:t>
      </w:r>
      <w:r>
        <w:rPr>
          <w:rFonts w:cs="仿宋" w:hint="eastAsia"/>
        </w:rPr>
        <w:t>生态环境部门应当根据公园所在区域声环境质量标准，确定公园的环境噪声限值并向社会公布。</w:t>
      </w:r>
    </w:p>
    <w:p>
      <w:pPr>
        <w:pStyle w:val="Normal"/>
        <w:ind w:firstLineChars="200" w:startChars="0" w:start="0" w:endChars="0" w:end="0"/>
        <w:rPr>
          <w:rFonts w:cs="仿宋" w:hint="eastAsia"/>
        </w:rPr>
      </w:pPr>
      <w:r>
        <w:rPr>
          <w:rFonts w:cs="仿宋" w:hint="eastAsia"/>
        </w:rPr>
        <w:t>有条件的公园，公园管理单位应当划定区域供游人开展集体健身娱乐活动。游人在公园内开展健身娱乐等活动所产生的环境噪声，不得超过环境噪声限值。</w:t>
      </w:r>
    </w:p>
    <w:p>
      <w:pPr>
        <w:pStyle w:val="Normal"/>
        <w:ind w:firstLineChars="200" w:startChars="0" w:start="0" w:endChars="0" w:end="0"/>
        <w:rPr>
          <w:rFonts w:hint="eastAsia"/>
        </w:rPr>
      </w:pPr>
      <w:r>
        <w:rPr>
          <w:rFonts w:cs="仿宋" w:hint="eastAsia"/>
        </w:rPr>
        <w:t>医院、学校、住宅等噪声敏感建筑物周边五十米以内的公园区域内，在午间（中午十二点至十四点）、夜间（晚二十二点至晨六点）、中考和高考等特殊期间，禁止使用音响器材，开展产生干扰周围生活环境的过大音量的娱乐、集会等活动。</w:t>
      </w:r>
    </w:p>
    <w:p>
      <w:pPr>
        <w:pStyle w:val="Normal"/>
        <w:ind w:firstLineChars="200" w:startChars="0" w:start="0" w:endChars="0" w:end="0"/>
        <w:rPr>
          <w:rFonts w:hint="eastAsia"/>
          <w:strike/>
        </w:rPr>
      </w:pPr>
      <w:r>
        <w:rPr>
          <w:rFonts w:cs="黑体" w:hint="eastAsia" w:eastAsia="黑体"/>
        </w:rPr>
        <w:t xml:space="preserve">第二十八条 </w:t>
      </w:r>
      <w:r>
        <w:rPr>
          <w:rFonts w:cs="黑体" w:hint="eastAsia"/>
        </w:rPr>
        <w:t xml:space="preserve"> </w:t>
      </w:r>
      <w:r>
        <w:rPr>
          <w:rFonts w:cs="仿宋" w:hint="eastAsia"/>
        </w:rPr>
        <w:t>公园管理单位应当配置噪声监测设备，对公园内的健身娱乐等活动产生的噪声值进行经常性监测。</w:t>
      </w:r>
    </w:p>
    <w:p>
      <w:pPr>
        <w:pStyle w:val="Normal"/>
        <w:ind w:firstLineChars="200" w:startChars="0" w:start="0" w:endChars="0" w:end="0"/>
        <w:rPr>
          <w:rFonts w:hint="eastAsia"/>
        </w:rPr>
      </w:pPr>
      <w:r>
        <w:rPr>
          <w:rFonts w:cs="仿宋" w:hint="eastAsia"/>
        </w:rPr>
        <w:t>公园管理单位发现游人有违反环境噪声规定行为的，应当及时劝阻；劝阻无效的，应当向城市管理、生态环境等有关部门报告。</w:t>
      </w:r>
    </w:p>
    <w:p>
      <w:pPr>
        <w:pStyle w:val="Normal"/>
        <w:ind w:firstLineChars="200" w:startChars="0" w:start="0" w:endChars="0" w:end="0"/>
        <w:rPr>
          <w:rFonts w:hint="eastAsia"/>
        </w:rPr>
      </w:pPr>
      <w:r>
        <w:rPr>
          <w:rFonts w:cs="黑体" w:hint="eastAsia" w:eastAsia="黑体"/>
        </w:rPr>
        <w:t xml:space="preserve">第二十九条 </w:t>
      </w:r>
      <w:r>
        <w:rPr>
          <w:rFonts w:cs="黑体" w:hint="eastAsia"/>
        </w:rPr>
        <w:t xml:space="preserve"> </w:t>
      </w:r>
      <w:r>
        <w:rPr>
          <w:rFonts w:cs="仿宋" w:hint="eastAsia"/>
        </w:rPr>
        <w:t>除下列车辆外，禁止车辆进入公园内停车场以外的区域：</w:t>
      </w:r>
    </w:p>
    <w:p>
      <w:pPr>
        <w:pStyle w:val="Normal"/>
        <w:ind w:firstLineChars="200" w:startChars="0" w:start="0" w:endChars="0" w:end="0"/>
        <w:rPr>
          <w:rFonts w:hint="eastAsia"/>
        </w:rPr>
      </w:pPr>
      <w:r>
        <w:rPr>
          <w:rFonts w:cs="仿宋" w:hint="eastAsia"/>
        </w:rPr>
        <w:t>（一）老、幼、病、残者专用的非机动车；</w:t>
      </w:r>
    </w:p>
    <w:p>
      <w:pPr>
        <w:pStyle w:val="Normal"/>
        <w:ind w:firstLineChars="200" w:startChars="0" w:start="0" w:endChars="0" w:end="0"/>
        <w:rPr>
          <w:rFonts w:hint="eastAsia"/>
        </w:rPr>
      </w:pPr>
      <w:r>
        <w:rPr>
          <w:rFonts w:cs="仿宋" w:hint="eastAsia"/>
        </w:rPr>
        <w:t>（二）公园内专用观光车辆；</w:t>
      </w:r>
    </w:p>
    <w:p>
      <w:pPr>
        <w:pStyle w:val="Normal"/>
        <w:ind w:firstLineChars="200" w:startChars="0" w:start="0" w:endChars="0" w:end="0"/>
        <w:rPr>
          <w:rFonts w:hint="eastAsia"/>
        </w:rPr>
      </w:pPr>
      <w:r>
        <w:rPr>
          <w:rFonts w:cs="仿宋" w:hint="eastAsia"/>
        </w:rPr>
        <w:t>（三）水、电、通信等为公园施工、养护、抢修等作业车辆；</w:t>
      </w:r>
    </w:p>
    <w:p>
      <w:pPr>
        <w:pStyle w:val="Normal"/>
        <w:ind w:firstLineChars="200" w:startChars="0" w:start="0" w:endChars="0" w:end="0"/>
        <w:rPr>
          <w:rFonts w:hint="eastAsia"/>
        </w:rPr>
      </w:pPr>
      <w:r>
        <w:rPr>
          <w:rFonts w:cs="仿宋" w:hint="eastAsia"/>
        </w:rPr>
        <w:t>（四）公安、消防、救护、抢险等执行公务的车辆。</w:t>
      </w:r>
    </w:p>
    <w:p>
      <w:pPr>
        <w:pStyle w:val="Normal"/>
        <w:ind w:firstLineChars="200" w:startChars="0" w:start="0" w:endChars="0" w:end="0"/>
        <w:rPr>
          <w:rFonts w:cs="仿宋" w:hint="eastAsia"/>
        </w:rPr>
      </w:pPr>
      <w:r>
        <w:rPr>
          <w:rFonts w:cs="仿宋" w:hint="eastAsia"/>
        </w:rPr>
        <w:t>设有自行车道的公园，应当允许未安装动力装置的自行车进入。</w:t>
      </w:r>
    </w:p>
    <w:p>
      <w:pPr>
        <w:pStyle w:val="Normal"/>
        <w:ind w:firstLineChars="200" w:startChars="0" w:start="0" w:endChars="0" w:end="0"/>
        <w:rPr>
          <w:rFonts w:hint="eastAsia"/>
          <w:strike/>
        </w:rPr>
      </w:pPr>
      <w:r>
        <w:rPr>
          <w:rFonts w:cs="仿宋" w:hint="eastAsia"/>
        </w:rPr>
        <w:t>允许进入公园的车辆，应当按照公园管理单位规定的路线和速度行驶，在指定的地点熄火停放，执行紧急任务的公务车辆除外。</w:t>
      </w:r>
    </w:p>
    <w:p>
      <w:pPr>
        <w:pStyle w:val="Normal"/>
        <w:ind w:firstLineChars="200" w:startChars="0" w:start="0" w:endChars="0" w:end="0"/>
        <w:rPr>
          <w:rFonts w:hint="eastAsia"/>
        </w:rPr>
      </w:pPr>
      <w:r>
        <w:rPr>
          <w:rFonts w:cs="黑体" w:hint="eastAsia" w:eastAsia="黑体"/>
        </w:rPr>
        <w:t xml:space="preserve">第三十条 </w:t>
      </w:r>
      <w:r>
        <w:rPr>
          <w:rFonts w:cs="黑体" w:hint="eastAsia"/>
        </w:rPr>
        <w:t xml:space="preserve"> </w:t>
      </w:r>
      <w:r>
        <w:rPr>
          <w:rFonts w:cs="仿宋" w:hint="eastAsia"/>
        </w:rPr>
        <w:t>公园管理单位可以禁止游人携带犬类、其他具有攻击性或者惊吓性的动物进入公园或者其部分区域，但扶助犬和导盲犬除外。禁止携带犬类等动物进入的，鼓励公园管理单位设置动物临时寄放设施。</w:t>
      </w:r>
    </w:p>
    <w:p>
      <w:pPr>
        <w:pStyle w:val="Normal"/>
        <w:ind w:firstLineChars="200" w:startChars="0" w:start="0" w:endChars="0" w:end="0"/>
        <w:rPr>
          <w:rFonts w:hint="eastAsia"/>
        </w:rPr>
      </w:pPr>
      <w:r>
        <w:rPr>
          <w:rFonts w:cs="仿宋" w:hint="eastAsia"/>
        </w:rPr>
        <w:t>允许携带犬类等动物进入的综合公园、规模较大的社区公园等，有条件的，应当划定动物集中活动区域。游人携带犬类等动物进入公园的，应当防止动物伤害他人，并即时清除动物粪便，其中携带犬只的，应当为犬只佩戴标识牌，用束犬绳（链）牵引。</w:t>
      </w:r>
    </w:p>
    <w:p>
      <w:pPr>
        <w:pStyle w:val="Normal"/>
        <w:ind w:firstLineChars="200" w:startChars="0" w:start="0" w:endChars="0" w:end="0"/>
        <w:rPr>
          <w:rFonts w:hint="eastAsia"/>
        </w:rPr>
      </w:pPr>
      <w:r>
        <w:rPr>
          <w:rFonts w:cs="仿宋" w:hint="eastAsia"/>
        </w:rPr>
        <w:t>公园管理单位应当在公园入口处或者区域周边等显著位置设置标志，告知动物入园禁止事项和相关注意事项。</w:t>
      </w:r>
    </w:p>
    <w:p>
      <w:pPr>
        <w:pStyle w:val="Normal"/>
        <w:ind w:firstLineChars="200" w:startChars="0" w:start="0" w:endChars="0" w:end="0"/>
        <w:rPr>
          <w:rFonts w:hint="eastAsia"/>
        </w:rPr>
      </w:pPr>
      <w:r>
        <w:rPr>
          <w:rFonts w:cs="黑体" w:hint="eastAsia" w:eastAsia="黑体"/>
        </w:rPr>
        <w:t>第三十一条</w:t>
      </w:r>
      <w:r>
        <w:rPr>
          <w:rFonts w:cs="黑体" w:hint="eastAsia"/>
        </w:rPr>
        <w:t xml:space="preserve">  </w:t>
      </w:r>
      <w:r>
        <w:rPr>
          <w:rFonts w:cs="仿宋" w:hint="eastAsia"/>
        </w:rPr>
        <w:t>公园管理单位应当配备专职或者兼职的安全管理人员，制定安全管理制度和突发事件应急预案，并定期进行应急演练。</w:t>
      </w:r>
    </w:p>
    <w:p>
      <w:pPr>
        <w:pStyle w:val="Normal"/>
        <w:ind w:firstLineChars="200" w:startChars="0" w:start="0" w:endChars="0" w:end="0"/>
        <w:rPr>
          <w:rFonts w:hint="eastAsia"/>
          <w:b/>
          <w:bCs/>
        </w:rPr>
      </w:pPr>
      <w:r>
        <w:rPr>
          <w:rFonts w:cs="仿宋" w:hint="eastAsia"/>
        </w:rPr>
        <w:t>遇有紧急情况或者突发事件，公园管理单位应当启动应急预案，采取有效措施，保障游人安全。</w:t>
      </w:r>
    </w:p>
    <w:p>
      <w:pPr>
        <w:pStyle w:val="Normal"/>
        <w:ind w:firstLineChars="200" w:startChars="0" w:start="0" w:endChars="0" w:end="0"/>
        <w:rPr>
          <w:rFonts w:hint="eastAsia"/>
        </w:rPr>
      </w:pPr>
      <w:r>
        <w:rPr>
          <w:rFonts w:cs="黑体" w:hint="eastAsia" w:eastAsia="黑体"/>
        </w:rPr>
        <w:t>第三十二条</w:t>
      </w:r>
      <w:r>
        <w:rPr>
          <w:rFonts w:cs="黑体" w:hint="eastAsia"/>
        </w:rPr>
        <w:t xml:space="preserve">  </w:t>
      </w:r>
      <w:r>
        <w:rPr>
          <w:rFonts w:cs="仿宋" w:hint="eastAsia"/>
        </w:rPr>
        <w:t>鼓励建立公园综合管理服务数字平台，逐步实现信息公开和动态监管，提高公园管理和服务质量。</w:t>
      </w:r>
    </w:p>
    <w:p>
      <w:pPr>
        <w:pStyle w:val="Normal"/>
        <w:ind w:firstLineChars="200" w:startChars="0" w:start="0" w:endChars="0" w:end="0"/>
        <w:rPr>
          <w:rFonts w:hint="eastAsia"/>
          <w:strike/>
        </w:rPr>
      </w:pPr>
      <w:r>
        <w:rPr>
          <w:rFonts w:cs="仿宋" w:hint="eastAsia"/>
        </w:rPr>
        <w:t>有条件的综合公园、专类公园应当设立服务超市，设置直饮水、手机充电、无线网络等便民服务设施。</w:t>
      </w:r>
    </w:p>
    <w:p>
      <w:pPr>
        <w:pStyle w:val="Normal"/>
        <w:ind w:firstLineChars="200" w:startChars="0" w:start="0" w:endChars="0" w:end="0"/>
        <w:rPr>
          <w:rFonts w:cs="仿宋" w:hint="eastAsia"/>
        </w:rPr>
      </w:pPr>
      <w:r>
        <w:rPr>
          <w:rFonts w:cs="黑体" w:hint="eastAsia" w:eastAsia="黑体"/>
        </w:rPr>
        <w:t>第三十三条</w:t>
      </w:r>
      <w:r>
        <w:rPr>
          <w:rFonts w:cs="黑体" w:hint="eastAsia"/>
        </w:rPr>
        <w:t xml:space="preserve">  </w:t>
      </w:r>
      <w:r>
        <w:rPr>
          <w:rFonts w:cs="仿宋" w:hint="eastAsia"/>
        </w:rPr>
        <w:t>游人应当遵守以下规定：</w:t>
      </w:r>
    </w:p>
    <w:p>
      <w:pPr>
        <w:pStyle w:val="Normal"/>
        <w:ind w:firstLineChars="200" w:startChars="0" w:start="0" w:endChars="0" w:end="0"/>
        <w:rPr>
          <w:rFonts w:hint="eastAsia"/>
        </w:rPr>
      </w:pPr>
      <w:r>
        <w:rPr>
          <w:rFonts w:cs="仿宋" w:hint="eastAsia"/>
        </w:rPr>
        <w:t>（一）不得随地吐痰、便溺，不得乱扔果皮、纸屑和烟头等废弃物；</w:t>
      </w:r>
    </w:p>
    <w:p>
      <w:pPr>
        <w:pStyle w:val="Normal"/>
        <w:ind w:firstLineChars="200" w:startChars="0" w:start="0" w:endChars="0" w:end="0"/>
        <w:rPr>
          <w:rFonts w:hint="eastAsia"/>
        </w:rPr>
      </w:pPr>
      <w:r>
        <w:rPr>
          <w:rFonts w:cs="仿宋" w:hint="eastAsia"/>
        </w:rPr>
        <w:t>（二）不得采摘花草和植物果实、攀折花木，不得踩踏休养期的草坪；</w:t>
      </w:r>
    </w:p>
    <w:p>
      <w:pPr>
        <w:pStyle w:val="Normal"/>
        <w:ind w:firstLineChars="200" w:startChars="0" w:start="0" w:endChars="0" w:end="0"/>
        <w:rPr>
          <w:rFonts w:hint="eastAsia"/>
        </w:rPr>
      </w:pPr>
      <w:r>
        <w:rPr>
          <w:rFonts w:cs="仿宋" w:hint="eastAsia"/>
        </w:rPr>
        <w:t>（三）不得在建（构）筑物、设施、树木上涂写、刻画，或者擅自张贴宣传品；</w:t>
      </w:r>
    </w:p>
    <w:p>
      <w:pPr>
        <w:pStyle w:val="Normal"/>
        <w:ind w:start="640" w:end="0"/>
        <w:rPr>
          <w:rFonts w:hint="eastAsia"/>
        </w:rPr>
      </w:pPr>
      <w:r>
        <w:rPr>
          <w:rFonts w:cs="仿宋" w:hint="eastAsia"/>
        </w:rPr>
        <w:t>（四）不得在非指定区域游泳、烧烤、露营和营火；</w:t>
      </w:r>
    </w:p>
    <w:p>
      <w:pPr>
        <w:pStyle w:val="Normal"/>
        <w:ind w:firstLineChars="200" w:startChars="0" w:start="0" w:endChars="0" w:end="0"/>
        <w:rPr>
          <w:rFonts w:hint="eastAsia"/>
        </w:rPr>
      </w:pPr>
      <w:r>
        <w:rPr>
          <w:rFonts w:cs="仿宋" w:hint="eastAsia"/>
        </w:rPr>
        <w:t>（五）不得从事其他违反法律、法规和公序良俗的活动。</w:t>
      </w:r>
    </w:p>
    <w:p>
      <w:pPr>
        <w:pStyle w:val="Normal"/>
        <w:ind w:firstLineChars="200" w:startChars="0" w:start="0" w:endChars="0" w:end="0"/>
        <w:rPr>
          <w:rFonts w:hint="eastAsia"/>
        </w:rPr>
      </w:pPr>
      <w:r>
        <w:rPr>
          <w:rFonts w:cs="黑体" w:hint="eastAsia" w:eastAsia="黑体"/>
        </w:rPr>
        <w:t>第三十四条</w:t>
      </w:r>
      <w:r>
        <w:rPr>
          <w:rFonts w:cs="黑体" w:hint="eastAsia"/>
        </w:rPr>
        <w:t xml:space="preserve">  </w:t>
      </w:r>
      <w:r>
        <w:rPr>
          <w:rFonts w:cs="仿宋" w:hint="eastAsia"/>
        </w:rPr>
        <w:t>城市管理部门、公园管理单位应当自觉接受公众监督，及时受理投诉举报，并自受理之日起十五日内予以答复。</w:t>
      </w:r>
    </w:p>
    <w:p>
      <w:pPr>
        <w:pStyle w:val="Normal"/>
        <w:jc w:val="center"/>
        <w:rPr>
          <w:rFonts w:cs="黑体" w:hint="eastAsia"/>
        </w:rPr>
      </w:pPr>
      <w:r>
        <w:rPr>
          <w:rFonts w:cs="黑体" w:hint="eastAsia"/>
        </w:rPr>
      </w:r>
    </w:p>
    <w:p>
      <w:pPr>
        <w:pStyle w:val="Normal"/>
        <w:jc w:val="center"/>
        <w:rPr>
          <w:rFonts w:eastAsia="黑体" w:cs="黑体" w:hint="eastAsia"/>
        </w:rPr>
      </w:pPr>
      <w:r>
        <w:rPr>
          <w:rFonts w:cs="黑体" w:hint="eastAsia" w:eastAsia="黑体"/>
        </w:rPr>
        <w:t>第四章  法律责任</w:t>
      </w:r>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cs="仿宋" w:hint="eastAsia"/>
        </w:rPr>
      </w:pPr>
      <w:r>
        <w:rPr>
          <w:rFonts w:cs="黑体" w:hint="eastAsia" w:eastAsia="黑体"/>
        </w:rPr>
        <w:t>第三十五条</w:t>
      </w:r>
      <w:r>
        <w:rPr>
          <w:rFonts w:cs="黑体" w:hint="eastAsia"/>
        </w:rPr>
        <w:t xml:space="preserve">  </w:t>
      </w:r>
      <w:r>
        <w:rPr>
          <w:rFonts w:cs="仿宋" w:hint="eastAsia"/>
        </w:rPr>
        <w:t>违反本条例规定的行为，法律、法规已有法律责任规定的，从其规定。</w:t>
      </w:r>
    </w:p>
    <w:p>
      <w:pPr>
        <w:pStyle w:val="Normal"/>
        <w:ind w:firstLineChars="200" w:startChars="0" w:start="0" w:endChars="0" w:end="0"/>
        <w:rPr>
          <w:rFonts w:hint="eastAsia"/>
          <w:b/>
          <w:bCs/>
        </w:rPr>
      </w:pPr>
      <w:r>
        <w:rPr>
          <w:rFonts w:cs="黑体" w:hint="eastAsia" w:eastAsia="黑体"/>
        </w:rPr>
        <w:t xml:space="preserve">第三十六条 </w:t>
      </w:r>
      <w:r>
        <w:rPr>
          <w:rFonts w:cs="黑体" w:hint="eastAsia"/>
        </w:rPr>
        <w:t xml:space="preserve"> </w:t>
      </w:r>
      <w:r>
        <w:rPr>
          <w:rFonts w:cs="仿宋" w:hint="eastAsia"/>
        </w:rPr>
        <w:t>违反本条例第二十四条第一款规定，举办者未在活动结束当日清理场地、清除垃圾等废弃物的，由城市管理部门责令限期改正；逾期不改正的，个人处五十元以下罚款，单位处一千元以下罚款。</w:t>
      </w:r>
    </w:p>
    <w:p>
      <w:pPr>
        <w:pStyle w:val="Normal"/>
        <w:ind w:firstLineChars="200" w:startChars="0" w:start="0" w:endChars="0" w:end="0"/>
        <w:rPr>
          <w:rFonts w:cs="仿宋" w:hint="eastAsia"/>
        </w:rPr>
      </w:pPr>
      <w:r>
        <w:rPr>
          <w:rFonts w:cs="黑体" w:hint="eastAsia" w:eastAsia="黑体"/>
        </w:rPr>
        <w:t>第三十七条</w:t>
      </w:r>
      <w:r>
        <w:rPr>
          <w:rFonts w:cs="黑体" w:hint="eastAsia"/>
        </w:rPr>
        <w:t xml:space="preserve">  </w:t>
      </w:r>
      <w:r>
        <w:rPr>
          <w:rFonts w:cs="仿宋" w:hint="eastAsia"/>
        </w:rPr>
        <w:t>违反本条例第二十五条规定，在公园内擅自摆摊设点的，由城市管理部门责令改正，可给予警告，并可处一百元以上五百元以下罚款。</w:t>
      </w:r>
    </w:p>
    <w:p>
      <w:pPr>
        <w:pStyle w:val="Style14"/>
        <w:shd w:fill="FFFFFF" w:val="clear"/>
        <w:spacing w:before="0" w:after="0"/>
        <w:ind w:firstLineChars="200" w:startChars="0" w:start="0" w:endChars="0" w:end="0"/>
        <w:jc w:val="both"/>
        <w:rPr>
          <w:rFonts w:ascii="Times New Roman" w:hAnsi="Times New Roman" w:eastAsia="仿宋_GB2312;仿宋" w:cs="仿宋" w:hint="eastAsia"/>
          <w:kern w:val="2"/>
          <w:sz w:val="32"/>
          <w:szCs w:val="32"/>
        </w:rPr>
      </w:pPr>
      <w:r>
        <w:rPr>
          <w:rFonts w:ascii="Times New Roman" w:hAnsi="Times New Roman" w:cs="黑体" w:hint="eastAsia" w:eastAsia="黑体"/>
          <w:kern w:val="2"/>
          <w:sz w:val="32"/>
          <w:szCs w:val="32"/>
        </w:rPr>
        <w:t>第三十八条</w:t>
      </w:r>
      <w:r>
        <w:rPr>
          <w:rFonts w:ascii="Times New Roman" w:hAnsi="Times New Roman" w:cs="黑体" w:hint="eastAsia" w:eastAsia="仿宋_GB2312;仿宋"/>
          <w:kern w:val="2"/>
          <w:sz w:val="32"/>
          <w:szCs w:val="32"/>
        </w:rPr>
        <w:t xml:space="preserve">  </w:t>
      </w:r>
      <w:r>
        <w:rPr>
          <w:rFonts w:ascii="Times New Roman" w:hAnsi="Times New Roman" w:cs="仿宋" w:hint="eastAsia" w:eastAsia="仿宋_GB2312;仿宋"/>
          <w:kern w:val="2"/>
          <w:sz w:val="32"/>
          <w:szCs w:val="32"/>
        </w:rPr>
        <w:t>违反本条例第二十七条第二款规定，开展健身娱乐活动所产生的环境噪声超过限值的，由城市管理部门给予警告；警告后不改正的，处二百元以上五百元以下罚款。</w:t>
      </w:r>
    </w:p>
    <w:p>
      <w:pPr>
        <w:pStyle w:val="Normal"/>
        <w:ind w:firstLineChars="200" w:startChars="0" w:start="0" w:endChars="0" w:end="0"/>
        <w:rPr>
          <w:rFonts w:cs="仿宋" w:hint="eastAsia"/>
        </w:rPr>
      </w:pPr>
      <w:r>
        <w:rPr>
          <w:rFonts w:cs="仿宋" w:hint="eastAsia"/>
        </w:rPr>
        <w:t>违反本条例第二十七条第三款规定，医院、学校、住宅等噪声敏感建筑物周边五十米以内的公园区域内，在午间、夜间、中考和高考等特殊期间使用音响器材，开展娱乐、集会等活动，制造噪声干扰他人正常生活的，由城市管理部门给予警告；警告后不改正的，处二百元以上五百元以下罚款。</w:t>
      </w:r>
    </w:p>
    <w:p>
      <w:pPr>
        <w:pStyle w:val="Normal"/>
        <w:ind w:firstLineChars="200" w:startChars="0" w:start="0" w:endChars="0" w:end="0"/>
        <w:rPr>
          <w:rFonts w:cs="仿宋" w:hint="eastAsia"/>
        </w:rPr>
      </w:pPr>
      <w:r>
        <w:rPr>
          <w:rFonts w:cs="黑体" w:hint="eastAsia" w:eastAsia="黑体"/>
        </w:rPr>
        <w:t>第三十九条</w:t>
      </w:r>
      <w:r>
        <w:rPr>
          <w:rFonts w:cs="黑体" w:hint="eastAsia"/>
        </w:rPr>
        <w:t xml:space="preserve">  </w:t>
      </w:r>
      <w:r>
        <w:rPr>
          <w:rFonts w:cs="仿宋" w:hint="eastAsia"/>
        </w:rPr>
        <w:t>违反本条例第三十条规定，游人携带犬只进入禁止进入的公园或者其部分区域的，由城市管理部门处五十元以上一百元以下罚款；未即时清除犬只粪便，影响环境卫生的，由城市管理部门处五十元以上二百元以下罚款。</w:t>
      </w:r>
    </w:p>
    <w:p>
      <w:pPr>
        <w:pStyle w:val="Normal"/>
        <w:ind w:firstLineChars="200" w:startChars="0" w:start="0" w:endChars="0" w:end="0"/>
        <w:rPr>
          <w:rFonts w:hint="eastAsia"/>
          <w:strike/>
          <w:shd w:fill="FFFFFF" w:val="clear"/>
        </w:rPr>
      </w:pPr>
      <w:r>
        <w:rPr>
          <w:rFonts w:cs="黑体" w:hint="eastAsia" w:eastAsia="黑体"/>
        </w:rPr>
        <w:t>第四十条</w:t>
      </w:r>
      <w:r>
        <w:rPr>
          <w:rFonts w:cs="黑体" w:hint="eastAsia"/>
        </w:rPr>
        <w:t xml:space="preserve">  </w:t>
      </w:r>
      <w:r>
        <w:rPr>
          <w:rFonts w:cs="仿宋" w:hint="eastAsia"/>
          <w:shd w:fill="FFFFFF" w:val="clear"/>
        </w:rPr>
        <w:t>违反本条例第三十三条第四项规定，</w:t>
      </w:r>
      <w:r>
        <w:rPr>
          <w:rFonts w:cs="仿宋" w:hint="eastAsia"/>
        </w:rPr>
        <w:t>在非指定区域游泳、烧烤、露营和营火的，</w:t>
      </w:r>
      <w:r>
        <w:rPr>
          <w:rFonts w:cs="仿宋" w:hint="eastAsia"/>
          <w:shd w:fill="FFFFFF" w:val="clear"/>
        </w:rPr>
        <w:t>由城市管理部门责令限期改正；逾期未改正的，处二百元以上一千元以下罚款。</w:t>
      </w:r>
    </w:p>
    <w:p>
      <w:pPr>
        <w:pStyle w:val="Normal"/>
        <w:ind w:firstLine="645" w:end="0"/>
        <w:rPr>
          <w:rFonts w:hint="eastAsia"/>
        </w:rPr>
      </w:pPr>
      <w:r>
        <w:rPr>
          <w:rFonts w:cs="黑体" w:hint="eastAsia" w:eastAsia="黑体"/>
        </w:rPr>
        <w:t xml:space="preserve">第四十一条 </w:t>
      </w:r>
      <w:r>
        <w:rPr>
          <w:rFonts w:cs="黑体" w:hint="eastAsia"/>
        </w:rPr>
        <w:t xml:space="preserve"> </w:t>
      </w:r>
      <w:r>
        <w:rPr>
          <w:rFonts w:cs="仿宋" w:hint="eastAsia"/>
          <w:shd w:fill="FFFFFF" w:val="clear"/>
        </w:rPr>
        <w:t>城市管理部门、履行公园管理职责的其他单位及其工作人员有下列行为之一的，由有权机关对直接负责的主管人员和其他直接责任人员依法给予处理；构成犯罪的，依法追究刑事责任：</w:t>
      </w:r>
    </w:p>
    <w:p>
      <w:pPr>
        <w:pStyle w:val="Style14"/>
        <w:shd w:fill="FFFFFF" w:val="clear"/>
        <w:spacing w:before="0" w:after="0"/>
        <w:ind w:firstLineChars="200" w:startChars="0" w:start="0" w:endChars="0" w:end="0"/>
        <w:jc w:val="both"/>
        <w:rPr>
          <w:rFonts w:ascii="Times New Roman" w:hAnsi="Times New Roman" w:eastAsia="仿宋_GB2312;仿宋" w:cs="Times New Roman" w:hint="eastAsia"/>
          <w:kern w:val="2"/>
          <w:sz w:val="32"/>
          <w:szCs w:val="32"/>
          <w:shd w:fill="FFFFFF" w:val="clear"/>
        </w:rPr>
      </w:pPr>
      <w:r>
        <w:rPr>
          <w:rFonts w:ascii="Times New Roman" w:hAnsi="Times New Roman" w:cs="仿宋" w:hint="eastAsia" w:eastAsia="仿宋_GB2312;仿宋"/>
          <w:kern w:val="2"/>
          <w:sz w:val="32"/>
          <w:szCs w:val="32"/>
          <w:shd w:fill="FFFFFF" w:val="clear"/>
        </w:rPr>
        <w:t>（一）未按照规定编制公园体系建设和保护专项规划的；</w:t>
      </w:r>
    </w:p>
    <w:p>
      <w:pPr>
        <w:pStyle w:val="Style14"/>
        <w:shd w:fill="FFFFFF" w:val="clear"/>
        <w:spacing w:before="0" w:after="0"/>
        <w:ind w:firstLineChars="200" w:startChars="0" w:start="0" w:endChars="0" w:end="0"/>
        <w:jc w:val="both"/>
        <w:rPr>
          <w:rFonts w:ascii="Times New Roman" w:hAnsi="Times New Roman" w:eastAsia="仿宋_GB2312;仿宋" w:cs="Times New Roman" w:hint="eastAsia"/>
          <w:kern w:val="2"/>
          <w:sz w:val="32"/>
          <w:szCs w:val="32"/>
          <w:shd w:fill="FFFFFF" w:val="clear"/>
        </w:rPr>
      </w:pPr>
      <w:r>
        <w:rPr>
          <w:rFonts w:ascii="Times New Roman" w:hAnsi="Times New Roman" w:cs="仿宋" w:hint="eastAsia" w:eastAsia="仿宋_GB2312;仿宋"/>
          <w:kern w:val="2"/>
          <w:sz w:val="32"/>
          <w:szCs w:val="32"/>
          <w:shd w:fill="FFFFFF" w:val="clear"/>
        </w:rPr>
        <w:t>（二）在</w:t>
      </w:r>
      <w:r>
        <w:rPr>
          <w:rFonts w:ascii="Times New Roman" w:hAnsi="Times New Roman" w:cs="仿宋" w:hint="eastAsia" w:eastAsia="仿宋_GB2312;仿宋"/>
          <w:kern w:val="2"/>
          <w:sz w:val="32"/>
          <w:szCs w:val="32"/>
        </w:rPr>
        <w:t>已建成公园内擅自建设建（构）筑物的；</w:t>
      </w:r>
    </w:p>
    <w:p>
      <w:pPr>
        <w:pStyle w:val="Style14"/>
        <w:shd w:fill="FFFFFF" w:val="clear"/>
        <w:spacing w:before="0" w:after="0"/>
        <w:ind w:firstLineChars="200" w:startChars="0" w:start="0" w:endChars="0" w:end="0"/>
        <w:jc w:val="both"/>
        <w:rPr>
          <w:rFonts w:ascii="Times New Roman" w:hAnsi="Times New Roman" w:eastAsia="仿宋_GB2312;仿宋" w:cs="Times New Roman" w:hint="eastAsia"/>
          <w:kern w:val="2"/>
          <w:sz w:val="32"/>
          <w:szCs w:val="32"/>
        </w:rPr>
      </w:pPr>
      <w:r>
        <w:rPr>
          <w:rFonts w:ascii="Times New Roman" w:hAnsi="Times New Roman" w:cs="仿宋" w:hint="eastAsia" w:eastAsia="仿宋_GB2312;仿宋"/>
          <w:kern w:val="2"/>
          <w:sz w:val="32"/>
          <w:szCs w:val="32"/>
          <w:shd w:fill="FFFFFF" w:val="clear"/>
        </w:rPr>
        <w:t>（三）擅自改变公园用地性质的；</w:t>
      </w:r>
    </w:p>
    <w:p>
      <w:pPr>
        <w:pStyle w:val="Normal"/>
        <w:ind w:firstLineChars="200" w:startChars="0" w:start="0" w:endChars="0" w:end="0"/>
        <w:rPr>
          <w:rFonts w:hint="eastAsia"/>
          <w:shd w:fill="FFFFFF" w:val="clear"/>
        </w:rPr>
      </w:pPr>
      <w:r>
        <w:rPr>
          <w:rFonts w:cs="仿宋" w:hint="eastAsia"/>
          <w:shd w:fill="FFFFFF" w:val="clear"/>
        </w:rPr>
        <w:t>（四）</w:t>
      </w:r>
      <w:r>
        <w:rPr>
          <w:rFonts w:cs="仿宋" w:hint="eastAsia"/>
        </w:rPr>
        <w:t>改变政府投资建设和移交政府管理</w:t>
      </w:r>
      <w:r>
        <w:rPr>
          <w:rFonts w:cs="仿宋" w:hint="eastAsia"/>
          <w:shd w:fill="FFFFFF" w:val="clear"/>
        </w:rPr>
        <w:t>公园的管理用房和亭、台、楼、阁等园林建筑的用途或者出租、出借给他人经营使用的；</w:t>
      </w:r>
    </w:p>
    <w:p>
      <w:pPr>
        <w:pStyle w:val="Style14"/>
        <w:shd w:fill="FFFFFF" w:val="clear"/>
        <w:spacing w:before="0" w:after="0"/>
        <w:ind w:firstLineChars="200" w:startChars="0" w:start="0" w:endChars="0" w:end="0"/>
        <w:jc w:val="both"/>
        <w:rPr>
          <w:rFonts w:ascii="Times New Roman" w:hAnsi="Times New Roman" w:eastAsia="仿宋_GB2312;仿宋" w:cs="Times New Roman" w:hint="eastAsia"/>
          <w:kern w:val="2"/>
          <w:sz w:val="32"/>
          <w:szCs w:val="32"/>
          <w:shd w:fill="FFFFFF" w:val="clear"/>
        </w:rPr>
      </w:pPr>
      <w:r>
        <w:rPr>
          <w:rFonts w:ascii="Times New Roman" w:hAnsi="Times New Roman" w:cs="仿宋" w:hint="eastAsia" w:eastAsia="仿宋_GB2312;仿宋"/>
          <w:kern w:val="2"/>
          <w:sz w:val="32"/>
          <w:szCs w:val="32"/>
          <w:shd w:fill="FFFFFF" w:val="clear"/>
        </w:rPr>
        <w:t>（五）其他玩忽职守、滥用职权、徇私舞弊的行为。</w:t>
      </w:r>
    </w:p>
    <w:p>
      <w:pPr>
        <w:pStyle w:val="Style14"/>
        <w:shd w:fill="FFFFFF" w:val="clear"/>
        <w:spacing w:before="0" w:after="0"/>
        <w:jc w:val="both"/>
        <w:rPr>
          <w:rFonts w:ascii="Times New Roman" w:hAnsi="Times New Roman" w:eastAsia="仿宋_GB2312;仿宋" w:cs="Times New Roman" w:hint="eastAsia"/>
          <w:kern w:val="2"/>
          <w:sz w:val="32"/>
          <w:szCs w:val="32"/>
          <w:shd w:fill="FFFFFF" w:val="clear"/>
        </w:rPr>
      </w:pPr>
      <w:r>
        <w:rPr>
          <w:rFonts w:eastAsia="仿宋_GB2312;仿宋" w:cs="Times New Roman" w:hint="eastAsia" w:ascii="Times New Roman" w:hAnsi="Times New Roman"/>
          <w:kern w:val="2"/>
          <w:sz w:val="32"/>
          <w:szCs w:val="32"/>
          <w:shd w:fill="FFFFFF" w:val="clear"/>
        </w:rPr>
      </w:r>
    </w:p>
    <w:p>
      <w:pPr>
        <w:pStyle w:val="Heading3"/>
        <w:shd w:fill="FFFFFF" w:val="clear"/>
        <w:spacing w:before="0" w:after="0"/>
        <w:ind w:hanging="0" w:start="0"/>
        <w:jc w:val="center"/>
        <w:rPr>
          <w:rFonts w:ascii="Times New Roman" w:hAnsi="Times New Roman" w:eastAsia="黑体" w:cs="黑体" w:hint="eastAsia"/>
          <w:b w:val="false"/>
          <w:bCs w:val="false"/>
          <w:kern w:val="2"/>
          <w:sz w:val="32"/>
          <w:szCs w:val="32"/>
        </w:rPr>
      </w:pPr>
      <w:r>
        <w:rPr>
          <w:rFonts w:ascii="Times New Roman" w:hAnsi="Times New Roman" w:cs="黑体" w:hint="eastAsia" w:eastAsia="黑体"/>
          <w:b w:val="false"/>
          <w:bCs w:val="false"/>
          <w:kern w:val="2"/>
          <w:sz w:val="32"/>
          <w:szCs w:val="32"/>
        </w:rPr>
        <w:t>第五章  附    则</w:t>
      </w:r>
    </w:p>
    <w:p>
      <w:pPr>
        <w:pStyle w:val="Style14"/>
        <w:shd w:fill="FFFFFF" w:val="clear"/>
        <w:spacing w:before="0" w:after="0"/>
        <w:ind w:firstLineChars="200" w:startChars="0" w:start="0" w:endChars="0" w:end="0"/>
        <w:jc w:val="both"/>
        <w:rPr>
          <w:rFonts w:ascii="Times New Roman" w:hAnsi="Times New Roman" w:eastAsia="黑体" w:cs="黑体" w:hint="eastAsia"/>
          <w:b/>
          <w:bCs/>
          <w:kern w:val="2"/>
          <w:sz w:val="32"/>
          <w:szCs w:val="32"/>
        </w:rPr>
      </w:pPr>
      <w:r>
        <w:rPr>
          <w:rFonts w:eastAsia="黑体" w:cs="黑体" w:hint="eastAsia" w:ascii="Times New Roman" w:hAnsi="Times New Roman"/>
          <w:b/>
          <w:bCs/>
          <w:kern w:val="2"/>
          <w:sz w:val="32"/>
          <w:szCs w:val="32"/>
        </w:rPr>
      </w:r>
    </w:p>
    <w:p>
      <w:pPr>
        <w:pStyle w:val="Style14"/>
        <w:shd w:fill="FFFFFF" w:val="clear"/>
        <w:spacing w:before="0" w:after="0"/>
        <w:ind w:firstLineChars="200" w:startChars="0" w:start="0" w:endChars="0" w:end="0"/>
        <w:jc w:val="both"/>
        <w:rPr>
          <w:rFonts w:ascii="Times New Roman" w:hAnsi="Times New Roman" w:eastAsia="仿宋_GB2312;仿宋" w:cs="Times New Roman" w:hint="eastAsia"/>
          <w:kern w:val="2"/>
          <w:sz w:val="32"/>
          <w:szCs w:val="32"/>
        </w:rPr>
      </w:pPr>
      <w:r>
        <w:rPr>
          <w:rFonts w:ascii="Times New Roman" w:hAnsi="Times New Roman" w:cs="黑体" w:hint="eastAsia" w:eastAsia="黑体"/>
          <w:kern w:val="2"/>
          <w:sz w:val="32"/>
          <w:szCs w:val="32"/>
        </w:rPr>
        <w:t>第四十二条</w:t>
      </w:r>
      <w:r>
        <w:rPr>
          <w:rFonts w:ascii="Times New Roman" w:hAnsi="Times New Roman" w:cs="黑体" w:hint="eastAsia" w:eastAsia="仿宋_GB2312;仿宋"/>
          <w:kern w:val="2"/>
          <w:sz w:val="32"/>
          <w:szCs w:val="32"/>
        </w:rPr>
        <w:t xml:space="preserve">  </w:t>
      </w:r>
      <w:r>
        <w:rPr>
          <w:rFonts w:ascii="Times New Roman" w:hAnsi="Times New Roman" w:cs="仿宋" w:hint="eastAsia" w:eastAsia="仿宋_GB2312;仿宋"/>
          <w:kern w:val="2"/>
          <w:sz w:val="32"/>
          <w:szCs w:val="32"/>
          <w:shd w:fill="FFFFFF" w:val="clear"/>
        </w:rPr>
        <w:t>本条例中下列用语的含义：</w:t>
      </w:r>
    </w:p>
    <w:p>
      <w:pPr>
        <w:pStyle w:val="Style14"/>
        <w:shd w:fill="FFFFFF" w:val="clear"/>
        <w:spacing w:before="0" w:after="0"/>
        <w:ind w:firstLineChars="200" w:startChars="0" w:start="0" w:endChars="0" w:end="0"/>
        <w:jc w:val="both"/>
        <w:rPr>
          <w:rFonts w:ascii="Times New Roman" w:hAnsi="Times New Roman" w:eastAsia="仿宋_GB2312;仿宋" w:cs="Times New Roman" w:hint="eastAsia"/>
          <w:kern w:val="2"/>
          <w:sz w:val="32"/>
          <w:szCs w:val="32"/>
        </w:rPr>
      </w:pPr>
      <w:r>
        <w:rPr>
          <w:rFonts w:ascii="Times New Roman" w:hAnsi="Times New Roman" w:cs="仿宋" w:hint="eastAsia" w:eastAsia="仿宋_GB2312;仿宋"/>
          <w:kern w:val="2"/>
          <w:sz w:val="32"/>
          <w:szCs w:val="32"/>
          <w:shd w:fill="FFFFFF" w:val="clear"/>
        </w:rPr>
        <w:t>（一）综合公园，是指功能齐全，适合开展各类户外活动，具有完善的游憩和配套管理服务设施，规模一般不低于十万平方米的公园；</w:t>
      </w:r>
    </w:p>
    <w:p>
      <w:pPr>
        <w:pStyle w:val="Style14"/>
        <w:shd w:fill="FFFFFF" w:val="clear"/>
        <w:spacing w:before="0" w:after="0"/>
        <w:ind w:firstLineChars="200" w:startChars="0" w:start="0" w:endChars="0" w:end="0"/>
        <w:jc w:val="both"/>
        <w:rPr>
          <w:rFonts w:ascii="Times New Roman" w:hAnsi="Times New Roman" w:eastAsia="仿宋_GB2312;仿宋" w:cs="Times New Roman" w:hint="eastAsia"/>
          <w:kern w:val="2"/>
          <w:sz w:val="32"/>
          <w:szCs w:val="32"/>
        </w:rPr>
      </w:pPr>
      <w:r>
        <w:rPr>
          <w:rFonts w:ascii="Times New Roman" w:hAnsi="Times New Roman" w:cs="仿宋" w:hint="eastAsia" w:eastAsia="仿宋_GB2312;仿宋"/>
          <w:kern w:val="2"/>
          <w:sz w:val="32"/>
          <w:szCs w:val="32"/>
          <w:shd w:fill="FFFFFF" w:val="clear"/>
        </w:rPr>
        <w:t>（二）社区公园，是指具有基本的游憩和服务设施，主要为一定居住用地范围内的居民就近开展日常休闲活动服务的公园；</w:t>
      </w:r>
    </w:p>
    <w:p>
      <w:pPr>
        <w:pStyle w:val="Style14"/>
        <w:shd w:fill="FFFFFF" w:val="clear"/>
        <w:spacing w:before="0" w:after="0"/>
        <w:ind w:firstLineChars="200" w:startChars="0" w:start="0" w:endChars="0" w:end="0"/>
        <w:jc w:val="both"/>
        <w:rPr>
          <w:rFonts w:ascii="Times New Roman" w:hAnsi="Times New Roman" w:eastAsia="仿宋_GB2312;仿宋" w:cs="仿宋" w:hint="eastAsia"/>
          <w:kern w:val="2"/>
          <w:sz w:val="32"/>
          <w:szCs w:val="32"/>
          <w:shd w:fill="FFFFFF" w:val="clear"/>
        </w:rPr>
      </w:pPr>
      <w:r>
        <w:rPr>
          <w:rFonts w:ascii="Times New Roman" w:hAnsi="Times New Roman" w:cs="仿宋" w:hint="eastAsia" w:eastAsia="仿宋_GB2312;仿宋"/>
          <w:kern w:val="2"/>
          <w:sz w:val="32"/>
          <w:szCs w:val="32"/>
          <w:shd w:fill="FFFFFF" w:val="clear"/>
        </w:rPr>
        <w:t>（三）专类公园，是指具有特定内容或者形式，有一定游憩设施的公园，包括儿童公园、动物园、植物园、历史名园、体育公园、纪念性公园等；</w:t>
      </w:r>
    </w:p>
    <w:p>
      <w:pPr>
        <w:pStyle w:val="Style14"/>
        <w:shd w:fill="FFFFFF" w:val="clear"/>
        <w:spacing w:before="0" w:after="0"/>
        <w:ind w:firstLineChars="200" w:startChars="0" w:start="0" w:endChars="0" w:end="0"/>
        <w:jc w:val="both"/>
        <w:rPr>
          <w:rFonts w:ascii="Times New Roman" w:hAnsi="Times New Roman" w:eastAsia="仿宋_GB2312;仿宋" w:cs="仿宋" w:hint="eastAsia"/>
          <w:kern w:val="2"/>
          <w:sz w:val="32"/>
          <w:szCs w:val="32"/>
          <w:shd w:fill="FFFFFF" w:val="clear"/>
        </w:rPr>
      </w:pPr>
      <w:r>
        <w:rPr>
          <w:rFonts w:ascii="Times New Roman" w:hAnsi="Times New Roman" w:cs="仿宋" w:hint="eastAsia" w:eastAsia="仿宋_GB2312;仿宋"/>
          <w:kern w:val="2"/>
          <w:sz w:val="32"/>
          <w:szCs w:val="32"/>
          <w:shd w:fill="FFFFFF" w:val="clear"/>
        </w:rPr>
        <w:t>（四）游园，是指供公众临时休憩，分布在道路交叉口、街旁、桥头的小块绿地。</w:t>
      </w:r>
    </w:p>
    <w:p>
      <w:pPr>
        <w:pStyle w:val="Normal"/>
        <w:ind w:firstLineChars="200" w:startChars="0" w:start="0" w:endChars="0" w:end="0"/>
        <w:rPr>
          <w:rFonts w:cs="仿宋" w:hint="eastAsia"/>
        </w:rPr>
      </w:pPr>
      <w:r>
        <w:rPr>
          <w:rFonts w:cs="黑体" w:hint="eastAsia" w:eastAsia="黑体"/>
        </w:rPr>
        <w:t>第四十三条</w:t>
      </w:r>
      <w:r>
        <w:rPr>
          <w:rFonts w:cs="黑体" w:hint="eastAsia"/>
        </w:rPr>
        <w:t xml:space="preserve">  </w:t>
      </w:r>
      <w:r>
        <w:rPr>
          <w:rFonts w:cs="仿宋" w:hint="eastAsia"/>
        </w:rPr>
        <w:t>市城市管理部门应当于本条例实施之日起三个月内拟定《宿州市公园管理规范》，明确公园管理单位职责、绿化养护、设施维护、环境卫生、安全管理等管理服务规范，报市人民政府批准后实施。</w:t>
      </w:r>
    </w:p>
    <w:p>
      <w:pPr>
        <w:pStyle w:val="Normal"/>
        <w:ind w:firstLineChars="200" w:startChars="0" w:start="0" w:endChars="0" w:end="0"/>
        <w:rPr>
          <w:rFonts w:cs="仿宋" w:hint="eastAsia"/>
          <w:shd w:fill="FFFFFF" w:val="clear"/>
        </w:rPr>
      </w:pPr>
      <w:r>
        <w:rPr>
          <w:rFonts w:cs="黑体" w:hint="eastAsia" w:eastAsia="黑体"/>
        </w:rPr>
        <w:t>第四十四条</w:t>
      </w:r>
      <w:r>
        <w:rPr>
          <w:rFonts w:cs="黑体" w:hint="eastAsia"/>
        </w:rPr>
        <w:t xml:space="preserve">  </w:t>
      </w:r>
      <w:r>
        <w:rPr>
          <w:rFonts w:cs="仿宋" w:hint="eastAsia"/>
          <w:shd w:fill="FFFFFF" w:val="clear"/>
        </w:rPr>
        <w:t>带有绿地性质、供公众游憩娱乐、运动健身的广场参照本条例执行。</w:t>
      </w:r>
    </w:p>
    <w:p>
      <w:pPr>
        <w:pStyle w:val="Normal"/>
        <w:ind w:firstLineChars="200" w:startChars="0" w:start="0" w:endChars="0" w:end="0"/>
        <w:rPr>
          <w:rFonts w:hint="eastAsia"/>
        </w:rPr>
      </w:pPr>
      <w:r>
        <w:rPr>
          <w:rFonts w:cs="黑体" w:hint="eastAsia" w:eastAsia="黑体"/>
        </w:rPr>
        <w:t>第四十五条</w:t>
      </w:r>
      <w:r>
        <w:rPr>
          <w:rFonts w:cs="黑体" w:hint="eastAsia"/>
        </w:rPr>
        <w:t xml:space="preserve">  </w:t>
      </w:r>
      <w:r>
        <w:rPr>
          <w:rFonts w:cs="仿宋" w:hint="eastAsia"/>
          <w:shd w:fill="FFFFFF" w:val="clear"/>
        </w:rPr>
        <w:t>本条例自</w:t>
      </w:r>
      <w:r>
        <w:rPr>
          <w:rFonts w:cs="仿宋" w:hint="eastAsia"/>
          <w:shd w:fill="FFFFFF" w:val="clear"/>
        </w:rPr>
        <w:t>2020</w:t>
      </w:r>
      <w:r>
        <w:rPr>
          <w:rFonts w:cs="仿宋" w:hint="eastAsia"/>
          <w:shd w:fill="FFFFFF" w:val="clear"/>
        </w:rPr>
        <w:t>年</w:t>
      </w:r>
      <w:r>
        <w:rPr>
          <w:rFonts w:cs="仿宋" w:hint="eastAsia"/>
          <w:shd w:fill="FFFFFF" w:val="clear"/>
        </w:rPr>
        <w:t>1</w:t>
      </w:r>
      <w:r>
        <w:rPr>
          <w:rFonts w:cs="仿宋" w:hint="eastAsia"/>
          <w:shd w:fill="FFFFFF" w:val="clear"/>
        </w:rPr>
        <w:t>月</w:t>
      </w:r>
      <w:r>
        <w:rPr>
          <w:rFonts w:cs="仿宋" w:hint="eastAsia"/>
          <w:shd w:fill="FFFFFF" w:val="clear"/>
        </w:rPr>
        <w:t>1</w:t>
      </w:r>
      <w:r>
        <w:rPr>
          <w:rFonts w:cs="仿宋" w:hint="eastAsia"/>
          <w:shd w:fill="FFFFFF" w:val="clear"/>
        </w:rPr>
        <w:t>日起施行。</w:t>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roman"/>
    <w:pitch w:val="default"/>
  </w:font>
  <w:font w:name="方正小标宋简体">
    <w:altName w:val="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b/>
      <w:bCs/>
      <w:kern w:val="0"/>
      <w:sz w:val="27"/>
      <w:szCs w:val="27"/>
    </w:rPr>
  </w:style>
  <w:style w:type="character" w:styleId="Style13">
    <w:name w:val="默认段落字体"/>
    <w:qFormat/>
    <w:rPr/>
  </w:style>
  <w:style w:type="character" w:styleId="PageNumber">
    <w:name w:val="page number"/>
    <w:basedOn w:val="Style13"/>
    <w:rPr>
      <w:rFonts w:cs="Times New Roman"/>
    </w:rPr>
  </w:style>
  <w:style w:type="character" w:styleId="FooterChar">
    <w:name w:val="Footer Char"/>
    <w:basedOn w:val="Style13"/>
    <w:qFormat/>
    <w:rPr>
      <w:rFonts w:ascii="Times New Roman" w:hAnsi="Times New Roman" w:eastAsia="仿宋_GB2312;仿宋"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jc w:val="start"/>
    </w:pPr>
    <w:rPr>
      <w:rFonts w:ascii="Calibri" w:hAnsi="Calibri" w:eastAsia="宋体" w:cs="Calibri"/>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无间隔"/>
    <w:qFormat/>
    <w:pPr>
      <w:widowControl w:val="false"/>
      <w:bidi w:val="0"/>
      <w:jc w:val="both"/>
    </w:pPr>
    <w:rPr>
      <w:rFonts w:ascii="仿宋" w:hAnsi="仿宋" w:eastAsia="仿宋" w:cs="仿宋"/>
      <w:color w:val="auto"/>
      <w:kern w:val="2"/>
      <w:sz w:val="32"/>
      <w:szCs w:val="32"/>
      <w:lang w:bidi="ar-SA" w:val="en-US" w:eastAsia="zh-CN"/>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2019-09-24T15:31:00Z</dcterms:created>
  <dc:creator>汪红</dc:creator>
  <dc:description/>
  <dc:language>en-US</dc:language>
  <cp:lastModifiedBy>admin</cp:lastModifiedBy>
  <dcterms:modified xsi:type="dcterms:W3CDTF">2020-01-07T09:15:44Z</dcterms:modified>
  <cp:revision>11</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