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20"/>
        <w:rPr>
          <w:rFonts w:cs="方正小标宋简体" w:hint="eastAsia"/>
          <w:b/>
          <w:sz w:val="44"/>
          <w:szCs w:val="44"/>
        </w:rPr>
      </w:pPr>
      <w:r>
        <w:rPr>
          <w:rFonts w:cs="方正小标宋简体" w:hint="eastAsia"/>
          <w:b/>
          <w:sz w:val="44"/>
          <w:szCs w:val="44"/>
        </w:rPr>
      </w:r>
    </w:p>
    <w:p>
      <w:pPr>
        <w:pStyle w:val="Normal"/>
        <w:spacing w:lineRule="exact" w:line="680"/>
        <w:jc w:val="center"/>
        <w:rPr>
          <w:rFonts w:eastAsia="方正小标宋简体" w:cs="方正小标宋简体" w:hint="eastAsia"/>
          <w:sz w:val="44"/>
          <w:szCs w:val="44"/>
        </w:rPr>
      </w:pPr>
      <w:r>
        <w:rPr>
          <w:rFonts w:cs="方正小标宋简体" w:hint="eastAsia" w:eastAsia="方正小标宋简体"/>
          <w:sz w:val="44"/>
          <w:szCs w:val="44"/>
        </w:rPr>
        <w:t>宣城市燃放烟花爆竹管理条例</w:t>
      </w:r>
    </w:p>
    <w:p>
      <w:pPr>
        <w:pStyle w:val="Normal"/>
        <w:spacing w:lineRule="exact" w:line="620"/>
        <w:jc w:val="center"/>
        <w:rPr>
          <w:rFonts w:eastAsia="方正小标宋简体" w:cs="仿宋_GB2312" w:hint="eastAsia"/>
          <w:sz w:val="44"/>
          <w:szCs w:val="44"/>
        </w:rPr>
      </w:pPr>
      <w:r>
        <w:rPr>
          <w:rFonts w:eastAsia="方正小标宋简体" w:cs="仿宋_GB2312" w:hint="eastAsia"/>
          <w:sz w:val="44"/>
          <w:szCs w:val="44"/>
        </w:rPr>
      </w:r>
    </w:p>
    <w:p>
      <w:pPr>
        <w:pStyle w:val="Normal"/>
        <w:spacing w:lineRule="exact" w:line="620"/>
        <w:ind w:firstLineChars="200" w:startChars="0" w:start="0" w:endChars="0" w:end="0"/>
        <w:rPr>
          <w:rFonts w:eastAsia="楷体_GB2312" w:cs="仿宋_GB2312" w:hint="eastAsia"/>
        </w:rPr>
      </w:pPr>
      <w:r>
        <w:rPr>
          <w:rFonts w:cs="仿宋_GB2312" w:hint="eastAsia" w:eastAsia="楷体_GB2312"/>
        </w:rPr>
        <w:t>（</w:t>
      </w:r>
      <w:r>
        <w:rPr>
          <w:rFonts w:eastAsia="楷体_GB2312" w:cs="仿宋_GB2312" w:hint="eastAsia"/>
        </w:rPr>
        <w:t>2021</w:t>
      </w:r>
      <w:r>
        <w:rPr>
          <w:rFonts w:cs="仿宋_GB2312" w:hint="eastAsia" w:eastAsia="楷体_GB2312"/>
        </w:rPr>
        <w:t>年</w:t>
      </w:r>
      <w:r>
        <w:rPr>
          <w:rFonts w:eastAsia="楷体_GB2312" w:cs="仿宋_GB2312" w:hint="eastAsia"/>
        </w:rPr>
        <w:t>10</w:t>
      </w:r>
      <w:r>
        <w:rPr>
          <w:rFonts w:cs="仿宋_GB2312" w:hint="eastAsia" w:eastAsia="楷体_GB2312"/>
        </w:rPr>
        <w:t>月</w:t>
      </w:r>
      <w:r>
        <w:rPr>
          <w:rFonts w:eastAsia="楷体_GB2312" w:cs="仿宋_GB2312" w:hint="eastAsia"/>
        </w:rPr>
        <w:t>29</w:t>
      </w:r>
      <w:r>
        <w:rPr>
          <w:rFonts w:cs="仿宋_GB2312" w:hint="eastAsia" w:eastAsia="楷体_GB2312"/>
        </w:rPr>
        <w:t>日宣城市第四届人民代表大会常务委员会第三十七次会议通过</w:t>
      </w:r>
      <w:r>
        <w:rPr>
          <w:rFonts w:eastAsia="楷体_GB2312"/>
        </w:rPr>
        <w:t xml:space="preserve">    </w:t>
      </w:r>
      <w:r>
        <w:rPr>
          <w:rFonts w:eastAsia="楷体_GB2312"/>
        </w:rPr>
        <w:t>2021</w:t>
      </w:r>
      <w:r>
        <w:rPr>
          <w:rFonts w:hint="eastAsia" w:eastAsia="楷体_GB2312"/>
        </w:rPr>
        <w:t>年</w:t>
      </w:r>
      <w:r>
        <w:rPr>
          <w:rFonts w:eastAsia="楷体_GB2312" w:hint="eastAsia"/>
        </w:rPr>
        <w:t>12</w:t>
      </w:r>
      <w:r>
        <w:rPr>
          <w:rFonts w:hint="eastAsia" w:eastAsia="楷体_GB2312"/>
        </w:rPr>
        <w:t>月</w:t>
      </w:r>
      <w:r>
        <w:rPr>
          <w:rFonts w:eastAsia="楷体_GB2312" w:hint="eastAsia"/>
        </w:rPr>
        <w:t>22</w:t>
      </w:r>
      <w:r>
        <w:rPr>
          <w:rFonts w:hint="eastAsia" w:eastAsia="楷体_GB2312"/>
        </w:rPr>
        <w:t>日安徽省第十三届人民代表大会常务委员会第三十一次会议批准</w:t>
      </w:r>
      <w:r>
        <w:rPr>
          <w:rFonts w:cs="仿宋_GB2312" w:hint="eastAsia" w:eastAsia="楷体_GB2312"/>
        </w:rPr>
        <w:t>）</w:t>
      </w:r>
    </w:p>
    <w:p>
      <w:pPr>
        <w:pStyle w:val="Normal"/>
        <w:spacing w:lineRule="exact" w:line="620"/>
        <w:jc w:val="center"/>
        <w:rPr>
          <w:rFonts w:eastAsia="楷体_GB2312" w:cs="宋体" w:hint="eastAsia"/>
          <w:sz w:val="44"/>
          <w:szCs w:val="44"/>
        </w:rPr>
      </w:pPr>
      <w:r>
        <w:rPr>
          <w:rFonts w:eastAsia="楷体_GB2312" w:cs="宋体" w:hint="eastAsia"/>
          <w:sz w:val="44"/>
          <w:szCs w:val="44"/>
        </w:rPr>
      </w:r>
    </w:p>
    <w:p>
      <w:pPr>
        <w:pStyle w:val="Normal"/>
        <w:rPr>
          <w:rFonts w:cs="仿宋_GB2312" w:hint="eastAsia"/>
        </w:rPr>
      </w:pPr>
      <w:r>
        <w:rPr>
          <w:rFonts w:eastAsia="华文黑体;方正黑体_GBK" w:cs="华文黑体;方正黑体_GBK" w:hint="eastAsia"/>
        </w:rPr>
        <w:t xml:space="preserve">    </w:t>
      </w:r>
      <w:r>
        <w:rPr>
          <w:rFonts w:cs="华文黑体;方正黑体_GBK" w:hint="eastAsia" w:eastAsia="华文黑体;方正黑体_GBK"/>
        </w:rPr>
        <w:t>第一条</w:t>
      </w:r>
      <w:r>
        <w:rPr>
          <w:rFonts w:cs="仿宋_GB2312" w:hint="eastAsia"/>
        </w:rPr>
        <w:t xml:space="preserve">  为了加强燃放烟花爆竹管理，保障公共安全和人身、财产安全，减少环境污染，根据《中华人民共和国大气污染防治法》《烟花爆竹安全管理条例》和有关法律、行政法规的规定，结合本市实际，制定本条例。</w:t>
      </w:r>
    </w:p>
    <w:p>
      <w:pPr>
        <w:pStyle w:val="Normal"/>
        <w:rPr>
          <w:rFonts w:cs="仿宋_GB2312" w:hint="eastAsia"/>
        </w:rPr>
      </w:pPr>
      <w:r>
        <w:rPr>
          <w:rFonts w:cs="仿宋_GB2312" w:hint="eastAsia"/>
        </w:rPr>
        <w:t xml:space="preserve">    </w:t>
      </w:r>
      <w:r>
        <w:rPr>
          <w:rFonts w:cs="华文黑体;方正黑体_GBK" w:hint="eastAsia" w:eastAsia="华文黑体;方正黑体_GBK"/>
        </w:rPr>
        <w:t>第二条</w:t>
      </w:r>
      <w:r>
        <w:rPr>
          <w:rFonts w:cs="仿宋_GB2312" w:hint="eastAsia"/>
        </w:rPr>
        <w:t xml:space="preserve">  本条例适用于本市行政区域内燃放烟花爆竹及其监督管理活动。</w:t>
      </w:r>
    </w:p>
    <w:p>
      <w:pPr>
        <w:pStyle w:val="Normal"/>
        <w:rPr>
          <w:rFonts w:cs="仿宋_GB2312" w:hint="eastAsia"/>
        </w:rPr>
      </w:pPr>
      <w:r>
        <w:rPr>
          <w:rFonts w:eastAsia="华文黑体;方正黑体_GBK" w:cs="华文黑体;方正黑体_GBK" w:hint="eastAsia"/>
        </w:rPr>
        <w:t xml:space="preserve">    </w:t>
      </w:r>
      <w:r>
        <w:rPr>
          <w:rFonts w:cs="华文黑体;方正黑体_GBK" w:hint="eastAsia" w:eastAsia="华文黑体;方正黑体_GBK"/>
        </w:rPr>
        <w:t>第三条</w:t>
      </w:r>
      <w:r>
        <w:rPr>
          <w:rFonts w:cs="仿宋_GB2312" w:hint="eastAsia"/>
        </w:rPr>
        <w:t xml:space="preserve">  市、县（市、区）城市建成区内禁止燃放烟花爆竹，具体范围由市、县（市、区）人民政府划定并公告。</w:t>
      </w:r>
    </w:p>
    <w:p>
      <w:pPr>
        <w:pStyle w:val="Normal"/>
        <w:ind w:firstLineChars="200" w:startChars="0" w:start="0" w:endChars="0" w:end="0"/>
        <w:rPr>
          <w:rFonts w:cs="仿宋_GB2312" w:hint="eastAsia"/>
        </w:rPr>
      </w:pPr>
      <w:r>
        <w:rPr>
          <w:rFonts w:cs="仿宋_GB2312" w:hint="eastAsia"/>
        </w:rPr>
        <w:t>市、县（市、区）人民政府根据需要，可以划定其他禁止燃放烟花爆竹的区域并公告。</w:t>
      </w:r>
    </w:p>
    <w:p>
      <w:pPr>
        <w:pStyle w:val="Normal"/>
        <w:ind w:firstLineChars="200" w:startChars="0" w:start="0" w:endChars="0" w:end="0"/>
        <w:rPr>
          <w:rFonts w:cs="仿宋_GB2312" w:hint="eastAsia"/>
        </w:rPr>
      </w:pPr>
      <w:r>
        <w:rPr>
          <w:rFonts w:cs="华文黑体;方正黑体_GBK" w:hint="eastAsia" w:eastAsia="华文黑体;方正黑体_GBK"/>
        </w:rPr>
        <w:t>第四条</w:t>
      </w:r>
      <w:r>
        <w:rPr>
          <w:rFonts w:cs="仿宋_GB2312" w:hint="eastAsia"/>
        </w:rPr>
        <w:t xml:space="preserve">  在禁止燃放区域外，下列地点禁止燃放烟花爆竹：</w:t>
      </w:r>
    </w:p>
    <w:p>
      <w:pPr>
        <w:pStyle w:val="Normal"/>
        <w:ind w:firstLineChars="200" w:startChars="0" w:start="0" w:endChars="0" w:end="0"/>
        <w:rPr>
          <w:rFonts w:cs="仿宋_GB2312" w:hint="eastAsia"/>
        </w:rPr>
      </w:pPr>
      <w:r>
        <w:rPr>
          <w:rFonts w:cs="仿宋_GB2312" w:hint="eastAsia"/>
        </w:rPr>
        <w:t>（一）文物保护单位；</w:t>
      </w:r>
    </w:p>
    <w:p>
      <w:pPr>
        <w:pStyle w:val="Normal"/>
        <w:ind w:firstLineChars="200" w:startChars="0" w:start="0" w:endChars="0" w:end="0"/>
        <w:rPr>
          <w:rFonts w:cs="仿宋_GB2312" w:hint="eastAsia"/>
          <w:spacing w:val="-4"/>
        </w:rPr>
      </w:pPr>
      <w:r>
        <w:rPr>
          <w:rFonts w:cs="仿宋_GB2312" w:hint="eastAsia"/>
        </w:rPr>
        <w:t>（二）</w:t>
      </w:r>
      <w:r>
        <w:rPr>
          <w:rFonts w:cs="仿宋_GB2312" w:hint="eastAsia"/>
          <w:spacing w:val="-4"/>
        </w:rPr>
        <w:t>车站、码头、机场等交通枢纽及铁路线路安全保护区内；</w:t>
      </w:r>
    </w:p>
    <w:p>
      <w:pPr>
        <w:pStyle w:val="Normal"/>
        <w:ind w:firstLineChars="200" w:startChars="0" w:start="0" w:endChars="0" w:end="0"/>
        <w:rPr>
          <w:rFonts w:cs="仿宋_GB2312" w:hint="eastAsia"/>
        </w:rPr>
      </w:pPr>
      <w:r>
        <w:rPr>
          <w:rFonts w:cs="仿宋_GB2312" w:hint="eastAsia"/>
        </w:rPr>
        <w:t>（三）易燃易爆物品生产、储存、经营单位；</w:t>
      </w:r>
    </w:p>
    <w:p>
      <w:pPr>
        <w:pStyle w:val="Normal"/>
        <w:ind w:firstLineChars="200" w:startChars="0" w:start="0" w:endChars="0" w:end="0"/>
        <w:rPr>
          <w:rFonts w:cs="仿宋_GB2312" w:hint="eastAsia"/>
        </w:rPr>
      </w:pPr>
      <w:r>
        <w:rPr>
          <w:rFonts w:cs="仿宋_GB2312" w:hint="eastAsia"/>
        </w:rPr>
        <w:t>（四）输变电设施安全保护区内；</w:t>
      </w:r>
    </w:p>
    <w:p>
      <w:pPr>
        <w:pStyle w:val="Normal"/>
        <w:ind w:firstLineChars="200" w:startChars="0" w:start="0" w:endChars="0" w:end="0"/>
        <w:rPr>
          <w:rFonts w:cs="仿宋_GB2312" w:hint="eastAsia"/>
        </w:rPr>
      </w:pPr>
      <w:r>
        <w:rPr>
          <w:rFonts w:cs="仿宋_GB2312" w:hint="eastAsia"/>
        </w:rPr>
        <w:t>（五）托育机构、幼儿园、学校及其他教育机构、医疗机构、养老机构；</w:t>
      </w:r>
    </w:p>
    <w:p>
      <w:pPr>
        <w:pStyle w:val="Normal"/>
        <w:ind w:firstLineChars="200" w:startChars="0" w:start="0" w:endChars="0" w:end="0"/>
        <w:rPr>
          <w:rFonts w:cs="仿宋_GB2312" w:hint="eastAsia"/>
        </w:rPr>
      </w:pPr>
      <w:r>
        <w:rPr>
          <w:rFonts w:cs="仿宋_GB2312" w:hint="eastAsia"/>
        </w:rPr>
        <w:t>（六）殡仪馆、经营性公墓、公益性公墓；</w:t>
      </w:r>
    </w:p>
    <w:p>
      <w:pPr>
        <w:pStyle w:val="Normal"/>
        <w:ind w:firstLineChars="200" w:startChars="0" w:start="0" w:endChars="0" w:end="0"/>
        <w:rPr>
          <w:rFonts w:cs="仿宋_GB2312" w:hint="eastAsia"/>
          <w:spacing w:val="-4"/>
        </w:rPr>
      </w:pPr>
      <w:r>
        <w:rPr>
          <w:rFonts w:cs="仿宋_GB2312" w:hint="eastAsia"/>
        </w:rPr>
        <w:t>（七）</w:t>
      </w:r>
      <w:r>
        <w:rPr>
          <w:rFonts w:cs="仿宋_GB2312" w:hint="eastAsia"/>
          <w:spacing w:val="-4"/>
        </w:rPr>
        <w:t>文化馆、博物馆、图书馆、体育馆等公共文体活动场所；</w:t>
      </w:r>
    </w:p>
    <w:p>
      <w:pPr>
        <w:pStyle w:val="Normal"/>
        <w:ind w:firstLineChars="200" w:startChars="0" w:start="0" w:endChars="0" w:end="0"/>
        <w:rPr>
          <w:rFonts w:cs="仿宋_GB2312" w:hint="eastAsia"/>
        </w:rPr>
      </w:pPr>
      <w:r>
        <w:rPr>
          <w:rFonts w:cs="仿宋_GB2312" w:hint="eastAsia"/>
        </w:rPr>
        <w:t>（八）风景名胜区、山林等重点防火区；</w:t>
      </w:r>
    </w:p>
    <w:p>
      <w:pPr>
        <w:pStyle w:val="Normal"/>
        <w:ind w:firstLineChars="200" w:startChars="0" w:start="0" w:endChars="0" w:end="0"/>
        <w:rPr>
          <w:rFonts w:cs="仿宋_GB2312" w:hint="eastAsia"/>
        </w:rPr>
      </w:pPr>
      <w:r>
        <w:rPr>
          <w:rFonts w:cs="仿宋_GB2312" w:hint="eastAsia"/>
        </w:rPr>
        <w:t>（九）军事设施安全保护区；</w:t>
      </w:r>
    </w:p>
    <w:p>
      <w:pPr>
        <w:pStyle w:val="Normal"/>
        <w:ind w:firstLineChars="200" w:startChars="0" w:start="0" w:endChars="0" w:end="0"/>
        <w:rPr>
          <w:rFonts w:cs="仿宋_GB2312" w:hint="eastAsia"/>
        </w:rPr>
      </w:pPr>
      <w:r>
        <w:rPr>
          <w:rFonts w:cs="仿宋_GB2312" w:hint="eastAsia"/>
        </w:rPr>
        <w:t>（十）法律、法规以及县级以上人民政府规定的禁止燃放烟花爆竹的其他地点。</w:t>
      </w:r>
    </w:p>
    <w:p>
      <w:pPr>
        <w:pStyle w:val="Normal"/>
        <w:ind w:firstLineChars="200" w:startChars="0" w:start="0" w:endChars="0" w:end="0"/>
        <w:rPr>
          <w:rFonts w:cs="仿宋_GB2312" w:hint="eastAsia"/>
        </w:rPr>
      </w:pPr>
      <w:r>
        <w:rPr>
          <w:rFonts w:cs="仿宋_GB2312" w:hint="eastAsia"/>
        </w:rPr>
        <w:t>禁止燃放烟花爆竹的地点，其所有权人、使用权人或者管理单位应当设置禁止燃放警示标识，做好安全提示和防范工作。</w:t>
      </w:r>
    </w:p>
    <w:p>
      <w:pPr>
        <w:pStyle w:val="Normal"/>
        <w:ind w:firstLineChars="200" w:startChars="0" w:start="0" w:endChars="0" w:end="0"/>
        <w:rPr>
          <w:rFonts w:cs="仿宋_GB2312" w:hint="eastAsia"/>
        </w:rPr>
      </w:pPr>
      <w:r>
        <w:rPr>
          <w:rFonts w:cs="华文黑体;方正黑体_GBK" w:hint="eastAsia" w:eastAsia="华文黑体;方正黑体_GBK"/>
        </w:rPr>
        <w:t>第五条</w:t>
      </w:r>
      <w:r>
        <w:rPr>
          <w:rFonts w:cs="仿宋_GB2312" w:hint="eastAsia"/>
        </w:rPr>
        <w:t xml:space="preserve">  在禁止燃放烟花爆竹的区域和地点，不得销售烟花爆竹。</w:t>
      </w:r>
    </w:p>
    <w:p>
      <w:pPr>
        <w:pStyle w:val="Normal"/>
        <w:ind w:firstLineChars="200" w:startChars="0" w:start="0" w:endChars="0" w:end="0"/>
        <w:rPr>
          <w:rFonts w:cs="仿宋_GB2312" w:hint="eastAsia"/>
          <w:shd w:fill="A6A6A6" w:val="clear"/>
        </w:rPr>
      </w:pPr>
      <w:r>
        <w:rPr>
          <w:rFonts w:cs="华文黑体;方正黑体_GBK" w:hint="eastAsia" w:eastAsia="华文黑体;方正黑体_GBK"/>
        </w:rPr>
        <w:t>第六条</w:t>
      </w:r>
      <w:r>
        <w:rPr>
          <w:rFonts w:cs="仿宋_GB2312" w:hint="eastAsia"/>
          <w:b/>
          <w:bCs/>
        </w:rPr>
        <w:t xml:space="preserve">  </w:t>
      </w:r>
      <w:r>
        <w:rPr>
          <w:rFonts w:cs="仿宋_GB2312" w:hint="eastAsia"/>
        </w:rPr>
        <w:t>重污染天气预警期间，本市行政区域内全面禁止燃放烟花爆竹。</w:t>
      </w:r>
    </w:p>
    <w:p>
      <w:pPr>
        <w:pStyle w:val="Normal"/>
        <w:ind w:firstLineChars="200" w:startChars="0" w:start="0" w:endChars="0" w:end="0"/>
        <w:rPr>
          <w:rFonts w:cs="仿宋_GB2312" w:hint="eastAsia"/>
        </w:rPr>
      </w:pPr>
      <w:r>
        <w:rPr>
          <w:rFonts w:cs="仿宋_GB2312" w:hint="eastAsia"/>
        </w:rPr>
        <w:t>市人民政府应当通过新闻媒体等及时向社会发布重污染天气预警信息和禁止燃放烟花爆竹公告。</w:t>
      </w:r>
    </w:p>
    <w:p>
      <w:pPr>
        <w:pStyle w:val="Normal"/>
        <w:ind w:firstLineChars="200" w:startChars="0" w:start="0" w:endChars="0" w:end="0"/>
        <w:rPr>
          <w:rFonts w:cs="仿宋_GB2312" w:hint="eastAsia"/>
        </w:rPr>
      </w:pPr>
      <w:r>
        <w:rPr>
          <w:rFonts w:cs="华文黑体;方正黑体_GBK" w:hint="eastAsia" w:eastAsia="华文黑体;方正黑体_GBK"/>
        </w:rPr>
        <w:t>第七条</w:t>
      </w:r>
      <w:r>
        <w:rPr>
          <w:rFonts w:cs="仿宋_GB2312" w:hint="eastAsia"/>
          <w:b/>
          <w:bCs/>
        </w:rPr>
        <w:t xml:space="preserve">  </w:t>
      </w:r>
      <w:r>
        <w:rPr>
          <w:rFonts w:cs="仿宋_GB2312" w:hint="eastAsia"/>
        </w:rPr>
        <w:t>重大节日、庆典活动，需要举办焰火晚会以及其他大型焰火燃放活动的，主办单位应当依法向公安机关提出申请。</w:t>
      </w:r>
    </w:p>
    <w:p>
      <w:pPr>
        <w:pStyle w:val="Normal"/>
        <w:ind w:firstLineChars="200" w:startChars="0" w:start="0" w:endChars="0" w:end="0"/>
        <w:rPr>
          <w:rFonts w:cs="仿宋_GB2312" w:hint="eastAsia"/>
        </w:rPr>
      </w:pPr>
      <w:r>
        <w:rPr>
          <w:rFonts w:cs="仿宋_GB2312" w:hint="eastAsia"/>
        </w:rPr>
        <w:t>公安机关作出准予许可决定的，应当向社会公告。</w:t>
      </w:r>
    </w:p>
    <w:p>
      <w:pPr>
        <w:pStyle w:val="Normal"/>
        <w:ind w:firstLineChars="200" w:startChars="0" w:start="0" w:endChars="0" w:end="0"/>
        <w:rPr>
          <w:rFonts w:cs="仿宋_GB2312" w:hint="eastAsia"/>
        </w:rPr>
      </w:pPr>
      <w:r>
        <w:rPr>
          <w:rFonts w:cs="华文黑体;方正黑体_GBK" w:hint="eastAsia" w:eastAsia="华文黑体;方正黑体_GBK"/>
        </w:rPr>
        <w:t>第八条</w:t>
      </w:r>
      <w:r>
        <w:rPr>
          <w:rFonts w:cs="仿宋_GB2312" w:hint="eastAsia"/>
        </w:rPr>
        <w:t xml:space="preserve">  在禁止燃放烟花爆竹的区域、地点外，不得采取危害公共安全和人身、财产安全的方式燃放烟花爆竹；倡导少放或者不放烟花爆竹。</w:t>
      </w:r>
    </w:p>
    <w:p>
      <w:pPr>
        <w:pStyle w:val="Normal"/>
        <w:rPr>
          <w:rFonts w:cs="仿宋_GB2312" w:hint="eastAsia"/>
        </w:rPr>
      </w:pPr>
      <w:r>
        <w:rPr>
          <w:rFonts w:eastAsia="华文黑体;方正黑体_GBK" w:cs="华文黑体;方正黑体_GBK" w:hint="eastAsia"/>
        </w:rPr>
        <w:t xml:space="preserve">    </w:t>
      </w:r>
      <w:r>
        <w:rPr>
          <w:rFonts w:cs="华文黑体;方正黑体_GBK" w:hint="eastAsia" w:eastAsia="华文黑体;方正黑体_GBK"/>
        </w:rPr>
        <w:t>第九条</w:t>
      </w:r>
      <w:r>
        <w:rPr>
          <w:rFonts w:cs="仿宋_GB2312" w:hint="eastAsia"/>
        </w:rPr>
        <w:t xml:space="preserve">  市、县（市、区）人民政府应当建立燃放烟花爆竹管理联席会议制度，强化联防联控长效工作机制，综合协调相关重大事项。</w:t>
      </w:r>
    </w:p>
    <w:p>
      <w:pPr>
        <w:pStyle w:val="Normal"/>
        <w:rPr>
          <w:rFonts w:cs="仿宋_GB2312" w:hint="eastAsia"/>
        </w:rPr>
      </w:pPr>
      <w:r>
        <w:rPr>
          <w:rFonts w:cs="仿宋_GB2312" w:hint="eastAsia"/>
        </w:rPr>
        <w:t xml:space="preserve">    </w:t>
      </w:r>
      <w:r>
        <w:rPr>
          <w:rFonts w:cs="仿宋_GB2312" w:hint="eastAsia"/>
        </w:rPr>
        <w:t>各县（市、区）人民政府，宣城经济技术开发区管理委员会、宣城市敬亭山旅游度假区管理委员会和宣城现代服务业产业园区管理委员会等管理机构应当落实属地管理责任，做好本辖区燃放烟花爆竹管理相关工作。</w:t>
      </w:r>
    </w:p>
    <w:p>
      <w:pPr>
        <w:pStyle w:val="Normal"/>
        <w:ind w:firstLineChars="200" w:startChars="0" w:start="0" w:endChars="0" w:end="0"/>
        <w:rPr>
          <w:rFonts w:cs="仿宋_GB2312" w:hint="eastAsia"/>
        </w:rPr>
      </w:pPr>
      <w:r>
        <w:rPr>
          <w:rFonts w:cs="仿宋_GB2312" w:hint="eastAsia"/>
        </w:rPr>
        <w:t>乡镇人民政府和街道办事处应当将烟花爆竹燃放安全管理纳入基层社会治理工作，加强组织协调和监督指导。</w:t>
      </w:r>
    </w:p>
    <w:p>
      <w:pPr>
        <w:pStyle w:val="Normal"/>
        <w:ind w:firstLineChars="200" w:startChars="0" w:start="0" w:endChars="0" w:end="0"/>
        <w:rPr>
          <w:rFonts w:cs="仿宋_GB2312" w:hint="eastAsia"/>
        </w:rPr>
      </w:pPr>
      <w:r>
        <w:rPr>
          <w:rFonts w:cs="华文黑体;方正黑体_GBK" w:hint="eastAsia" w:eastAsia="华文黑体;方正黑体_GBK"/>
        </w:rPr>
        <w:t>第十条</w:t>
      </w:r>
      <w:r>
        <w:rPr>
          <w:rFonts w:cs="仿宋_GB2312" w:hint="eastAsia"/>
        </w:rPr>
        <w:t xml:space="preserve">  公安机关是燃放烟花爆竹管理工作的行政主管部门，负责燃放烟花爆竹的公共安全管理工作。</w:t>
      </w:r>
    </w:p>
    <w:p>
      <w:pPr>
        <w:pStyle w:val="Normal"/>
        <w:ind w:firstLineChars="200" w:startChars="0" w:start="0" w:endChars="0" w:end="0"/>
        <w:rPr>
          <w:rFonts w:cs="仿宋_GB2312" w:hint="eastAsia"/>
        </w:rPr>
      </w:pPr>
      <w:r>
        <w:rPr>
          <w:rFonts w:cs="仿宋_GB2312" w:hint="eastAsia"/>
        </w:rPr>
        <w:t>城管执法部门负责依法查处燃放烟花爆竹影响市容环境卫生的行为。</w:t>
      </w:r>
    </w:p>
    <w:p>
      <w:pPr>
        <w:pStyle w:val="Normal"/>
        <w:ind w:firstLineChars="200" w:startChars="0" w:start="0" w:endChars="0" w:end="0"/>
        <w:rPr>
          <w:rFonts w:cs="仿宋_GB2312" w:hint="eastAsia"/>
        </w:rPr>
      </w:pPr>
      <w:r>
        <w:rPr>
          <w:rFonts w:cs="仿宋_GB2312" w:hint="eastAsia"/>
        </w:rPr>
        <w:t>民政部门负责督促婚姻登记、殡仪馆、公墓等单位开展宣传教育，引导婚丧事等活动遵守燃放烟花爆竹管理的相关规定。</w:t>
      </w:r>
    </w:p>
    <w:p>
      <w:pPr>
        <w:pStyle w:val="Normal"/>
        <w:ind w:firstLineChars="200" w:startChars="0" w:start="0" w:endChars="0" w:end="0"/>
        <w:rPr>
          <w:rFonts w:cs="仿宋_GB2312" w:hint="eastAsia"/>
        </w:rPr>
      </w:pPr>
      <w:r>
        <w:rPr>
          <w:rFonts w:cs="仿宋_GB2312" w:hint="eastAsia"/>
        </w:rPr>
        <w:t>应急管理、交通运输、生态环境、住房和城乡建设、市场监管、教育、财政、林业等主管部门应当按照各自职责，共同做好燃放烟花爆竹管理相关工作。</w:t>
      </w:r>
    </w:p>
    <w:p>
      <w:pPr>
        <w:pStyle w:val="Normal"/>
        <w:ind w:firstLineChars="200" w:startChars="0" w:start="0" w:endChars="0" w:end="0"/>
        <w:rPr>
          <w:rFonts w:cs="仿宋_GB2312" w:hint="eastAsia"/>
        </w:rPr>
      </w:pPr>
      <w:r>
        <w:rPr>
          <w:rFonts w:cs="华文黑体;方正黑体_GBK" w:hint="eastAsia" w:eastAsia="华文黑体;方正黑体_GBK"/>
        </w:rPr>
        <w:t xml:space="preserve">第十一条  </w:t>
      </w:r>
      <w:r>
        <w:rPr>
          <w:rFonts w:cs="仿宋_GB2312" w:hint="eastAsia"/>
        </w:rPr>
        <w:t>村民委员会、居民委员会</w:t>
      </w:r>
      <w:r>
        <w:rPr>
          <w:rFonts w:cs="仿宋_GB2312" w:hint="eastAsia"/>
          <w:shd w:fill="FFFFFF" w:val="clear"/>
        </w:rPr>
        <w:t>、</w:t>
      </w:r>
      <w:r>
        <w:rPr>
          <w:rFonts w:cs="仿宋_GB2312" w:hint="eastAsia"/>
        </w:rPr>
        <w:t>业主委员会、物业服务企业应当配合有关部门、乡镇人民政府、街道办事处做好日常宣传、引导和监督工作，及时劝阻、报告违反规定燃放烟花爆竹行为。</w:t>
      </w:r>
    </w:p>
    <w:p>
      <w:pPr>
        <w:pStyle w:val="Normal"/>
        <w:ind w:firstLineChars="200" w:startChars="0" w:start="0" w:endChars="0" w:end="0"/>
        <w:rPr>
          <w:rFonts w:cs="仿宋_GB2312" w:hint="eastAsia"/>
        </w:rPr>
      </w:pPr>
      <w:r>
        <w:rPr>
          <w:rFonts w:cs="仿宋_GB2312" w:hint="eastAsia"/>
        </w:rPr>
        <w:t>鼓励村民委员会、居民委员会</w:t>
      </w:r>
      <w:r>
        <w:rPr>
          <w:rFonts w:cs="仿宋_GB2312" w:hint="eastAsia"/>
          <w:shd w:fill="FFFFFF" w:val="clear"/>
        </w:rPr>
        <w:t>、</w:t>
      </w:r>
      <w:r>
        <w:rPr>
          <w:rFonts w:cs="仿宋_GB2312" w:hint="eastAsia"/>
        </w:rPr>
        <w:t>业主委员会依法将燃放烟花爆竹的相关内容纳入村规民约、居民公约、业主管理规约。</w:t>
      </w:r>
    </w:p>
    <w:p>
      <w:pPr>
        <w:pStyle w:val="Normal"/>
        <w:rPr>
          <w:rFonts w:cs="仿宋_GB2312" w:hint="eastAsia"/>
        </w:rPr>
      </w:pPr>
      <w:r>
        <w:rPr>
          <w:rFonts w:cs="仿宋_GB2312" w:hint="eastAsia"/>
        </w:rPr>
        <w:t xml:space="preserve">    </w:t>
      </w:r>
      <w:r>
        <w:rPr>
          <w:rFonts w:cs="华文黑体;方正黑体_GBK" w:hint="eastAsia" w:eastAsia="华文黑体;方正黑体_GBK"/>
        </w:rPr>
        <w:t>第十二条</w:t>
      </w:r>
      <w:r>
        <w:rPr>
          <w:rFonts w:cs="仿宋_GB2312" w:hint="eastAsia"/>
        </w:rPr>
        <w:t xml:space="preserve">  各级人民政府及其部门、有关单位应当加强依法燃放烟花爆竹的宣传、教育，并在重大节日、重污染天气预警期间加大宣传力度。</w:t>
      </w:r>
    </w:p>
    <w:p>
      <w:pPr>
        <w:pStyle w:val="Normal"/>
        <w:rPr>
          <w:rFonts w:cs="仿宋_GB2312" w:hint="eastAsia"/>
        </w:rPr>
      </w:pPr>
      <w:r>
        <w:rPr>
          <w:rFonts w:cs="仿宋_GB2312" w:hint="eastAsia"/>
        </w:rPr>
        <w:t xml:space="preserve">    </w:t>
      </w:r>
      <w:r>
        <w:rPr>
          <w:rFonts w:cs="仿宋_GB2312" w:hint="eastAsia"/>
        </w:rPr>
        <w:t>广播、电视、报刊、网络等媒体，应当开展依法燃放烟花爆竹的公益宣传。</w:t>
      </w:r>
    </w:p>
    <w:p>
      <w:pPr>
        <w:pStyle w:val="Normal"/>
        <w:rPr>
          <w:rFonts w:cs="仿宋_GB2312" w:hint="eastAsia"/>
        </w:rPr>
      </w:pPr>
      <w:r>
        <w:rPr>
          <w:rFonts w:cs="仿宋_GB2312" w:hint="eastAsia"/>
        </w:rPr>
        <w:t xml:space="preserve">    </w:t>
      </w:r>
      <w:r>
        <w:rPr>
          <w:rFonts w:cs="仿宋_GB2312" w:hint="eastAsia"/>
        </w:rPr>
        <w:t>监护人应当加强对无民事行为能力人、限制民事行为能力人依法燃放烟花爆竹的教育和监管。</w:t>
      </w:r>
    </w:p>
    <w:p>
      <w:pPr>
        <w:pStyle w:val="Normal"/>
        <w:ind w:firstLineChars="200" w:startChars="0" w:start="0" w:endChars="0" w:end="0"/>
        <w:rPr>
          <w:rFonts w:cs="仿宋_GB2312" w:hint="eastAsia"/>
        </w:rPr>
      </w:pPr>
      <w:r>
        <w:rPr>
          <w:rFonts w:cs="华文黑体;方正黑体_GBK" w:hint="eastAsia" w:eastAsia="华文黑体;方正黑体_GBK"/>
        </w:rPr>
        <w:t>第十三条</w:t>
      </w:r>
      <w:r>
        <w:rPr>
          <w:rFonts w:cs="仿宋_GB2312" w:hint="eastAsia"/>
        </w:rPr>
        <w:t xml:space="preserve">  公安机关应当建立违法燃放烟花爆竹举报奖励制度，对相关举报及时登记、查处，并对举报人信息予以保密。查证属实的，给予举报人奖励。</w:t>
      </w:r>
    </w:p>
    <w:p>
      <w:pPr>
        <w:pStyle w:val="Normal"/>
        <w:ind w:firstLineChars="200" w:startChars="0" w:start="0" w:endChars="0" w:end="0"/>
        <w:rPr>
          <w:rFonts w:cs="仿宋_GB2312" w:hint="eastAsia"/>
        </w:rPr>
      </w:pPr>
      <w:r>
        <w:rPr>
          <w:rFonts w:cs="仿宋_GB2312" w:hint="eastAsia"/>
        </w:rPr>
        <w:t>打击报复举报人，违反治安管理的，由公安机关依法查处。</w:t>
      </w:r>
    </w:p>
    <w:p>
      <w:pPr>
        <w:pStyle w:val="Normal"/>
        <w:rPr>
          <w:rFonts w:cs="仿宋_GB2312" w:hint="eastAsia"/>
        </w:rPr>
      </w:pPr>
      <w:r>
        <w:rPr>
          <w:rFonts w:cs="仿宋_GB2312" w:hint="eastAsia"/>
        </w:rPr>
        <w:t xml:space="preserve">   </w:t>
      </w:r>
      <w:r>
        <w:rPr>
          <w:rFonts w:eastAsia="华文黑体;方正黑体_GBK" w:cs="华文黑体;方正黑体_GBK" w:hint="eastAsia"/>
        </w:rPr>
        <w:t xml:space="preserve"> </w:t>
      </w:r>
      <w:r>
        <w:rPr>
          <w:rFonts w:cs="华文黑体;方正黑体_GBK" w:hint="eastAsia" w:eastAsia="华文黑体;方正黑体_GBK"/>
        </w:rPr>
        <w:t xml:space="preserve">第十四条  </w:t>
      </w:r>
      <w:r>
        <w:rPr>
          <w:rFonts w:cs="仿宋_GB2312" w:hint="eastAsia"/>
        </w:rPr>
        <w:t>在禁止燃放烟花爆竹的区域内，庆典、婚庆、殡仪等服务经营者和物业服务企业、酒店、宾馆等单位，应当严格遵守禁止燃放烟花爆竹的规定，不得向服务对象提供代为购买、燃放烟花爆竹的服务，告知服务对象禁止燃放烟花爆竹，对违法燃放烟花爆竹的行为予以劝阻，劝阻无效的应当及时向公安机关报告。</w:t>
      </w:r>
    </w:p>
    <w:p>
      <w:pPr>
        <w:pStyle w:val="Normal"/>
        <w:rPr>
          <w:rFonts w:cs="仿宋_GB2312" w:hint="eastAsia"/>
        </w:rPr>
      </w:pPr>
      <w:r>
        <w:rPr>
          <w:rFonts w:eastAsia="华文黑体;方正黑体_GBK" w:cs="华文黑体;方正黑体_GBK" w:hint="eastAsia"/>
        </w:rPr>
        <w:t xml:space="preserve">    </w:t>
      </w:r>
      <w:r>
        <w:rPr>
          <w:rFonts w:cs="华文黑体;方正黑体_GBK" w:hint="eastAsia" w:eastAsia="华文黑体;方正黑体_GBK"/>
        </w:rPr>
        <w:t xml:space="preserve">第十五条  </w:t>
      </w:r>
      <w:r>
        <w:rPr>
          <w:rFonts w:cs="仿宋_GB2312" w:hint="eastAsia"/>
        </w:rPr>
        <w:t>违反本条例规定，在禁止燃放烟花爆竹的区域和地点燃放烟花爆竹，或者以危害公共安全和人身、财产安全的方式燃放烟花爆竹的，由公安机关责令停止燃放，处二百元以上五百元以下的罚款；构成违反治安管理行为的，依法给予治安管理处罚。</w:t>
      </w:r>
    </w:p>
    <w:p>
      <w:pPr>
        <w:pStyle w:val="Normal"/>
        <w:rPr>
          <w:rFonts w:cs="仿宋_GB2312" w:hint="eastAsia"/>
        </w:rPr>
      </w:pPr>
      <w:r>
        <w:rPr>
          <w:rFonts w:cs="仿宋_GB2312" w:hint="eastAsia"/>
        </w:rPr>
        <w:t xml:space="preserve">    </w:t>
      </w:r>
      <w:r>
        <w:rPr>
          <w:rFonts w:cs="仿宋_GB2312" w:hint="eastAsia"/>
        </w:rPr>
        <w:t>违反本条例规定，在禁止燃放烟花爆竹的区域内，庆典、婚庆、殡仪等服务经营者和物业服务企业、酒店、宾馆等单位对违法燃放烟花爆竹的行为不劝阻或者劝阻无效后不报告的，由公安机关给予二百元以上五百元以下的罚款。</w:t>
      </w:r>
    </w:p>
    <w:p>
      <w:pPr>
        <w:pStyle w:val="Normal"/>
        <w:rPr>
          <w:rFonts w:eastAsia="楷体_GB2312" w:cs="楷体_GB2312" w:hint="eastAsia"/>
          <w:b/>
          <w:bCs/>
        </w:rPr>
      </w:pPr>
      <w:r>
        <w:rPr>
          <w:rFonts w:eastAsia="华文黑体;方正黑体_GBK" w:cs="华文黑体;方正黑体_GBK" w:hint="eastAsia"/>
        </w:rPr>
        <w:t xml:space="preserve">    </w:t>
      </w:r>
      <w:r>
        <w:rPr>
          <w:rFonts w:cs="华文黑体;方正黑体_GBK" w:hint="eastAsia" w:eastAsia="华文黑体;方正黑体_GBK"/>
        </w:rPr>
        <w:t>第十六条</w:t>
      </w:r>
      <w:r>
        <w:rPr>
          <w:rFonts w:cs="仿宋_GB2312" w:hint="eastAsia"/>
        </w:rPr>
        <w:t xml:space="preserve">  在禁止燃放烟花爆竹的区域和地点，施放混合气体礼炮、电子鞭炮、电子礼炮，危害公共安</w:t>
      </w:r>
      <w:r>
        <w:rPr>
          <w:rFonts w:cs="仿宋_GB2312" w:hint="eastAsia"/>
          <w:shd w:fill="FFFFFF" w:val="clear"/>
        </w:rPr>
        <w:t>全或者造成环境噪声污染的，依照有关法律、法规予以处罚。</w:t>
      </w:r>
    </w:p>
    <w:p>
      <w:pPr>
        <w:pStyle w:val="Normal"/>
        <w:ind w:firstLineChars="200" w:startChars="0" w:start="0" w:endChars="0" w:end="0"/>
        <w:rPr>
          <w:rFonts w:cs="仿宋_GB2312" w:hint="eastAsia"/>
        </w:rPr>
      </w:pPr>
      <w:r>
        <w:rPr>
          <w:rFonts w:cs="华文黑体;方正黑体_GBK" w:hint="eastAsia" w:eastAsia="华文黑体;方正黑体_GBK"/>
        </w:rPr>
        <w:t>第十七条</w:t>
      </w:r>
      <w:r>
        <w:rPr>
          <w:rFonts w:cs="仿宋_GB2312" w:hint="eastAsia"/>
        </w:rPr>
        <w:t xml:space="preserve">  负有燃放烟花爆竹管理职责的部门及其工作人员在燃放烟花爆竹管理工作中玩忽职守、滥用职权、徇私舞弊的，对直接负责的主管人员和其他直接责任人员，依法给予处分。</w:t>
      </w:r>
      <w:r>
        <w:rPr>
          <w:rFonts w:cs="仿宋_GB2312"/>
        </w:rPr>
        <w:t xml:space="preserve"> </w:t>
      </w:r>
      <w:r>
        <w:rPr>
          <w:rFonts w:cs="仿宋_GB2312" w:hint="eastAsia"/>
        </w:rPr>
        <w:t xml:space="preserve">       </w:t>
      </w:r>
    </w:p>
    <w:p>
      <w:pPr>
        <w:pStyle w:val="Normal"/>
        <w:ind w:firstLineChars="200" w:startChars="0" w:start="0" w:endChars="0" w:end="0"/>
        <w:rPr>
          <w:rFonts w:cs="仿宋_GB2312" w:hint="eastAsia"/>
        </w:rPr>
      </w:pPr>
      <w:r>
        <w:rPr>
          <w:rFonts w:cs="华文黑体;方正黑体_GBK" w:hint="eastAsia" w:eastAsia="华文黑体;方正黑体_GBK"/>
        </w:rPr>
        <w:t>第十八条</w:t>
      </w:r>
      <w:r>
        <w:rPr>
          <w:rFonts w:cs="仿宋_GB2312" w:hint="eastAsia"/>
          <w:b/>
          <w:bCs/>
        </w:rPr>
        <w:t xml:space="preserve">  </w:t>
      </w:r>
      <w:r>
        <w:rPr>
          <w:rFonts w:cs="仿宋_GB2312" w:hint="eastAsia"/>
        </w:rPr>
        <w:t>违反本条例规定的行为，法律、法规已有处罚规定的，从其规定。</w:t>
      </w:r>
    </w:p>
    <w:p>
      <w:pPr>
        <w:pStyle w:val="Normal"/>
        <w:rPr>
          <w:rFonts w:eastAsia="楷体_GB2312" w:cs="楷体_GB2312" w:hint="eastAsia"/>
          <w:b/>
          <w:bCs/>
        </w:rPr>
      </w:pPr>
      <w:r>
        <w:rPr>
          <w:rFonts w:cs="仿宋_GB2312" w:hint="eastAsia"/>
        </w:rPr>
        <w:t xml:space="preserve">    </w:t>
      </w:r>
      <w:r>
        <w:rPr>
          <w:rFonts w:cs="华文黑体;方正黑体_GBK" w:hint="eastAsia" w:eastAsia="华文黑体;方正黑体_GBK"/>
        </w:rPr>
        <w:t>第十九条</w:t>
      </w:r>
      <w:r>
        <w:rPr>
          <w:rFonts w:cs="仿宋_GB2312" w:hint="eastAsia"/>
        </w:rPr>
        <w:t xml:space="preserve">  本条例自</w:t>
      </w:r>
      <w:r>
        <w:rPr>
          <w:rFonts w:cs="仿宋_GB2312" w:hint="eastAsia"/>
        </w:rPr>
        <w:t>2022</w:t>
      </w:r>
      <w:r>
        <w:rPr>
          <w:rFonts w:cs="仿宋_GB2312" w:hint="eastAsia"/>
        </w:rPr>
        <w:t>年</w:t>
      </w:r>
      <w:r>
        <w:rPr>
          <w:rFonts w:cs="仿宋_GB2312" w:hint="eastAsia"/>
        </w:rPr>
        <w:t>5</w:t>
      </w:r>
      <w:r>
        <w:rPr>
          <w:rFonts w:cs="仿宋_GB2312" w:hint="eastAsia"/>
        </w:rPr>
        <w:t>月</w:t>
      </w:r>
      <w:r>
        <w:rPr>
          <w:rFonts w:cs="仿宋_GB2312" w:hint="eastAsia"/>
        </w:rPr>
        <w:t>1</w:t>
      </w:r>
      <w:r>
        <w:rPr>
          <w:rFonts w:cs="仿宋_GB2312" w:hint="eastAsia"/>
        </w:rPr>
        <w:t xml:space="preserve">日起施行。 </w:t>
      </w:r>
    </w:p>
    <w:p>
      <w:pPr>
        <w:pStyle w:val="Normal"/>
        <w:rPr>
          <w:rFonts w:eastAsia="楷体_GB2312" w:cs="楷体_GB2312" w:hint="eastAsia"/>
          <w:b/>
          <w:bCs/>
        </w:rPr>
      </w:pPr>
      <w:r>
        <w:rPr>
          <w:rFonts w:eastAsia="楷体_GB2312" w:cs="楷体_GB2312" w:hint="eastAsia"/>
          <w:b/>
          <w:bCs/>
        </w:rPr>
      </w:r>
    </w:p>
    <w:p>
      <w:pPr>
        <w:pStyle w:val="Normal"/>
        <w:rPr>
          <w:rFonts w:hint="eastAsia"/>
        </w:rPr>
      </w:pPr>
      <w:r>
        <w:rPr>
          <w:rFonts w:hint="eastAsia"/>
        </w:rPr>
      </w:r>
    </w:p>
    <w:p>
      <w:pPr>
        <w:pStyle w:val="Normal"/>
        <w:rPr>
          <w:rFonts w:cs="仿宋_GB2312" w:hint="eastAsia"/>
        </w:rPr>
      </w:pPr>
      <w:r>
        <w:rPr>
          <w:rFonts w:cs="仿宋_GB2312" w:hint="eastAsia"/>
        </w:rPr>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Calibri">
    <w:charset w:val="00" w:characterSet="windows-1252"/>
    <w:family w:val="swiss"/>
    <w:pitch w:val="default"/>
  </w:font>
  <w:font w:name="宋体">
    <w:charset w:val="86"/>
    <w:family w:val="auto"/>
    <w:pitch w:val="default"/>
  </w:font>
  <w:font w:name="Tahom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613410" cy="553720"/>
              <wp:effectExtent l="0" t="0" r="0" b="0"/>
              <wp:wrapSquare wrapText="bothSides"/>
              <wp:docPr id="1" name="Frame1"/>
              <a:graphic xmlns:a="http://schemas.openxmlformats.org/drawingml/2006/main">
                <a:graphicData uri="http://schemas.microsoft.com/office/word/2010/wordprocessingShape">
                  <wps:wsp>
                    <wps:cNvSpPr txBox="1"/>
                    <wps:spPr>
                      <a:xfrm>
                        <a:off x="0" y="0"/>
                        <a:ext cx="613410" cy="553720"/>
                      </a:xfrm>
                      <a:prstGeom prst="rect"/>
                      <a:solidFill>
                        <a:srgbClr val="FFFFFF">
                          <a:alpha val="0"/>
                        </a:srgbClr>
                      </a:solidFill>
                    </wps:spPr>
                    <wps:txbx>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 xml:space="preserve">— </w:t>
                          </w:r>
                          <w:r>
                            <w:rPr>
                              <w:rStyle w:val="PageNumber"/>
                              <w:rFonts w:cs="宋体" w:ascii="宋体" w:hAnsi="宋体"/>
                              <w:sz w:val="28"/>
                              <w:szCs w:val="28"/>
                            </w:rPr>
                            <w:fldChar w:fldCharType="begin"/>
                          </w:r>
                          <w:r>
                            <w:rPr>
                              <w:rStyle w:val="PageNumber"/>
                              <w:rFonts w:cs="宋体" w:ascii="宋体" w:hAnsi="宋体"/>
                              <w:sz w:val="28"/>
                              <w:szCs w:val="28"/>
                            </w:rPr>
                            <w:instrText xml:space="preserve"> PAGE </w:instrText>
                          </w:r>
                          <w:r>
                            <w:rPr>
                              <w:rStyle w:val="PageNumber"/>
                              <w:rFonts w:cs="宋体" w:ascii="宋体" w:hAnsi="宋体"/>
                              <w:sz w:val="28"/>
                              <w:szCs w:val="28"/>
                            </w:rPr>
                            <w:fldChar w:fldCharType="separate"/>
                          </w:r>
                          <w:r>
                            <w:rPr>
                              <w:rStyle w:val="PageNumber"/>
                              <w:rFonts w:cs="宋体" w:ascii="宋体" w:hAnsi="宋体"/>
                              <w:sz w:val="28"/>
                              <w:szCs w:val="28"/>
                            </w:rPr>
                            <w:t>5</w:t>
                          </w:r>
                          <w:r>
                            <w:rPr>
                              <w:rStyle w:val="PageNumber"/>
                              <w:rFonts w:cs="宋体" w:ascii="宋体" w:hAnsi="宋体"/>
                              <w:sz w:val="28"/>
                              <w:szCs w:val="28"/>
                            </w:rPr>
                            <w:fldChar w:fldCharType="end"/>
                          </w:r>
                          <w:r>
                            <w:rPr>
                              <w:rStyle w:val="PageNumber"/>
                              <w:rFonts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48.3pt;height:43.6pt;mso-wrap-distance-left:0pt;mso-wrap-distance-right:0pt;mso-wrap-distance-top:0pt;mso-wrap-distance-bottom:0pt;margin-top:0.05pt;mso-position-vertical-relative:text;margin-left:393.9pt;mso-position-horizontal:outside;mso-position-horizontal-relative:margin">
              <v:fill opacity="0f"/>
              <v:textbox inset="0in,0in,0in,0in">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 xml:space="preserve">— </w:t>
                    </w:r>
                    <w:r>
                      <w:rPr>
                        <w:rStyle w:val="PageNumber"/>
                        <w:rFonts w:cs="宋体" w:ascii="宋体" w:hAnsi="宋体"/>
                        <w:sz w:val="28"/>
                        <w:szCs w:val="28"/>
                      </w:rPr>
                      <w:fldChar w:fldCharType="begin"/>
                    </w:r>
                    <w:r>
                      <w:rPr>
                        <w:rStyle w:val="PageNumber"/>
                        <w:rFonts w:cs="宋体" w:ascii="宋体" w:hAnsi="宋体"/>
                        <w:sz w:val="28"/>
                        <w:szCs w:val="28"/>
                      </w:rPr>
                      <w:instrText xml:space="preserve"> PAGE </w:instrText>
                    </w:r>
                    <w:r>
                      <w:rPr>
                        <w:rStyle w:val="PageNumber"/>
                        <w:rFonts w:cs="宋体" w:ascii="宋体" w:hAnsi="宋体"/>
                        <w:sz w:val="28"/>
                        <w:szCs w:val="28"/>
                      </w:rPr>
                      <w:fldChar w:fldCharType="separate"/>
                    </w:r>
                    <w:r>
                      <w:rPr>
                        <w:rStyle w:val="PageNumber"/>
                        <w:rFonts w:cs="宋体" w:ascii="宋体" w:hAnsi="宋体"/>
                        <w:sz w:val="28"/>
                        <w:szCs w:val="28"/>
                      </w:rPr>
                      <w:t>5</w:t>
                    </w:r>
                    <w:r>
                      <w:rPr>
                        <w:rStyle w:val="PageNumber"/>
                        <w:rFonts w:cs="宋体" w:ascii="宋体" w:hAnsi="宋体"/>
                        <w:sz w:val="28"/>
                        <w:szCs w:val="28"/>
                      </w:rPr>
                      <w:fldChar w:fldCharType="end"/>
                    </w:r>
                    <w:r>
                      <w:rPr>
                        <w:rStyle w:val="PageNumber"/>
                        <w:rFonts w:cs="宋体" w:hint="eastAsia" w:ascii="宋体" w:hAnsi="宋体"/>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84"/>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Style14">
    <w:name w:val="默认段落字体"/>
    <w:qFormat/>
    <w:rPr/>
  </w:style>
  <w:style w:type="character" w:styleId="CharChar">
    <w:name w:val=" Char Char"/>
    <w:basedOn w:val="Style14"/>
    <w:qFormat/>
    <w:rPr>
      <w:rFonts w:eastAsia="仿宋_GB2312"/>
      <w:kern w:val="2"/>
      <w:sz w:val="18"/>
      <w:szCs w:val="18"/>
      <w:lang w:bidi="ar-SA"/>
    </w:rPr>
  </w:style>
  <w:style w:type="character" w:styleId="TitleChar">
    <w:name w:val="Title Char"/>
    <w:qFormat/>
    <w:rPr>
      <w:rFonts w:eastAsia="方正小标宋简体"/>
      <w:bCs/>
      <w:sz w:val="44"/>
      <w:szCs w:val="32"/>
      <w:lang w:bidi="ar-SA"/>
    </w:rPr>
  </w:style>
  <w:style w:type="character" w:styleId="Strong">
    <w:name w:val="Strong"/>
    <w:basedOn w:val="Style14"/>
    <w:qFormat/>
    <w:rPr>
      <w:rFonts w:cs="Times New Roman"/>
      <w:b/>
      <w:bCs/>
    </w:rPr>
  </w:style>
  <w:style w:type="character" w:styleId="PageNumber">
    <w:name w:val="page number"/>
    <w:basedOn w:val="Style14"/>
    <w:rPr/>
  </w:style>
  <w:style w:type="character" w:styleId="Emphasis">
    <w:name w:val="Emphasis"/>
    <w:qFormat/>
    <w:rPr>
      <w:i w:val="false"/>
      <w:iCs w:val="false"/>
      <w:color w:val="CC0000"/>
    </w:rPr>
  </w:style>
  <w:style w:type="character" w:styleId="Hyperlink">
    <w:name w:val="Hyperlink"/>
    <w:basedOn w:val="Style14"/>
    <w:rPr>
      <w:color w:val="0000FF"/>
      <w:u w:val="single"/>
    </w:rPr>
  </w:style>
  <w:style w:type="character" w:styleId="ListParagraphChar">
    <w:name w:val="List Paragraph Char"/>
    <w:qFormat/>
    <w:rPr>
      <w:rFonts w:ascii="Calibri" w:hAnsi="Calibri" w:eastAsia="宋体" w:cs="Calibri"/>
      <w:kern w:val="2"/>
      <w:sz w:val="21"/>
      <w:szCs w:val="22"/>
      <w:lang w:bidi="ar-SA"/>
    </w:rPr>
  </w:style>
  <w:style w:type="paragraph" w:styleId="Heading">
    <w:name w:val="Heading"/>
    <w:basedOn w:val="Normal"/>
    <w:next w:val="Normal"/>
    <w:qFormat/>
    <w:pPr>
      <w:snapToGrid w:val="false"/>
      <w:spacing w:lineRule="atLeast" w:line="240"/>
      <w:jc w:val="center"/>
      <w:outlineLvl w:val="0"/>
    </w:pPr>
    <w:rPr>
      <w:rFonts w:eastAsia="方正小标宋简体"/>
      <w:bCs/>
      <w:kern w:val="0"/>
      <w:sz w:val="44"/>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文档结构图"/>
    <w:basedOn w:val="Normal"/>
    <w:qFormat/>
    <w:pPr>
      <w:shd w:fill="000080" w:val="clear"/>
    </w:pPr>
    <w:rPr/>
  </w:style>
  <w:style w:type="paragraph" w:styleId="BodyTextIndent">
    <w:name w:val="Body Text Indent"/>
    <w:basedOn w:val="Normal"/>
    <w:pPr>
      <w:spacing w:lineRule="auto" w:line="360"/>
      <w:ind w:firstLineChars="200" w:startChars="0" w:start="0" w:endChars="0" w:end="0"/>
    </w:pPr>
    <w:rPr>
      <w:rFonts w:ascii="宋体" w:hAnsi="宋体" w:eastAsia="宋体" w:cs="宋体"/>
      <w:sz w:val="28"/>
      <w:szCs w:val="20"/>
    </w:rPr>
  </w:style>
  <w:style w:type="paragraph" w:styleId="Style16">
    <w:name w:val="日期"/>
    <w:basedOn w:val="Normal"/>
    <w:next w:val="Normal"/>
    <w:qFormat/>
    <w:pPr>
      <w:ind w:firstLineChars="0" w:firstLine="0" w:startChars="2500" w:endChars="0" w:end="0"/>
    </w:pPr>
    <w:rPr/>
  </w:style>
  <w:style w:type="paragraph" w:styleId="2">
    <w:name w:val="正文文本缩进 2"/>
    <w:basedOn w:val="Normal"/>
    <w:qFormat/>
    <w:pPr>
      <w:ind w:firstLineChars="200" w:startChars="0" w:start="0" w:endChars="0" w:end="0"/>
    </w:pPr>
    <w:rPr>
      <w:spacing w:val="-4"/>
      <w:szCs w:val="24"/>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
    <w:name w:val="Char"/>
    <w:basedOn w:val="Normal"/>
    <w:qFormat/>
    <w:pPr>
      <w:tabs>
        <w:tab w:val="clear" w:pos="420"/>
        <w:tab w:val="left" w:pos="360" w:leader="none"/>
      </w:tabs>
      <w:ind w:hangingChars="200" w:startChars="0" w:start="0" w:endChars="0" w:end="0"/>
    </w:pPr>
    <w:rPr>
      <w:rFonts w:eastAsia="宋体"/>
      <w:sz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TOC1">
    <w:name w:val="toc 1"/>
    <w:basedOn w:val="Normal"/>
    <w:next w:val="Normal"/>
    <w:pPr/>
    <w:rPr/>
  </w:style>
  <w:style w:type="paragraph" w:styleId="21">
    <w:name w:val="正文文本 2"/>
    <w:basedOn w:val="Normal"/>
    <w:qFormat/>
    <w:pPr>
      <w:spacing w:lineRule="auto" w:line="480" w:before="0" w:after="120"/>
    </w:pPr>
    <w:rPr>
      <w:rFonts w:eastAsia="宋体"/>
      <w:sz w:val="21"/>
      <w:szCs w:val="24"/>
    </w:rPr>
  </w:style>
  <w:style w:type="paragraph" w:styleId="Style18">
    <w:name w:val="普通(网站)"/>
    <w:basedOn w:val="Normal"/>
    <w:qFormat/>
    <w:pPr>
      <w:widowControl/>
      <w:spacing w:before="100" w:after="100"/>
      <w:jc w:val="start"/>
    </w:pPr>
    <w:rPr>
      <w:rFonts w:ascii="宋体" w:hAnsi="宋体" w:eastAsia="宋体" w:cs="宋体"/>
      <w:color w:val="000000"/>
      <w:kern w:val="0"/>
      <w:sz w:val="24"/>
      <w:szCs w:val="24"/>
    </w:rPr>
  </w:style>
  <w:style w:type="paragraph" w:styleId="Char1">
    <w:name w:val=" Char"/>
    <w:basedOn w:val="Style15"/>
    <w:qFormat/>
    <w:pPr>
      <w:spacing w:lineRule="exact" w:line="436"/>
      <w:ind w:hanging="0" w:start="357" w:end="0"/>
      <w:jc w:val="start"/>
      <w:outlineLvl w:val="3"/>
    </w:pPr>
    <w:rPr>
      <w:rFonts w:ascii="Tahoma" w:hAnsi="Tahoma" w:cs="Tahoma"/>
      <w:b/>
      <w:sz w:val="24"/>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
      <w:sz w:val="21"/>
      <w:szCs w:val="20"/>
    </w:rPr>
  </w:style>
  <w:style w:type="paragraph" w:styleId="ParaCharCharCharChar">
    <w:name w:val="默认段落字体 Para Char Char Char Char"/>
    <w:basedOn w:val="Normal"/>
    <w:qFormat/>
    <w:pPr/>
    <w:rPr>
      <w:rFonts w:eastAsia="宋体"/>
      <w:sz w:val="21"/>
      <w:szCs w:val="20"/>
    </w:rPr>
  </w:style>
  <w:style w:type="paragraph" w:styleId="p0">
    <w:name w:val="p0"/>
    <w:basedOn w:val="Normal"/>
    <w:qFormat/>
    <w:pPr>
      <w:widowControl/>
    </w:pPr>
    <w:rPr>
      <w:rFonts w:eastAsia="宋体"/>
      <w:kern w:val="0"/>
      <w:sz w:val="21"/>
      <w:szCs w:val="21"/>
    </w:rPr>
  </w:style>
  <w:style w:type="paragraph" w:styleId="ListParagraph">
    <w:name w:val="List Paragraph"/>
    <w:basedOn w:val="Normal"/>
    <w:qFormat/>
    <w:pPr>
      <w:ind w:firstLineChars="200" w:startChars="0" w:start="0" w:endChars="0" w:end="0"/>
    </w:pPr>
    <w:rPr>
      <w:rFonts w:ascii="Calibri" w:hAnsi="Calibri" w:eastAsia="宋体" w:cs="Calibri"/>
      <w:sz w:val="21"/>
      <w:szCs w:val="22"/>
    </w:rPr>
  </w:style>
  <w:style w:type="paragraph" w:styleId="Char11">
    <w:name w:val="Char1"/>
    <w:basedOn w:val="Normal"/>
    <w:qFormat/>
    <w:pPr>
      <w:tabs>
        <w:tab w:val="clear" w:pos="420"/>
        <w:tab w:val="left" w:pos="360" w:leader="none"/>
      </w:tabs>
    </w:pPr>
    <w:rPr>
      <w:szCs w:val="20"/>
    </w:rPr>
  </w:style>
  <w:style w:type="paragraph" w:styleId="p15">
    <w:name w:val="p15"/>
    <w:basedOn w:val="Normal"/>
    <w:qFormat/>
    <w:pPr>
      <w:widowControl/>
      <w:spacing w:before="100" w:after="100"/>
      <w:jc w:val="start"/>
    </w:pPr>
    <w:rPr>
      <w:rFonts w:ascii="宋体" w:hAnsi="宋体" w:eastAsia="宋体" w:cs="宋体"/>
      <w:kern w:val="0"/>
      <w:sz w:val="24"/>
      <w:szCs w:val="24"/>
    </w:rPr>
  </w:style>
  <w:style w:type="paragraph" w:styleId="CharCharCharChar">
    <w:name w:val="Char Char Char Char"/>
    <w:basedOn w:val="Normal"/>
    <w:qFormat/>
    <w:pPr/>
    <w:rPr>
      <w:rFonts w:eastAsia="宋体"/>
      <w:sz w:val="21"/>
      <w:szCs w:val="24"/>
    </w:rPr>
  </w:style>
  <w:style w:type="paragraph" w:styleId="NormalIndent">
    <w:name w:val="Normal Indent"/>
    <w:basedOn w:val="Normal"/>
    <w:qFormat/>
    <w:pPr>
      <w:ind w:firstLine="630" w:start="0" w:end="0"/>
    </w:pPr>
    <w:rPr>
      <w:kern w:val="0"/>
      <w:szCs w:val="20"/>
    </w:rPr>
  </w:style>
  <w:style w:type="paragraph" w:styleId="c0">
    <w:name w:val="c0"/>
    <w:basedOn w:val="Normal"/>
    <w:qFormat/>
    <w:pPr>
      <w:widowControl/>
      <w:spacing w:before="100" w:after="100"/>
      <w:jc w:val="start"/>
    </w:pPr>
    <w:rPr>
      <w:rFonts w:ascii="宋体" w:hAnsi="宋体" w:eastAsia="宋体" w:cs="宋体"/>
      <w:kern w:val="0"/>
      <w:sz w:val="24"/>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2021-12-15T17:27:00Z</dcterms:created>
  <dc:creator>ch</dc:creator>
  <dc:description/>
  <dc:language>en-US</dc:language>
  <cp:lastModifiedBy>川人张</cp:lastModifiedBy>
  <cp:lastPrinted>2021-12-22T11:18:00Z</cp:lastPrinted>
  <dcterms:modified xsi:type="dcterms:W3CDTF">2022-01-17T09:32:36Z</dcterms:modified>
  <cp:revision>6</cp:revision>
  <dc:subject/>
  <dc:title>板心</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AB47760679BF44B69955F5EE3AFFEA24</vt:lpwstr>
  </property>
  <property fmtid="{D5CDD505-2E9C-101B-9397-08002B2CF9AE}" pid="3" name="KSOProductBuildVer">
    <vt:lpwstr>2052-11.1.0.11294</vt:lpwstr>
  </property>
</Properties>
</file>