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spacing w:lineRule="exact" w:line="640"/>
        <w:jc w:val="center"/>
        <w:rPr>
          <w:rFonts w:ascii="宋体;SimSun" w:hAnsi="宋体;SimSun" w:eastAsia="宋体;SimSun" w:cs="宋体;SimSun"/>
          <w:b/>
          <w:color w:val="000000"/>
          <w:sz w:val="44"/>
          <w:szCs w:val="36"/>
        </w:rPr>
      </w:pPr>
      <w:r>
        <w:rPr>
          <w:rFonts w:ascii="宋体;SimSun" w:hAnsi="宋体;SimSun" w:cs="宋体;SimSun" w:hint="eastAsia" w:eastAsia="宋体;SimSun"/>
          <w:b/>
          <w:color w:val="000000"/>
          <w:sz w:val="44"/>
          <w:szCs w:val="36"/>
        </w:rPr>
        <w:t>安徽省人民代表大会常务委员会</w:t>
      </w:r>
    </w:p>
    <w:p>
      <w:pPr>
        <w:pStyle w:val="Normal"/>
        <w:spacing w:lineRule="exact" w:line="640"/>
        <w:jc w:val="center"/>
        <w:rPr/>
      </w:pPr>
      <w:r>
        <w:rPr>
          <w:rFonts w:ascii="宋体;SimSun" w:hAnsi="宋体;SimSun" w:cs="宋体;SimSun" w:hint="eastAsia" w:eastAsia="宋体;SimSun"/>
          <w:b/>
          <w:color w:val="000000"/>
          <w:sz w:val="44"/>
          <w:szCs w:val="36"/>
        </w:rPr>
        <w:t>关于批准</w:t>
      </w:r>
      <w:r>
        <w:rPr>
          <w:rFonts w:ascii="宋体;SimSun" w:hAnsi="宋体;SimSun" w:cs="宋体;SimSun" w:hint="eastAsia" w:eastAsia="宋体;SimSun"/>
          <w:b/>
          <w:color w:val="000000"/>
          <w:sz w:val="44"/>
        </w:rPr>
        <w:t>《</w:t>
      </w:r>
      <w:r>
        <w:rPr>
          <w:rFonts w:ascii="宋体;SimSun" w:hAnsi="宋体;SimSun" w:cs="方正小标宋简体" w:hint="eastAsia" w:eastAsia="宋体;SimSun"/>
          <w:b/>
          <w:sz w:val="44"/>
          <w:szCs w:val="44"/>
        </w:rPr>
        <w:t>宿州市饮用水水源地保护条例</w:t>
      </w:r>
      <w:r>
        <w:rPr>
          <w:rFonts w:ascii="宋体;SimSun" w:hAnsi="宋体;SimSun" w:cs="宋体;SimSun" w:hint="eastAsia" w:eastAsia="宋体;SimSun"/>
          <w:b/>
          <w:color w:val="000000"/>
          <w:sz w:val="44"/>
        </w:rPr>
        <w:t>》</w:t>
      </w:r>
    </w:p>
    <w:p>
      <w:pPr>
        <w:pStyle w:val="Normal"/>
        <w:spacing w:lineRule="exact" w:line="640"/>
        <w:jc w:val="center"/>
        <w:rPr>
          <w:rFonts w:ascii="宋体;SimSun" w:hAnsi="宋体;SimSun" w:eastAsia="宋体;SimSun" w:cs="宋体;SimSun" w:hint="eastAsia"/>
          <w:b/>
          <w:color w:val="000000"/>
          <w:sz w:val="44"/>
          <w:szCs w:val="36"/>
        </w:rPr>
      </w:pPr>
      <w:r>
        <w:rPr>
          <w:rFonts w:ascii="宋体;SimSun" w:hAnsi="宋体;SimSun" w:cs="宋体;SimSun" w:hint="eastAsia" w:eastAsia="宋体;SimSun"/>
          <w:b/>
          <w:color w:val="000000"/>
          <w:sz w:val="44"/>
          <w:szCs w:val="36"/>
        </w:rPr>
        <w:t>的决议</w:t>
      </w:r>
    </w:p>
    <w:p>
      <w:pPr>
        <w:pStyle w:val="Normal"/>
        <w:spacing w:lineRule="exact" w:line="680"/>
        <w:jc w:val="center"/>
        <w:rPr>
          <w:rFonts w:ascii="方正小标宋简体" w:hAnsi="方正小标宋简体" w:eastAsia="方正小标宋简体" w:cs="宋体;SimSun" w:hint="eastAsia"/>
          <w:b/>
          <w:color w:val="000000"/>
          <w:sz w:val="44"/>
          <w:szCs w:val="36"/>
        </w:rPr>
      </w:pPr>
      <w:r>
        <w:rPr>
          <w:rFonts w:eastAsia="方正小标宋简体" w:cs="宋体;SimSun" w:hint="eastAsia" w:ascii="方正小标宋简体" w:hAnsi="方正小标宋简体"/>
          <w:b/>
          <w:color w:val="000000"/>
          <w:sz w:val="44"/>
          <w:szCs w:val="36"/>
        </w:rPr>
      </w:r>
    </w:p>
    <w:p>
      <w:pPr>
        <w:pStyle w:val="Normal"/>
        <w:jc w:val="center"/>
        <w:rPr/>
      </w:pPr>
      <w:r>
        <w:rPr>
          <w:rFonts w:hint="eastAsia" w:eastAsia="楷体_GB2312"/>
          <w:color w:val="000000"/>
          <w:szCs w:val="30"/>
        </w:rPr>
        <w:t>（</w:t>
      </w:r>
      <w:r>
        <w:rPr>
          <w:rFonts w:eastAsia="楷体_GB2312"/>
          <w:color w:val="000000"/>
          <w:szCs w:val="30"/>
        </w:rPr>
        <w:t>2018</w:t>
      </w:r>
      <w:r>
        <w:rPr>
          <w:rFonts w:hint="eastAsia" w:eastAsia="楷体_GB2312"/>
          <w:color w:val="000000"/>
          <w:szCs w:val="30"/>
        </w:rPr>
        <w:t>年</w:t>
      </w:r>
      <w:r>
        <w:rPr>
          <w:rFonts w:eastAsia="楷体_GB2312"/>
          <w:color w:val="000000"/>
          <w:szCs w:val="30"/>
        </w:rPr>
        <w:t>9</w:t>
      </w:r>
      <w:r>
        <w:rPr>
          <w:rFonts w:hint="eastAsia" w:eastAsia="楷体_GB2312"/>
          <w:color w:val="000000"/>
          <w:szCs w:val="30"/>
        </w:rPr>
        <w:t>月</w:t>
      </w:r>
      <w:r>
        <w:rPr>
          <w:rFonts w:eastAsia="楷体_GB2312" w:hint="eastAsia"/>
          <w:color w:val="000000"/>
          <w:szCs w:val="30"/>
        </w:rPr>
        <w:t>29</w:t>
      </w:r>
      <w:r>
        <w:rPr>
          <w:rFonts w:hint="eastAsia" w:eastAsia="楷体_GB2312"/>
          <w:color w:val="000000"/>
          <w:szCs w:val="30"/>
        </w:rPr>
        <w:t>日安徽省第十三届人民代表大会</w:t>
      </w:r>
    </w:p>
    <w:p>
      <w:pPr>
        <w:pStyle w:val="Normal"/>
        <w:jc w:val="center"/>
        <w:rPr>
          <w:rFonts w:eastAsia="楷体_GB2312"/>
          <w:color w:val="000000"/>
          <w:szCs w:val="30"/>
        </w:rPr>
      </w:pPr>
      <w:r>
        <w:rPr>
          <w:rFonts w:hint="eastAsia" w:eastAsia="楷体_GB2312"/>
          <w:color w:val="000000"/>
          <w:szCs w:val="30"/>
        </w:rPr>
        <w:t>常务委员会第五次会议通过）</w:t>
      </w:r>
    </w:p>
    <w:p>
      <w:pPr>
        <w:pStyle w:val="Normal"/>
        <w:jc w:val="center"/>
        <w:rPr>
          <w:rFonts w:eastAsia="楷体_GB2312"/>
          <w:color w:val="000000"/>
          <w:szCs w:val="30"/>
        </w:rPr>
      </w:pPr>
      <w:r>
        <w:rPr>
          <w:rFonts w:eastAsia="楷体_GB2312"/>
          <w:color w:val="000000"/>
          <w:szCs w:val="30"/>
        </w:rPr>
      </w:r>
    </w:p>
    <w:p>
      <w:pPr>
        <w:pStyle w:val="Normal"/>
        <w:ind w:firstLineChars="200" w:startChars="0" w:start="0" w:endChars="0" w:end="0"/>
        <w:rPr>
          <w:color w:val="000000"/>
        </w:rPr>
      </w:pPr>
      <w:r>
        <w:rPr>
          <w:rFonts w:ascii="仿宋_GB2312" w:hAnsi="仿宋_GB2312" w:hint="eastAsia"/>
          <w:color w:val="000000"/>
        </w:rPr>
        <w:t>安徽省第十三届人民代表大会常务委员会第五次会议审查了《</w:t>
      </w:r>
      <w:r>
        <w:rPr>
          <w:rFonts w:cs="仿宋" w:hint="eastAsia"/>
        </w:rPr>
        <w:t>宿州市饮用水水源地保护条例</w:t>
      </w:r>
      <w:r>
        <w:rPr>
          <w:rFonts w:ascii="仿宋_GB2312" w:hAnsi="仿宋_GB2312" w:hint="eastAsia"/>
          <w:color w:val="000000"/>
        </w:rPr>
        <w:t>》，决定予以批准，由</w:t>
      </w:r>
      <w:r>
        <w:rPr>
          <w:rFonts w:cs="宋体;SimSun" w:hint="eastAsia"/>
          <w:color w:val="000000"/>
          <w:kern w:val="0"/>
        </w:rPr>
        <w:t>宿州</w:t>
      </w:r>
      <w:r>
        <w:rPr>
          <w:rFonts w:ascii="仿宋_GB2312" w:hAnsi="仿宋_GB2312" w:hint="eastAsia"/>
          <w:color w:val="000000"/>
        </w:rPr>
        <w:t>市人民代表大会常务委员会公布施行。</w:t>
      </w:r>
    </w:p>
    <w:p>
      <w:pPr>
        <w:pStyle w:val="Normal"/>
        <w:rPr>
          <w:color w:val="000000"/>
        </w:rPr>
      </w:pPr>
      <w:r>
        <w:rPr>
          <w:color w:val="000000"/>
        </w:rPr>
      </w:r>
      <w:r>
        <w:br w:type="page"/>
      </w:r>
    </w:p>
    <w:p>
      <w:pPr>
        <w:pStyle w:val="Normal"/>
        <w:spacing w:lineRule="exact" w:line="640"/>
        <w:jc w:val="center"/>
        <w:rPr>
          <w:rFonts w:eastAsia="方正小标宋简体" w:hint="eastAsia"/>
          <w:color w:val="000000"/>
          <w:sz w:val="44"/>
          <w:szCs w:val="44"/>
        </w:rPr>
      </w:pPr>
      <w:r>
        <w:rPr>
          <w:rFonts w:eastAsia="方正小标宋简体" w:hint="eastAsia"/>
          <w:color w:val="000000"/>
          <w:sz w:val="44"/>
          <w:szCs w:val="44"/>
        </w:rPr>
      </w:r>
    </w:p>
    <w:p>
      <w:pPr>
        <w:pStyle w:val="Normal"/>
        <w:spacing w:lineRule="exact" w:line="560"/>
        <w:jc w:val="center"/>
        <w:rPr>
          <w:rFonts w:ascii="宋体;SimSun" w:hAnsi="宋体;SimSun" w:eastAsia="宋体;SimSun" w:cs="宋体;SimSun"/>
          <w:b/>
          <w:color w:val="000000"/>
          <w:sz w:val="44"/>
          <w:szCs w:val="44"/>
        </w:rPr>
      </w:pPr>
      <w:r>
        <w:rPr>
          <w:rFonts w:ascii="宋体;SimSun" w:hAnsi="宋体;SimSun" w:cs="宋体;SimSun" w:hint="eastAsia" w:eastAsia="宋体;SimSun"/>
          <w:b/>
          <w:color w:val="000000"/>
          <w:sz w:val="44"/>
          <w:szCs w:val="44"/>
        </w:rPr>
        <w:t>宿州市饮用水水源地保护条例</w:t>
      </w:r>
    </w:p>
    <w:p>
      <w:pPr>
        <w:pStyle w:val="Normal"/>
        <w:jc w:val="center"/>
        <w:rPr>
          <w:rFonts w:ascii="宋体;SimSun" w:hAnsi="宋体;SimSun" w:eastAsia="楷体" w:cs="楷体" w:hint="eastAsia"/>
          <w:b/>
          <w:color w:val="000000"/>
          <w:sz w:val="44"/>
          <w:szCs w:val="44"/>
        </w:rPr>
      </w:pPr>
      <w:r>
        <w:rPr>
          <w:rFonts w:eastAsia="楷体" w:cs="楷体" w:hint="eastAsia" w:ascii="宋体;SimSun" w:hAnsi="宋体;SimSun"/>
          <w:b/>
          <w:color w:val="000000"/>
          <w:sz w:val="44"/>
          <w:szCs w:val="44"/>
        </w:rPr>
      </w:r>
    </w:p>
    <w:p>
      <w:pPr>
        <w:pStyle w:val="Normal"/>
        <w:ind w:firstLineChars="200" w:startChars="0" w:start="0" w:endChars="0" w:end="0"/>
        <w:rPr>
          <w:rFonts w:eastAsia="楷体" w:cs="楷体"/>
          <w:color w:val="000000"/>
        </w:rPr>
      </w:pPr>
      <w:r>
        <w:rPr>
          <w:rFonts w:cs="楷体" w:hint="eastAsia" w:eastAsia="楷体_GB2312"/>
          <w:color w:val="000000"/>
        </w:rPr>
        <w:t>（</w:t>
      </w:r>
      <w:r>
        <w:rPr>
          <w:rFonts w:eastAsia="楷体_GB2312" w:cs="楷体" w:hint="eastAsia"/>
          <w:color w:val="000000"/>
        </w:rPr>
        <w:t>2018</w:t>
      </w:r>
      <w:r>
        <w:rPr>
          <w:rFonts w:cs="楷体" w:hint="eastAsia" w:eastAsia="楷体_GB2312"/>
          <w:color w:val="000000"/>
        </w:rPr>
        <w:t>年</w:t>
      </w:r>
      <w:r>
        <w:rPr>
          <w:rFonts w:eastAsia="楷体_GB2312" w:cs="楷体" w:hint="eastAsia"/>
          <w:color w:val="000000"/>
        </w:rPr>
        <w:t>8</w:t>
      </w:r>
      <w:r>
        <w:rPr>
          <w:rFonts w:cs="楷体" w:hint="eastAsia" w:eastAsia="楷体_GB2312"/>
          <w:color w:val="000000"/>
        </w:rPr>
        <w:t>月</w:t>
      </w:r>
      <w:r>
        <w:rPr>
          <w:rFonts w:eastAsia="楷体_GB2312" w:cs="楷体" w:hint="eastAsia"/>
          <w:color w:val="000000"/>
        </w:rPr>
        <w:t>29</w:t>
      </w:r>
      <w:r>
        <w:rPr>
          <w:rFonts w:cs="楷体" w:hint="eastAsia" w:eastAsia="楷体_GB2312"/>
          <w:color w:val="000000"/>
        </w:rPr>
        <w:t>日宿州市第五届人民代表大会常务委员会第六次会议通过</w:t>
      </w:r>
      <w:r>
        <w:rPr>
          <w:rFonts w:cs="楷体_GB2312" w:hint="eastAsia" w:eastAsia="楷体_GB2312"/>
          <w:color w:val="000000"/>
        </w:rPr>
        <w:t xml:space="preserve">  </w:t>
      </w:r>
      <w:r>
        <w:rPr>
          <w:rFonts w:eastAsia="楷体_GB2312" w:cs="楷体_GB2312" w:hint="eastAsia"/>
          <w:color w:val="000000"/>
        </w:rPr>
        <w:t>2018</w:t>
      </w:r>
      <w:r>
        <w:rPr>
          <w:rFonts w:cs="楷体_GB2312" w:hint="eastAsia" w:eastAsia="楷体_GB2312"/>
          <w:color w:val="000000"/>
        </w:rPr>
        <w:t>年</w:t>
      </w:r>
      <w:r>
        <w:rPr>
          <w:rFonts w:eastAsia="楷体_GB2312" w:cs="楷体_GB2312" w:hint="eastAsia"/>
          <w:color w:val="000000"/>
        </w:rPr>
        <w:t>9</w:t>
      </w:r>
      <w:r>
        <w:rPr>
          <w:rFonts w:cs="楷体_GB2312" w:hint="eastAsia" w:eastAsia="楷体_GB2312"/>
          <w:color w:val="000000"/>
        </w:rPr>
        <w:t>月</w:t>
      </w:r>
      <w:r>
        <w:rPr>
          <w:rFonts w:eastAsia="楷体_GB2312" w:cs="楷体_GB2312" w:hint="eastAsia"/>
          <w:color w:val="000000"/>
        </w:rPr>
        <w:t>29</w:t>
      </w:r>
      <w:r>
        <w:rPr>
          <w:rFonts w:cs="楷体_GB2312" w:hint="eastAsia" w:eastAsia="楷体_GB2312"/>
          <w:color w:val="000000"/>
        </w:rPr>
        <w:t>日安徽省第十三届人民代表大会常务委员会第五次会议批准</w:t>
      </w:r>
      <w:r>
        <w:rPr>
          <w:rFonts w:cs="楷体" w:hint="eastAsia" w:eastAsia="楷体_GB2312"/>
          <w:color w:val="000000"/>
        </w:rPr>
        <w:t>）</w:t>
      </w:r>
    </w:p>
    <w:p>
      <w:pPr>
        <w:pStyle w:val="Normal"/>
        <w:ind w:firstLineChars="200" w:startChars="0" w:start="0" w:endChars="0" w:end="0"/>
        <w:jc w:val="center"/>
        <w:rPr>
          <w:rFonts w:eastAsia="仿宋" w:cs="楷体"/>
          <w:color w:val="000000"/>
        </w:rPr>
      </w:pPr>
      <w:r>
        <w:rPr>
          <w:rFonts w:eastAsia="仿宋" w:cs="楷体"/>
          <w:color w:val="000000"/>
        </w:rPr>
      </w:r>
    </w:p>
    <w:p>
      <w:pPr>
        <w:pStyle w:val="Normal"/>
        <w:jc w:val="center"/>
        <w:rPr>
          <w:rFonts w:ascii="楷体_GB2312" w:hAnsi="楷体_GB2312" w:eastAsia="楷体_GB2312" w:hint="eastAsia"/>
          <w:color w:val="000000"/>
        </w:rPr>
      </w:pPr>
      <w:r>
        <w:rPr>
          <w:rFonts w:ascii="楷体_GB2312" w:hAnsi="楷体_GB2312" w:hint="eastAsia" w:eastAsia="楷体_GB2312"/>
          <w:color w:val="000000"/>
        </w:rPr>
        <w:t>目    录</w:t>
      </w:r>
    </w:p>
    <w:p>
      <w:pPr>
        <w:pStyle w:val="Normal"/>
        <w:spacing w:lineRule="exact" w:line="640"/>
        <w:jc w:val="center"/>
        <w:rPr>
          <w:rFonts w:ascii="楷体_GB2312" w:hAnsi="楷体_GB2312" w:eastAsia="方正黑体_GBK" w:hint="eastAsia"/>
          <w:color w:val="000000"/>
          <w:sz w:val="36"/>
          <w:szCs w:val="36"/>
        </w:rPr>
      </w:pPr>
      <w:r>
        <w:rPr>
          <w:rFonts w:eastAsia="方正黑体_GBK" w:hint="eastAsia" w:ascii="楷体_GB2312" w:hAnsi="楷体_GB2312"/>
          <w:color w:val="000000"/>
          <w:sz w:val="36"/>
          <w:szCs w:val="36"/>
        </w:rPr>
      </w:r>
    </w:p>
    <w:p>
      <w:pPr>
        <w:pStyle w:val="Normal"/>
        <w:ind w:firstLineChars="200" w:startChars="0" w:start="0" w:endChars="0" w:end="0"/>
        <w:rPr>
          <w:rFonts w:ascii="楷体_GB2312" w:hAnsi="楷体_GB2312" w:eastAsia="楷体_GB2312" w:hint="eastAsia"/>
          <w:color w:val="000000"/>
        </w:rPr>
      </w:pPr>
      <w:r>
        <w:rPr>
          <w:rFonts w:ascii="楷体_GB2312" w:hAnsi="楷体_GB2312" w:hint="eastAsia" w:eastAsia="楷体_GB2312"/>
          <w:color w:val="000000"/>
        </w:rPr>
        <w:t>第一章  总    则</w:t>
      </w:r>
    </w:p>
    <w:p>
      <w:pPr>
        <w:pStyle w:val="Normal"/>
        <w:ind w:firstLineChars="200" w:startChars="0" w:start="0" w:endChars="0" w:end="0"/>
        <w:rPr>
          <w:rFonts w:ascii="楷体_GB2312" w:hAnsi="楷体_GB2312" w:eastAsia="楷体_GB2312" w:hint="eastAsia"/>
          <w:color w:val="000000"/>
        </w:rPr>
      </w:pPr>
      <w:r>
        <w:rPr>
          <w:rFonts w:ascii="楷体_GB2312" w:hAnsi="楷体_GB2312" w:hint="eastAsia" w:eastAsia="楷体_GB2312"/>
          <w:color w:val="000000"/>
        </w:rPr>
        <w:t>第二章  饮用水水源地的确定</w:t>
      </w:r>
    </w:p>
    <w:p>
      <w:pPr>
        <w:pStyle w:val="Normal"/>
        <w:ind w:firstLineChars="200" w:startChars="0" w:start="0" w:endChars="0" w:end="0"/>
        <w:rPr>
          <w:rFonts w:ascii="楷体_GB2312" w:hAnsi="楷体_GB2312" w:eastAsia="楷体_GB2312" w:hint="eastAsia"/>
          <w:color w:val="000000"/>
        </w:rPr>
      </w:pPr>
      <w:r>
        <w:rPr>
          <w:rFonts w:ascii="楷体_GB2312" w:hAnsi="楷体_GB2312" w:hint="eastAsia" w:eastAsia="楷体_GB2312"/>
          <w:color w:val="000000"/>
        </w:rPr>
        <w:t>第三章  饮用水水源地的保护</w:t>
      </w:r>
    </w:p>
    <w:p>
      <w:pPr>
        <w:pStyle w:val="Normal"/>
        <w:ind w:firstLineChars="200" w:startChars="0" w:start="0" w:endChars="0" w:end="0"/>
        <w:rPr>
          <w:rFonts w:ascii="楷体_GB2312" w:hAnsi="楷体_GB2312" w:eastAsia="楷体_GB2312" w:hint="eastAsia"/>
          <w:color w:val="000000"/>
        </w:rPr>
      </w:pPr>
      <w:r>
        <w:rPr>
          <w:rFonts w:ascii="楷体_GB2312" w:hAnsi="楷体_GB2312" w:hint="eastAsia" w:eastAsia="楷体_GB2312"/>
          <w:color w:val="000000"/>
        </w:rPr>
        <w:t>第四章  法律责任</w:t>
      </w:r>
    </w:p>
    <w:p>
      <w:pPr>
        <w:pStyle w:val="Normal"/>
        <w:ind w:firstLineChars="200" w:startChars="0" w:start="0" w:endChars="0" w:end="0"/>
        <w:rPr>
          <w:rFonts w:ascii="楷体_GB2312" w:hAnsi="楷体_GB2312" w:eastAsia="楷体_GB2312" w:hint="eastAsia"/>
          <w:color w:val="000000"/>
        </w:rPr>
      </w:pPr>
      <w:r>
        <w:rPr>
          <w:rFonts w:ascii="楷体_GB2312" w:hAnsi="楷体_GB2312" w:hint="eastAsia" w:eastAsia="楷体_GB2312"/>
          <w:color w:val="000000"/>
        </w:rPr>
        <w:t>第五章  附    则</w:t>
      </w:r>
    </w:p>
    <w:p>
      <w:pPr>
        <w:pStyle w:val="Normal"/>
        <w:rPr>
          <w:rFonts w:ascii="楷体_GB2312" w:hAnsi="楷体_GB2312" w:eastAsia="楷体_GB2312" w:hint="eastAsia"/>
          <w:color w:val="000000"/>
        </w:rPr>
      </w:pPr>
      <w:r>
        <w:rPr>
          <w:rFonts w:eastAsia="楷体_GB2312" w:hint="eastAsia" w:ascii="楷体_GB2312" w:hAnsi="楷体_GB2312"/>
          <w:color w:val="000000"/>
        </w:rPr>
      </w:r>
    </w:p>
    <w:p>
      <w:pPr>
        <w:pStyle w:val="Normal"/>
        <w:jc w:val="center"/>
        <w:rPr>
          <w:rFonts w:ascii="黑体;SimHei" w:hAnsi="黑体;SimHei" w:eastAsia="黑体;SimHei" w:hint="eastAsia"/>
          <w:color w:val="000000"/>
        </w:rPr>
      </w:pPr>
      <w:r>
        <w:rPr>
          <w:rFonts w:ascii="黑体;SimHei" w:hAnsi="黑体;SimHei" w:hint="eastAsia" w:eastAsia="黑体;SimHei"/>
          <w:color w:val="000000"/>
        </w:rPr>
        <w:t>第一章  总    则</w:t>
      </w:r>
    </w:p>
    <w:p>
      <w:pPr>
        <w:pStyle w:val="Normal"/>
        <w:ind w:firstLineChars="200" w:startChars="0" w:start="0" w:endChars="0" w:end="0"/>
        <w:rPr>
          <w:rFonts w:ascii="黑体;SimHei" w:hAnsi="黑体;SimHei" w:eastAsia="黑体;SimHei" w:hint="eastAsia"/>
          <w:color w:val="000000"/>
        </w:rPr>
      </w:pPr>
      <w:r>
        <w:rPr>
          <w:rFonts w:eastAsia="黑体;SimHei" w:hint="eastAsia" w:ascii="黑体;SimHei" w:hAnsi="黑体;SimHei"/>
          <w:color w:val="000000"/>
        </w:rPr>
      </w:r>
    </w:p>
    <w:p>
      <w:pPr>
        <w:pStyle w:val="Normal"/>
        <w:ind w:firstLineChars="200" w:startChars="0" w:start="0" w:endChars="0" w:end="0"/>
        <w:rPr/>
      </w:pPr>
      <w:r>
        <w:rPr>
          <w:rFonts w:ascii="黑体;SimHei" w:hAnsi="黑体;SimHei" w:hint="eastAsia" w:eastAsia="黑体;SimHei"/>
          <w:color w:val="000000"/>
        </w:rPr>
        <w:t xml:space="preserve">第一条  </w:t>
      </w:r>
      <w:r>
        <w:rPr>
          <w:rFonts w:hint="eastAsia"/>
          <w:color w:val="000000"/>
        </w:rPr>
        <w:t>为了加强饮用水水源地保护，保障饮用水安全，根据《中华人民共和国水法》《中华人民共和国水污染防治法》和有关法律、行政法规，结合本市实际，制定本条例。</w:t>
      </w:r>
    </w:p>
    <w:p>
      <w:pPr>
        <w:pStyle w:val="Normal"/>
        <w:ind w:firstLineChars="200" w:startChars="0" w:start="0" w:endChars="0" w:end="0"/>
        <w:rPr/>
      </w:pPr>
      <w:r>
        <w:rPr>
          <w:rFonts w:ascii="黑体;SimHei" w:hAnsi="黑体;SimHei" w:hint="eastAsia" w:eastAsia="黑体;SimHei"/>
          <w:color w:val="000000"/>
        </w:rPr>
        <w:t xml:space="preserve">第二条  </w:t>
      </w:r>
      <w:r>
        <w:rPr>
          <w:rFonts w:hint="eastAsia"/>
          <w:color w:val="000000"/>
        </w:rPr>
        <w:t>本条例适用于本市行政区域内集中式饮用水水源地的确定、保护和监督管理活动。</w:t>
      </w:r>
    </w:p>
    <w:p>
      <w:pPr>
        <w:pStyle w:val="Normal"/>
        <w:ind w:firstLineChars="200" w:startChars="0" w:start="0" w:endChars="0" w:end="0"/>
        <w:rPr>
          <w:rFonts w:hint="eastAsia"/>
          <w:color w:val="000000"/>
        </w:rPr>
      </w:pPr>
      <w:r>
        <w:rPr>
          <w:rFonts w:hint="eastAsia"/>
          <w:color w:val="000000"/>
        </w:rPr>
        <w:t>本条例所称集中式饮用水水源地，是指提供居民生活及公共服务用水，且供水人口在一千人以上的取水工程的水源地域，包括饮用水地表水源地和饮用水地下水源地。</w:t>
      </w:r>
    </w:p>
    <w:p>
      <w:pPr>
        <w:pStyle w:val="Normal"/>
        <w:ind w:firstLineChars="200" w:startChars="0" w:start="0" w:endChars="0" w:end="0"/>
        <w:rPr>
          <w:rFonts w:hint="eastAsia"/>
          <w:color w:val="000000"/>
        </w:rPr>
      </w:pPr>
      <w:r>
        <w:rPr>
          <w:rFonts w:hint="eastAsia"/>
          <w:color w:val="000000"/>
        </w:rPr>
        <w:t>分散式饮用水水源地的保护，依照有关法律、法规和规章执行。</w:t>
      </w:r>
    </w:p>
    <w:p>
      <w:pPr>
        <w:pStyle w:val="Normal"/>
        <w:ind w:firstLineChars="200" w:startChars="0" w:start="0" w:endChars="0" w:end="0"/>
        <w:rPr/>
      </w:pPr>
      <w:r>
        <w:rPr>
          <w:rFonts w:ascii="黑体;SimHei" w:hAnsi="黑体;SimHei" w:hint="eastAsia" w:eastAsia="黑体;SimHei"/>
          <w:color w:val="000000"/>
        </w:rPr>
        <w:t xml:space="preserve">第三条  </w:t>
      </w:r>
      <w:r>
        <w:rPr>
          <w:rFonts w:hint="eastAsia"/>
          <w:color w:val="000000"/>
        </w:rPr>
        <w:t>市、县（区）人民政府应当加强利用地表水，严格保护地下水，逐年提高饮用水水源中地表水的比例；因地制宜发展集中式供水，减少分散式供水；推进节水型社会建设，加强对中水的利用。</w:t>
      </w:r>
    </w:p>
    <w:p>
      <w:pPr>
        <w:pStyle w:val="Normal"/>
        <w:ind w:firstLineChars="200" w:startChars="0" w:start="0" w:endChars="0" w:end="0"/>
        <w:rPr/>
      </w:pPr>
      <w:r>
        <w:rPr>
          <w:rFonts w:ascii="黑体;SimHei" w:hAnsi="黑体;SimHei" w:hint="eastAsia" w:eastAsia="黑体;SimHei"/>
          <w:color w:val="000000"/>
        </w:rPr>
        <w:t xml:space="preserve">第四条  </w:t>
      </w:r>
      <w:r>
        <w:rPr>
          <w:rFonts w:hint="eastAsia"/>
          <w:color w:val="000000"/>
        </w:rPr>
        <w:t>饮用水水源地保护应当遵循科学规划、保护优先、综合治理、确保安全的原则。</w:t>
      </w:r>
    </w:p>
    <w:p>
      <w:pPr>
        <w:pStyle w:val="Normal"/>
        <w:ind w:firstLineChars="200" w:startChars="0" w:start="0" w:endChars="0" w:end="0"/>
        <w:rPr/>
      </w:pPr>
      <w:r>
        <w:rPr>
          <w:rFonts w:ascii="黑体;SimHei" w:hAnsi="黑体;SimHei" w:hint="eastAsia" w:eastAsia="黑体;SimHei"/>
          <w:color w:val="000000"/>
        </w:rPr>
        <w:t xml:space="preserve">第五条  </w:t>
      </w:r>
      <w:r>
        <w:rPr>
          <w:rFonts w:hint="eastAsia"/>
          <w:color w:val="000000"/>
        </w:rPr>
        <w:t>市、县（区）、乡镇人民政府是本行政区域内饮用水水源地保护的责任主体。</w:t>
      </w:r>
    </w:p>
    <w:p>
      <w:pPr>
        <w:pStyle w:val="Normal"/>
        <w:ind w:firstLineChars="200" w:startChars="0" w:start="0" w:endChars="0" w:end="0"/>
        <w:rPr>
          <w:rFonts w:hint="eastAsia"/>
          <w:color w:val="000000"/>
        </w:rPr>
      </w:pPr>
      <w:r>
        <w:rPr>
          <w:rFonts w:hint="eastAsia"/>
          <w:color w:val="000000"/>
        </w:rPr>
        <w:t>市、县（区）人民政府应当将饮用水水源地保护纳入国民经济和社会发展规划、土地利用总体规划、城乡规划、环境保护规划和水资源综合规划，保障饮用水水源地保护所需资金，按照财政收入增幅逐年增加资金投入。</w:t>
      </w:r>
    </w:p>
    <w:p>
      <w:pPr>
        <w:pStyle w:val="Normal"/>
        <w:ind w:firstLineChars="200" w:startChars="0" w:start="0" w:endChars="0" w:end="0"/>
        <w:rPr>
          <w:rFonts w:hint="eastAsia"/>
          <w:color w:val="000000"/>
        </w:rPr>
      </w:pPr>
      <w:r>
        <w:rPr>
          <w:rFonts w:hint="eastAsia"/>
          <w:color w:val="000000"/>
        </w:rPr>
        <w:t>市、县（区）人民政府设立的园区、街道办事处应当做好本辖区内饮用水水源地的保护工作，配合有关部门做好饮用水水源地保护的有关监督管理工作。</w:t>
      </w:r>
    </w:p>
    <w:p>
      <w:pPr>
        <w:pStyle w:val="Normal"/>
        <w:ind w:firstLineChars="200" w:startChars="0" w:start="0" w:endChars="0" w:end="0"/>
        <w:rPr/>
      </w:pPr>
      <w:r>
        <w:rPr>
          <w:rFonts w:ascii="黑体;SimHei" w:hAnsi="黑体;SimHei" w:hint="eastAsia" w:eastAsia="黑体;SimHei"/>
          <w:color w:val="000000"/>
        </w:rPr>
        <w:t xml:space="preserve">第六条  </w:t>
      </w:r>
      <w:r>
        <w:rPr>
          <w:rFonts w:hint="eastAsia"/>
          <w:color w:val="000000"/>
        </w:rPr>
        <w:t>市、县（区）人民政府水行政主管部门负责本行政区域内饮用水水资源的统一监督管理和饮用水水源地确定的具体工作。</w:t>
      </w:r>
    </w:p>
    <w:p>
      <w:pPr>
        <w:pStyle w:val="Normal"/>
        <w:ind w:firstLineChars="200" w:startChars="0" w:start="0" w:endChars="0" w:end="0"/>
        <w:rPr>
          <w:rFonts w:hint="eastAsia"/>
          <w:color w:val="000000"/>
        </w:rPr>
      </w:pPr>
      <w:r>
        <w:rPr>
          <w:rFonts w:hint="eastAsia"/>
          <w:color w:val="000000"/>
        </w:rPr>
        <w:t>市、县（区）人民政府环境保护主管部门负责本行政区域内饮用水水源环境保护工作的统一监督管理和饮用水水源保护区划定的具体工作。</w:t>
      </w:r>
    </w:p>
    <w:p>
      <w:pPr>
        <w:pStyle w:val="Normal"/>
        <w:ind w:firstLineChars="200" w:startChars="0" w:start="0" w:endChars="0" w:end="0"/>
        <w:rPr>
          <w:rFonts w:hint="eastAsia"/>
          <w:color w:val="000000"/>
        </w:rPr>
      </w:pPr>
      <w:r>
        <w:rPr>
          <w:rFonts w:hint="eastAsia"/>
          <w:color w:val="000000"/>
        </w:rPr>
        <w:t>市、县（区）人民政府国土资源、城市管理、交通运输、城乡规划、住房和城乡建设、公安、农业（畜牧）、林业、卫生等部门，按照各自职责，做好饮用水水源地保护的有关工作。</w:t>
      </w:r>
    </w:p>
    <w:p>
      <w:pPr>
        <w:pStyle w:val="Normal"/>
        <w:ind w:firstLineChars="200" w:startChars="0" w:start="0" w:endChars="0" w:end="0"/>
        <w:rPr/>
      </w:pPr>
      <w:r>
        <w:rPr>
          <w:rFonts w:ascii="黑体;SimHei" w:hAnsi="黑体;SimHei" w:hint="eastAsia" w:eastAsia="黑体;SimHei"/>
          <w:color w:val="000000"/>
        </w:rPr>
        <w:t xml:space="preserve">第七条  </w:t>
      </w:r>
      <w:r>
        <w:rPr>
          <w:rFonts w:hint="eastAsia"/>
          <w:color w:val="000000"/>
        </w:rPr>
        <w:t>饮用水地表水源地保护纳入本市各级河长（湖长）管理职责。各级河长（湖长）应当分级分段组织领导本行政区域内河流、湖库等饮用水地表水源地的保护工作。</w:t>
      </w:r>
    </w:p>
    <w:p>
      <w:pPr>
        <w:pStyle w:val="Normal"/>
        <w:ind w:firstLineChars="200" w:startChars="0" w:start="0" w:endChars="0" w:end="0"/>
        <w:rPr/>
      </w:pPr>
      <w:r>
        <w:rPr>
          <w:rFonts w:ascii="黑体;SimHei" w:hAnsi="黑体;SimHei" w:hint="eastAsia" w:eastAsia="黑体;SimHei"/>
          <w:color w:val="000000"/>
        </w:rPr>
        <w:t xml:space="preserve">第八条  </w:t>
      </w:r>
      <w:r>
        <w:rPr>
          <w:rFonts w:hint="eastAsia"/>
          <w:color w:val="000000"/>
        </w:rPr>
        <w:t>市、县（区）人民政府在每年向本级人民代表大会或者常务委员会报告环境状况和环境保护目标完成情况时，应当报告饮用水水源地的保护情况。</w:t>
      </w:r>
    </w:p>
    <w:p>
      <w:pPr>
        <w:pStyle w:val="Normal"/>
        <w:ind w:firstLineChars="200" w:startChars="0" w:start="0" w:endChars="0" w:end="0"/>
        <w:rPr/>
      </w:pPr>
      <w:r>
        <w:rPr>
          <w:rFonts w:ascii="黑体;SimHei" w:hAnsi="黑体;SimHei" w:hint="eastAsia" w:eastAsia="黑体;SimHei"/>
          <w:color w:val="000000"/>
        </w:rPr>
        <w:t xml:space="preserve">第九条  </w:t>
      </w:r>
      <w:r>
        <w:rPr>
          <w:rFonts w:hint="eastAsia"/>
          <w:color w:val="000000"/>
        </w:rPr>
        <w:t>各级人民政府、街道办事处、村（居）民委员会应当开展饮用水水源地保护宣传活动。</w:t>
      </w:r>
    </w:p>
    <w:p>
      <w:pPr>
        <w:pStyle w:val="Normal"/>
        <w:ind w:firstLineChars="200" w:startChars="0" w:start="0" w:endChars="0" w:end="0"/>
        <w:rPr>
          <w:rFonts w:hint="eastAsia"/>
          <w:color w:val="000000"/>
        </w:rPr>
      </w:pPr>
      <w:r>
        <w:rPr>
          <w:rFonts w:hint="eastAsia"/>
          <w:color w:val="000000"/>
        </w:rPr>
        <w:t>本市报纸、广播、电视及新兴媒体应当加强对饮用水水源地保护的宣传，发布一定比例的饮用水水源地保护公益广告。</w:t>
      </w:r>
    </w:p>
    <w:p>
      <w:pPr>
        <w:pStyle w:val="Normal"/>
        <w:ind w:firstLineChars="200" w:startChars="0" w:start="0" w:endChars="0" w:end="0"/>
        <w:rPr/>
      </w:pPr>
      <w:r>
        <w:rPr>
          <w:rFonts w:ascii="黑体;SimHei" w:hAnsi="黑体;SimHei" w:hint="eastAsia" w:eastAsia="黑体;SimHei"/>
          <w:color w:val="000000"/>
        </w:rPr>
        <w:t xml:space="preserve">第十条  </w:t>
      </w:r>
      <w:r>
        <w:rPr>
          <w:rFonts w:hint="eastAsia"/>
          <w:color w:val="000000"/>
        </w:rPr>
        <w:t>各级人民政府应当建立饮用水水源地保护举报制度，公布举报电话、信箱和电子邮箱地址，及时受理举报并依法调查处理。调查处理的情况应当向举报的单位和个人通报。</w:t>
      </w:r>
    </w:p>
    <w:p>
      <w:pPr>
        <w:pStyle w:val="Normal"/>
        <w:ind w:firstLineChars="200" w:startChars="0" w:start="0" w:endChars="0" w:end="0"/>
        <w:rPr>
          <w:rFonts w:hint="eastAsia"/>
          <w:color w:val="000000"/>
        </w:rPr>
      </w:pPr>
      <w:r>
        <w:rPr>
          <w:rFonts w:hint="eastAsia"/>
          <w:color w:val="000000"/>
        </w:rPr>
        <w:t>任何单位和个人均有保护饮用水水源地的义务，有权对污染、损害饮用水水源的行为进行举报；对市、县（区）人民政府和有关部门、机构及其工作人员在饮用水水源地保护工作中违反本条例规定的行为，有权向各级人民政府和监察委员会进行举报。</w:t>
      </w:r>
    </w:p>
    <w:p>
      <w:pPr>
        <w:pStyle w:val="Normal"/>
        <w:ind w:firstLineChars="200" w:startChars="0" w:start="0" w:endChars="0" w:end="0"/>
        <w:rPr>
          <w:rFonts w:hint="eastAsia"/>
          <w:color w:val="000000"/>
        </w:rPr>
      </w:pPr>
      <w:r>
        <w:rPr>
          <w:rFonts w:hint="eastAsia"/>
          <w:color w:val="000000"/>
        </w:rPr>
      </w:r>
    </w:p>
    <w:p>
      <w:pPr>
        <w:pStyle w:val="Normal"/>
        <w:jc w:val="center"/>
        <w:rPr>
          <w:rFonts w:ascii="黑体;SimHei" w:hAnsi="黑体;SimHei" w:eastAsia="黑体;SimHei" w:hint="eastAsia"/>
          <w:color w:val="000000"/>
        </w:rPr>
      </w:pPr>
      <w:r>
        <w:rPr>
          <w:rFonts w:ascii="黑体;SimHei" w:hAnsi="黑体;SimHei" w:hint="eastAsia" w:eastAsia="黑体;SimHei"/>
          <w:color w:val="000000"/>
        </w:rPr>
        <w:t>第二章  饮用水水源地的确定</w:t>
      </w:r>
    </w:p>
    <w:p>
      <w:pPr>
        <w:pStyle w:val="Normal"/>
        <w:ind w:firstLineChars="200" w:startChars="0" w:start="0" w:endChars="0" w:end="0"/>
        <w:rPr>
          <w:rFonts w:ascii="黑体;SimHei" w:hAnsi="黑体;SimHei" w:eastAsia="黑体;SimHei" w:hint="eastAsia"/>
          <w:color w:val="000000"/>
        </w:rPr>
      </w:pPr>
      <w:r>
        <w:rPr>
          <w:rFonts w:eastAsia="黑体;SimHei" w:hint="eastAsia" w:ascii="黑体;SimHei" w:hAnsi="黑体;SimHei"/>
          <w:color w:val="000000"/>
        </w:rPr>
      </w:r>
    </w:p>
    <w:p>
      <w:pPr>
        <w:pStyle w:val="Normal"/>
        <w:ind w:firstLineChars="200" w:startChars="0" w:start="0" w:endChars="0" w:end="0"/>
        <w:rPr/>
      </w:pPr>
      <w:r>
        <w:rPr>
          <w:rFonts w:ascii="黑体;SimHei" w:hAnsi="黑体;SimHei" w:hint="eastAsia" w:eastAsia="黑体;SimHei"/>
          <w:color w:val="000000"/>
        </w:rPr>
        <w:t xml:space="preserve">第十一条  </w:t>
      </w:r>
      <w:r>
        <w:rPr>
          <w:rFonts w:hint="eastAsia"/>
          <w:color w:val="000000"/>
        </w:rPr>
        <w:t>市、县（区）人民政府水行政主管部门应当会同有关部门，对本行政区域内水资源数量、质量、生态环境、地下水富水地段、允许开采量等情况进行综合科学考察和调查评价，加强对南水北调、淮水北调等外调水资源和新汴河、朱仙庄－芦岭塌陷区等河流、湖库的地表水资源的调查评价。</w:t>
      </w:r>
    </w:p>
    <w:p>
      <w:pPr>
        <w:pStyle w:val="Normal"/>
        <w:ind w:firstLineChars="200" w:startChars="0" w:start="0" w:endChars="0" w:end="0"/>
        <w:rPr/>
      </w:pPr>
      <w:r>
        <w:rPr>
          <w:rFonts w:ascii="黑体;SimHei" w:hAnsi="黑体;SimHei" w:hint="eastAsia" w:eastAsia="黑体;SimHei"/>
          <w:color w:val="000000"/>
        </w:rPr>
        <w:t xml:space="preserve">第十二条  </w:t>
      </w:r>
      <w:r>
        <w:rPr>
          <w:rFonts w:hint="eastAsia"/>
          <w:color w:val="000000"/>
        </w:rPr>
        <w:t>市、县（区）人民政府应当根据本行政区域经济社会发展需要和水资源状况，遵循优先保障城乡居民饮用水的原则，在水资源综合规划中对饮用水水源地及相关工程建设等进行统筹规划。</w:t>
      </w:r>
    </w:p>
    <w:p>
      <w:pPr>
        <w:pStyle w:val="Normal"/>
        <w:ind w:firstLineChars="200" w:startChars="0" w:start="0" w:endChars="0" w:end="0"/>
        <w:rPr>
          <w:rFonts w:hint="eastAsia"/>
          <w:color w:val="000000"/>
          <w:spacing w:val="-6"/>
        </w:rPr>
      </w:pPr>
      <w:r>
        <w:rPr>
          <w:rFonts w:hint="eastAsia"/>
          <w:color w:val="000000"/>
          <w:spacing w:val="-6"/>
        </w:rPr>
        <w:t>符合条件的河流、湖库优先作为饮用水水源地进行规划和保护。</w:t>
      </w:r>
    </w:p>
    <w:p>
      <w:pPr>
        <w:pStyle w:val="Normal"/>
        <w:ind w:firstLineChars="200" w:startChars="0" w:start="0" w:endChars="0" w:end="0"/>
        <w:rPr/>
      </w:pPr>
      <w:r>
        <w:rPr>
          <w:rFonts w:ascii="黑体;SimHei" w:hAnsi="黑体;SimHei" w:hint="eastAsia" w:eastAsia="黑体;SimHei"/>
          <w:color w:val="000000"/>
        </w:rPr>
        <w:t xml:space="preserve">第十三条  </w:t>
      </w:r>
      <w:r>
        <w:rPr>
          <w:rFonts w:hint="eastAsia"/>
          <w:color w:val="000000"/>
        </w:rPr>
        <w:t>市人民政府应当建立健全新汴河流域生态环境保护协调机制，制定新汴河生态环境保护方案，实施水源涵养、湿地建设、流域污染源治理等项目，逐步建设新汴河地表水源地。</w:t>
      </w:r>
    </w:p>
    <w:p>
      <w:pPr>
        <w:pStyle w:val="Normal"/>
        <w:ind w:firstLineChars="200" w:startChars="0" w:start="0" w:endChars="0" w:end="0"/>
        <w:rPr>
          <w:rFonts w:hint="eastAsia"/>
          <w:color w:val="000000"/>
        </w:rPr>
      </w:pPr>
      <w:r>
        <w:rPr>
          <w:rFonts w:hint="eastAsia"/>
          <w:color w:val="000000"/>
        </w:rPr>
        <w:t>市人民政府应当加快支河地下水源地和朱仙庄－芦岭塌陷区等水源地的勘查与建设。</w:t>
      </w:r>
    </w:p>
    <w:p>
      <w:pPr>
        <w:pStyle w:val="Normal"/>
        <w:ind w:firstLineChars="200" w:startChars="0" w:start="0" w:endChars="0" w:end="0"/>
        <w:rPr>
          <w:rFonts w:hint="eastAsia"/>
          <w:color w:val="000000"/>
        </w:rPr>
      </w:pPr>
      <w:r>
        <w:rPr>
          <w:rFonts w:hint="eastAsia"/>
          <w:color w:val="000000"/>
        </w:rPr>
        <w:t>市、县（区）人民政府应当加强对本行政区域内中型以上河流和湖库的综合治理，为新的水源地建设提供保障。</w:t>
      </w:r>
    </w:p>
    <w:p>
      <w:pPr>
        <w:pStyle w:val="Normal"/>
        <w:ind w:firstLineChars="200" w:startChars="0" w:start="0" w:endChars="0" w:end="0"/>
        <w:rPr/>
      </w:pPr>
      <w:r>
        <w:rPr>
          <w:rFonts w:ascii="黑体;SimHei" w:hAnsi="黑体;SimHei" w:hint="eastAsia" w:eastAsia="黑体;SimHei"/>
          <w:color w:val="000000"/>
        </w:rPr>
        <w:t xml:space="preserve">第十四条  </w:t>
      </w:r>
      <w:r>
        <w:rPr>
          <w:rFonts w:hint="eastAsia"/>
          <w:color w:val="000000"/>
        </w:rPr>
        <w:t>饮用水水源地应当充分考虑水资源调查评价结果、环境承载能力和经济社会发展需要等因素，按照国家有关标准、规范确定。</w:t>
      </w:r>
    </w:p>
    <w:p>
      <w:pPr>
        <w:pStyle w:val="Normal"/>
        <w:ind w:firstLineChars="200" w:startChars="0" w:start="0" w:endChars="0" w:end="0"/>
        <w:rPr/>
      </w:pPr>
      <w:r>
        <w:rPr>
          <w:rFonts w:ascii="黑体;SimHei" w:hAnsi="黑体;SimHei" w:hint="eastAsia" w:eastAsia="黑体;SimHei"/>
          <w:color w:val="000000"/>
        </w:rPr>
        <w:t xml:space="preserve">第十五条  </w:t>
      </w:r>
      <w:r>
        <w:rPr>
          <w:rFonts w:hint="eastAsia"/>
          <w:color w:val="000000"/>
        </w:rPr>
        <w:t>市、县（区）人民政府水行政主管部门应当会同环境保护、国土资源、城市管理、城乡规划、住房和城乡建设等有关部门，根据本市水资源综合规划、水功能区划和有关技术规范提出确定集中式饮用水水源地的意见，报本级人民政府批准。</w:t>
      </w:r>
    </w:p>
    <w:p>
      <w:pPr>
        <w:pStyle w:val="Normal"/>
        <w:ind w:firstLineChars="200" w:startChars="0" w:start="0" w:endChars="0" w:end="0"/>
        <w:rPr>
          <w:rFonts w:hint="eastAsia"/>
          <w:color w:val="000000"/>
        </w:rPr>
      </w:pPr>
      <w:r>
        <w:rPr>
          <w:rFonts w:hint="eastAsia"/>
          <w:color w:val="000000"/>
        </w:rPr>
        <w:t>本市行政区域内跨县（区）的集中式饮用水水源地，由县（区）人民政府协商后提出意见，报市人民政府批准。跨市的集中式饮用水水源地，按照有关规定报批。</w:t>
      </w:r>
    </w:p>
    <w:p>
      <w:pPr>
        <w:pStyle w:val="Normal"/>
        <w:ind w:firstLineChars="200" w:startChars="0" w:start="0" w:endChars="0" w:end="0"/>
        <w:rPr/>
      </w:pPr>
      <w:r>
        <w:rPr>
          <w:rFonts w:ascii="黑体;SimHei" w:hAnsi="黑体;SimHei" w:hint="eastAsia" w:eastAsia="黑体;SimHei"/>
          <w:color w:val="000000"/>
        </w:rPr>
        <w:t xml:space="preserve">第十六条  </w:t>
      </w:r>
      <w:r>
        <w:rPr>
          <w:rFonts w:hint="eastAsia"/>
          <w:color w:val="000000"/>
        </w:rPr>
        <w:t>市、县（区）人民政府应当确定备用饮用水水源地，保障应急供水。</w:t>
      </w:r>
    </w:p>
    <w:p>
      <w:pPr>
        <w:pStyle w:val="Normal"/>
        <w:ind w:firstLineChars="200" w:startChars="0" w:start="0" w:endChars="0" w:end="0"/>
        <w:rPr/>
      </w:pPr>
      <w:r>
        <w:rPr>
          <w:rFonts w:ascii="黑体;SimHei" w:hAnsi="黑体;SimHei" w:hint="eastAsia" w:eastAsia="黑体;SimHei"/>
          <w:color w:val="000000"/>
        </w:rPr>
        <w:t xml:space="preserve">第十七条  </w:t>
      </w:r>
      <w:r>
        <w:rPr>
          <w:rFonts w:hint="eastAsia"/>
          <w:color w:val="000000"/>
        </w:rPr>
        <w:t>已确定的集中式饮用水水源地，因公共利益需要确需调整的或者不符合国家有关标准、规范，不能保障供水安全的，市、县（区）人民政府应当按照本条例的规定确定新的水源地，对原有水源地予以调整或者关闭。</w:t>
      </w:r>
    </w:p>
    <w:p>
      <w:pPr>
        <w:pStyle w:val="Normal"/>
        <w:ind w:firstLineChars="200" w:startChars="0" w:start="0" w:endChars="0" w:end="0"/>
        <w:rPr/>
      </w:pPr>
      <w:r>
        <w:rPr>
          <w:rFonts w:ascii="黑体;SimHei" w:hAnsi="黑体;SimHei" w:hint="eastAsia" w:eastAsia="黑体;SimHei"/>
          <w:color w:val="000000"/>
        </w:rPr>
        <w:t xml:space="preserve">第十八条  </w:t>
      </w:r>
      <w:r>
        <w:rPr>
          <w:rFonts w:hint="eastAsia"/>
          <w:color w:val="000000"/>
        </w:rPr>
        <w:t>市、县（区）人民政府应当建立重要集中式饮用水水源地名录，并向社会公布。</w:t>
      </w:r>
    </w:p>
    <w:p>
      <w:pPr>
        <w:pStyle w:val="Normal"/>
        <w:ind w:firstLineChars="200" w:startChars="0" w:start="0" w:endChars="0" w:end="0"/>
        <w:rPr>
          <w:rFonts w:hint="eastAsia"/>
          <w:color w:val="000000"/>
        </w:rPr>
      </w:pPr>
      <w:r>
        <w:rPr>
          <w:rFonts w:hint="eastAsia"/>
          <w:color w:val="000000"/>
        </w:rPr>
        <w:t>重要集中式饮用水水源地名录应当载明水源地名称、水源地范围、供水规模、水源类型和水质保护标准。饮用水地表水源地还应当载明所在的水功能区名称、范围和面积。</w:t>
      </w:r>
    </w:p>
    <w:p>
      <w:pPr>
        <w:pStyle w:val="Normal"/>
        <w:ind w:firstLineChars="200" w:startChars="0" w:start="0" w:endChars="0" w:end="0"/>
        <w:rPr>
          <w:rFonts w:hint="eastAsia"/>
          <w:color w:val="000000"/>
          <w:u w:val="single"/>
        </w:rPr>
      </w:pPr>
      <w:r>
        <w:rPr>
          <w:rFonts w:hint="eastAsia"/>
          <w:color w:val="000000"/>
        </w:rPr>
        <w:t>市、县（区）行政区域内的集中式饮用水水源地，符合全国、省重要饮用水水源地标准的，按照全国、省重要饮用水水源地名录制度的要求上报并实施保护措施。</w:t>
      </w:r>
    </w:p>
    <w:p>
      <w:pPr>
        <w:pStyle w:val="Normal"/>
        <w:ind w:firstLineChars="200" w:startChars="0" w:start="0" w:endChars="0" w:end="0"/>
        <w:rPr/>
      </w:pPr>
      <w:r>
        <w:rPr>
          <w:rFonts w:ascii="黑体;SimHei" w:hAnsi="黑体;SimHei" w:hint="eastAsia" w:eastAsia="黑体;SimHei"/>
          <w:color w:val="000000"/>
        </w:rPr>
        <w:t xml:space="preserve">第十九条  </w:t>
      </w:r>
      <w:r>
        <w:rPr>
          <w:rFonts w:hint="eastAsia"/>
          <w:color w:val="000000"/>
        </w:rPr>
        <w:t>集中式饮用水水源地应当设立明显标志，标明水源地规划范围。</w:t>
      </w:r>
    </w:p>
    <w:p>
      <w:pPr>
        <w:pStyle w:val="Normal"/>
        <w:ind w:firstLineChars="200" w:startChars="0" w:start="0" w:endChars="0" w:end="0"/>
        <w:rPr>
          <w:rFonts w:hint="eastAsia"/>
          <w:color w:val="000000"/>
        </w:rPr>
      </w:pPr>
      <w:r>
        <w:rPr>
          <w:rFonts w:hint="eastAsia"/>
          <w:color w:val="000000"/>
        </w:rPr>
      </w:r>
    </w:p>
    <w:p>
      <w:pPr>
        <w:pStyle w:val="Normal"/>
        <w:jc w:val="center"/>
        <w:rPr>
          <w:rFonts w:ascii="黑体;SimHei" w:hAnsi="黑体;SimHei" w:eastAsia="黑体;SimHei" w:hint="eastAsia"/>
          <w:color w:val="000000"/>
        </w:rPr>
      </w:pPr>
      <w:r>
        <w:rPr>
          <w:rFonts w:ascii="黑体;SimHei" w:hAnsi="黑体;SimHei" w:hint="eastAsia" w:eastAsia="黑体;SimHei"/>
          <w:color w:val="000000"/>
        </w:rPr>
        <w:t>第三章  饮用水水源地的保护</w:t>
      </w:r>
    </w:p>
    <w:p>
      <w:pPr>
        <w:pStyle w:val="Normal"/>
        <w:ind w:firstLineChars="200" w:startChars="0" w:start="0" w:endChars="0" w:end="0"/>
        <w:jc w:val="center"/>
        <w:rPr>
          <w:rFonts w:ascii="黑体;SimHei" w:hAnsi="黑体;SimHei" w:eastAsia="黑体;SimHei" w:hint="eastAsia"/>
          <w:color w:val="000000"/>
        </w:rPr>
      </w:pPr>
      <w:r>
        <w:rPr>
          <w:rFonts w:eastAsia="黑体;SimHei" w:hint="eastAsia" w:ascii="黑体;SimHei" w:hAnsi="黑体;SimHei"/>
          <w:color w:val="000000"/>
        </w:rPr>
      </w:r>
    </w:p>
    <w:p>
      <w:pPr>
        <w:pStyle w:val="Normal"/>
        <w:ind w:firstLineChars="200" w:startChars="0" w:start="0" w:endChars="0" w:end="0"/>
        <w:rPr/>
      </w:pPr>
      <w:r>
        <w:rPr>
          <w:rFonts w:ascii="黑体;SimHei" w:hAnsi="黑体;SimHei" w:hint="eastAsia" w:eastAsia="黑体;SimHei"/>
          <w:color w:val="000000"/>
        </w:rPr>
        <w:t xml:space="preserve">第二十条  </w:t>
      </w:r>
      <w:r>
        <w:rPr>
          <w:rFonts w:hint="eastAsia"/>
          <w:color w:val="000000"/>
        </w:rPr>
        <w:t>市、县（区）人民政府环境保护主管部门应当根据管理权限和饮用水水源地各自特点，按照“一个水源地一套方案”的原则，制定本行政区域内集中式饮用水水源地保护方案，报本级人民政府批准。</w:t>
      </w:r>
    </w:p>
    <w:p>
      <w:pPr>
        <w:pStyle w:val="Normal"/>
        <w:ind w:firstLineChars="200" w:startChars="0" w:start="0" w:endChars="0" w:end="0"/>
        <w:rPr>
          <w:rFonts w:hint="eastAsia"/>
          <w:color w:val="000000"/>
        </w:rPr>
      </w:pPr>
      <w:r>
        <w:rPr>
          <w:rFonts w:hint="eastAsia"/>
          <w:color w:val="000000"/>
        </w:rPr>
        <w:t>市、县（区）人民政府环境保护主管部门应当按照国家《饮用水水源保护区划分技术规范》提出集中式饮用水水源保护区划定方案，本级人民政府同意后报省人民政府批准并向社会公告。</w:t>
      </w:r>
    </w:p>
    <w:p>
      <w:pPr>
        <w:pStyle w:val="Normal"/>
        <w:ind w:firstLineChars="200" w:startChars="0" w:start="0" w:endChars="0" w:end="0"/>
        <w:rPr>
          <w:rFonts w:hint="eastAsia"/>
          <w:color w:val="000000"/>
        </w:rPr>
      </w:pPr>
      <w:r>
        <w:rPr>
          <w:rFonts w:hint="eastAsia"/>
          <w:color w:val="000000"/>
        </w:rPr>
        <w:t>饮用水地表水源保护区应当按照不同水域的特点，并考虑当地具体条件划定；饮用水地下水源保护区应当区分孔隙水、基岩裂隙水、岩溶水等不同类型，根据饮用水水源地所处的地理位置、水文地质条件、供水的数量、开采方式和污染源的分布等划定。</w:t>
      </w:r>
    </w:p>
    <w:p>
      <w:pPr>
        <w:pStyle w:val="Normal"/>
        <w:ind w:firstLineChars="200" w:startChars="0" w:start="0" w:endChars="0" w:end="0"/>
        <w:rPr/>
      </w:pPr>
      <w:r>
        <w:rPr>
          <w:rFonts w:ascii="黑体;SimHei" w:hAnsi="黑体;SimHei" w:hint="eastAsia" w:eastAsia="黑体;SimHei"/>
          <w:color w:val="000000"/>
        </w:rPr>
        <w:t xml:space="preserve">第二十一条  </w:t>
      </w:r>
      <w:r>
        <w:rPr>
          <w:rFonts w:hint="eastAsia"/>
          <w:color w:val="000000"/>
        </w:rPr>
        <w:t>集中式饮用水水源保护区以取水口（井）为中心划定，分为一级保护区和二级保护区。必要时，应当在保护区外围划定一定的区域作为准保护区。</w:t>
      </w:r>
    </w:p>
    <w:p>
      <w:pPr>
        <w:pStyle w:val="Normal"/>
        <w:ind w:firstLineChars="200" w:startChars="0" w:start="0" w:endChars="0" w:end="0"/>
        <w:rPr>
          <w:rFonts w:hint="eastAsia"/>
          <w:color w:val="000000"/>
        </w:rPr>
      </w:pPr>
      <w:r>
        <w:rPr>
          <w:rFonts w:ascii="黑体;SimHei" w:hAnsi="黑体;SimHei" w:hint="eastAsia" w:eastAsia="黑体;SimHei"/>
          <w:color w:val="000000"/>
        </w:rPr>
        <w:t xml:space="preserve">第二十二条  </w:t>
      </w:r>
      <w:r>
        <w:rPr>
          <w:rFonts w:hint="eastAsia"/>
          <w:color w:val="000000"/>
        </w:rPr>
        <w:t>各级人民政府应当在集中式饮用水水源保护区的边界设立明确的地理界标和明显的警示标志。地理界标或者</w:t>
      </w:r>
      <w:r>
        <w:rPr>
          <w:rFonts w:hint="eastAsia"/>
          <w:color w:val="000000"/>
          <w:spacing w:val="-6"/>
        </w:rPr>
        <w:t>警示标志应当标明保护区的四至范围，保护责任人和应急联系电话。</w:t>
      </w:r>
    </w:p>
    <w:p>
      <w:pPr>
        <w:pStyle w:val="Normal"/>
        <w:ind w:firstLineChars="200" w:startChars="0" w:start="0" w:endChars="0" w:end="0"/>
        <w:rPr>
          <w:rFonts w:hint="eastAsia"/>
          <w:color w:val="000000"/>
        </w:rPr>
      </w:pPr>
      <w:r>
        <w:rPr>
          <w:rFonts w:hint="eastAsia"/>
          <w:color w:val="000000"/>
        </w:rPr>
        <w:t>集中式饮用水水源一级保护区周边生活生产活动频繁的区域，应当设置隔离防护设施。</w:t>
      </w:r>
    </w:p>
    <w:p>
      <w:pPr>
        <w:pStyle w:val="Normal"/>
        <w:ind w:firstLineChars="200" w:startChars="0" w:start="0" w:endChars="0" w:end="0"/>
        <w:rPr>
          <w:rFonts w:hint="eastAsia"/>
          <w:color w:val="000000"/>
        </w:rPr>
      </w:pPr>
      <w:r>
        <w:rPr>
          <w:rFonts w:hint="eastAsia"/>
          <w:color w:val="000000"/>
        </w:rPr>
        <w:t>任何单位和个人不得损毁、擅自移动集中式饮用水水源保护区地理界标、警示标志和隔离防护设施。</w:t>
      </w:r>
    </w:p>
    <w:p>
      <w:pPr>
        <w:pStyle w:val="Normal"/>
        <w:ind w:firstLineChars="200" w:startChars="0" w:start="0" w:endChars="0" w:end="0"/>
        <w:rPr/>
      </w:pPr>
      <w:r>
        <w:rPr>
          <w:rFonts w:ascii="黑体;SimHei" w:hAnsi="黑体;SimHei" w:hint="eastAsia" w:eastAsia="黑体;SimHei"/>
          <w:color w:val="000000"/>
        </w:rPr>
        <w:t>第二十三条</w:t>
      </w:r>
      <w:r>
        <w:rPr>
          <w:rFonts w:hint="eastAsia"/>
          <w:color w:val="000000"/>
        </w:rPr>
        <w:t>　在集中式饮用水地表水源准保护区内，禁止下列行为：</w:t>
      </w:r>
    </w:p>
    <w:p>
      <w:pPr>
        <w:pStyle w:val="Normal"/>
        <w:ind w:firstLineChars="200" w:startChars="0" w:start="0" w:endChars="0" w:end="0"/>
        <w:rPr>
          <w:rFonts w:hint="eastAsia"/>
          <w:color w:val="000000"/>
        </w:rPr>
      </w:pPr>
      <w:r>
        <w:rPr>
          <w:rFonts w:hint="eastAsia"/>
          <w:color w:val="000000"/>
        </w:rPr>
        <w:t>（一）新建、扩建对水体污染严重的建设项目；</w:t>
      </w:r>
    </w:p>
    <w:p>
      <w:pPr>
        <w:pStyle w:val="Normal"/>
        <w:ind w:firstLineChars="200" w:startChars="0" w:start="0" w:endChars="0" w:end="0"/>
        <w:rPr>
          <w:rFonts w:hint="eastAsia"/>
          <w:color w:val="000000"/>
        </w:rPr>
      </w:pPr>
      <w:r>
        <w:rPr>
          <w:rFonts w:hint="eastAsia"/>
          <w:color w:val="000000"/>
        </w:rPr>
        <w:t>（二）改建增加排污量的建设项目；</w:t>
      </w:r>
    </w:p>
    <w:p>
      <w:pPr>
        <w:pStyle w:val="Normal"/>
        <w:ind w:firstLineChars="200" w:startChars="0" w:start="0" w:endChars="0" w:end="0"/>
        <w:rPr>
          <w:rFonts w:hint="eastAsia"/>
          <w:color w:val="000000"/>
        </w:rPr>
      </w:pPr>
      <w:r>
        <w:rPr>
          <w:rFonts w:hint="eastAsia"/>
          <w:color w:val="000000"/>
        </w:rPr>
        <w:t>（三）设置易溶性、有毒有害废弃物暂存和转运站；</w:t>
      </w:r>
    </w:p>
    <w:p>
      <w:pPr>
        <w:pStyle w:val="Normal"/>
        <w:ind w:firstLineChars="200" w:startChars="0" w:start="0" w:endChars="0" w:end="0"/>
        <w:rPr>
          <w:rFonts w:hint="eastAsia"/>
          <w:color w:val="000000"/>
        </w:rPr>
      </w:pPr>
      <w:r>
        <w:rPr>
          <w:rFonts w:hint="eastAsia"/>
          <w:color w:val="000000"/>
        </w:rPr>
        <w:t>（四）施用高毒、高残留农药；</w:t>
      </w:r>
    </w:p>
    <w:p>
      <w:pPr>
        <w:pStyle w:val="Normal"/>
        <w:ind w:firstLineChars="200" w:startChars="0" w:start="0" w:endChars="0" w:end="0"/>
        <w:rPr>
          <w:rFonts w:hint="eastAsia"/>
          <w:color w:val="000000"/>
        </w:rPr>
      </w:pPr>
      <w:r>
        <w:rPr>
          <w:rFonts w:hint="eastAsia"/>
          <w:color w:val="000000"/>
        </w:rPr>
        <w:t>（五）破坏水源涵养林、水土保持林以及与水源保护相关的植被；</w:t>
      </w:r>
    </w:p>
    <w:p>
      <w:pPr>
        <w:pStyle w:val="Normal"/>
        <w:ind w:firstLineChars="200" w:startChars="0" w:start="0" w:endChars="0" w:end="0"/>
        <w:rPr>
          <w:rFonts w:hint="eastAsia"/>
          <w:color w:val="000000"/>
        </w:rPr>
      </w:pPr>
      <w:r>
        <w:rPr>
          <w:rFonts w:hint="eastAsia"/>
          <w:color w:val="000000"/>
        </w:rPr>
        <w:t>（六）向水域倾倒工业废渣、生活垃圾、农作物秸秆和其他废弃物；</w:t>
      </w:r>
    </w:p>
    <w:p>
      <w:pPr>
        <w:pStyle w:val="Normal"/>
        <w:ind w:firstLineChars="200" w:startChars="0" w:start="0" w:endChars="0" w:end="0"/>
        <w:rPr>
          <w:rFonts w:hint="eastAsia"/>
          <w:color w:val="000000"/>
        </w:rPr>
      </w:pPr>
      <w:r>
        <w:rPr>
          <w:rFonts w:hint="eastAsia"/>
          <w:color w:val="000000"/>
        </w:rPr>
        <w:t>（七）使用电力、炸药、毒药和其他化学物品捕捞；</w:t>
      </w:r>
    </w:p>
    <w:p>
      <w:pPr>
        <w:pStyle w:val="Normal"/>
        <w:ind w:firstLineChars="200" w:startChars="0" w:start="0" w:endChars="0" w:end="0"/>
        <w:rPr>
          <w:rFonts w:hint="eastAsia"/>
          <w:color w:val="000000"/>
        </w:rPr>
      </w:pPr>
      <w:r>
        <w:rPr>
          <w:rFonts w:hint="eastAsia"/>
          <w:color w:val="000000"/>
        </w:rPr>
        <w:t>（八）法律、法规禁止的其他行为。</w:t>
      </w:r>
    </w:p>
    <w:p>
      <w:pPr>
        <w:pStyle w:val="Normal"/>
        <w:ind w:firstLineChars="200" w:startChars="0" w:start="0" w:endChars="0" w:end="0"/>
        <w:rPr/>
      </w:pPr>
      <w:r>
        <w:rPr>
          <w:rFonts w:ascii="黑体;SimHei" w:hAnsi="黑体;SimHei" w:hint="eastAsia" w:eastAsia="黑体;SimHei"/>
          <w:color w:val="000000"/>
        </w:rPr>
        <w:t xml:space="preserve">第二十四条  </w:t>
      </w:r>
      <w:r>
        <w:rPr>
          <w:rFonts w:hint="eastAsia"/>
          <w:color w:val="000000"/>
        </w:rPr>
        <w:t>在集中式饮用水地表水源二级保护区内，除遵守本条例第二十三条的规定外，还禁止下列行为：</w:t>
      </w:r>
    </w:p>
    <w:p>
      <w:pPr>
        <w:pStyle w:val="Normal"/>
        <w:ind w:firstLineChars="200" w:startChars="0" w:start="0" w:endChars="0" w:end="0"/>
        <w:rPr>
          <w:rFonts w:hint="eastAsia"/>
          <w:color w:val="000000"/>
        </w:rPr>
      </w:pPr>
      <w:r>
        <w:rPr>
          <w:rFonts w:hint="eastAsia"/>
          <w:color w:val="000000"/>
        </w:rPr>
        <w:t>（一）设置排污口；</w:t>
      </w:r>
    </w:p>
    <w:p>
      <w:pPr>
        <w:pStyle w:val="Normal"/>
        <w:ind w:firstLineChars="200" w:startChars="0" w:start="0" w:endChars="0" w:end="0"/>
        <w:rPr>
          <w:rFonts w:hint="eastAsia"/>
          <w:color w:val="000000"/>
        </w:rPr>
      </w:pPr>
      <w:r>
        <w:rPr>
          <w:rFonts w:hint="eastAsia"/>
          <w:color w:val="000000"/>
        </w:rPr>
        <w:t>（二）新建、改建、扩建排放污染物的建设项目；</w:t>
      </w:r>
    </w:p>
    <w:p>
      <w:pPr>
        <w:pStyle w:val="Normal"/>
        <w:ind w:firstLineChars="200" w:startChars="0" w:start="0" w:endChars="0" w:end="0"/>
        <w:rPr>
          <w:rFonts w:hint="eastAsia"/>
          <w:color w:val="000000"/>
        </w:rPr>
      </w:pPr>
      <w:r>
        <w:rPr>
          <w:rFonts w:hint="eastAsia"/>
          <w:color w:val="000000"/>
        </w:rPr>
        <w:t>（三）堆放化工原料、危险化学品、矿物油类以及有毒有害矿产品；</w:t>
      </w:r>
    </w:p>
    <w:p>
      <w:pPr>
        <w:pStyle w:val="Normal"/>
        <w:ind w:firstLineChars="200" w:startChars="0" w:start="0" w:endChars="0" w:end="0"/>
        <w:rPr>
          <w:rFonts w:hint="eastAsia"/>
          <w:color w:val="000000"/>
        </w:rPr>
      </w:pPr>
      <w:r>
        <w:rPr>
          <w:rFonts w:hint="eastAsia"/>
          <w:color w:val="000000"/>
        </w:rPr>
        <w:t>（四）从事规模化畜禽养殖；</w:t>
      </w:r>
    </w:p>
    <w:p>
      <w:pPr>
        <w:pStyle w:val="Normal"/>
        <w:ind w:firstLineChars="200" w:startChars="0" w:start="0" w:endChars="0" w:end="0"/>
        <w:rPr>
          <w:rFonts w:hint="eastAsia"/>
          <w:color w:val="000000"/>
        </w:rPr>
      </w:pPr>
      <w:r>
        <w:rPr>
          <w:rFonts w:hint="eastAsia"/>
          <w:color w:val="000000"/>
        </w:rPr>
        <w:t>（五）丢弃及掩埋动物尸体；</w:t>
      </w:r>
    </w:p>
    <w:p>
      <w:pPr>
        <w:pStyle w:val="Normal"/>
        <w:ind w:firstLineChars="200" w:startChars="0" w:start="0" w:endChars="0" w:end="0"/>
        <w:rPr>
          <w:rFonts w:hint="eastAsia"/>
          <w:color w:val="000000"/>
        </w:rPr>
      </w:pPr>
      <w:r>
        <w:rPr>
          <w:rFonts w:hint="eastAsia"/>
          <w:color w:val="000000"/>
        </w:rPr>
        <w:t>（六）从事经营性取土和采石（砂）等活动；</w:t>
      </w:r>
    </w:p>
    <w:p>
      <w:pPr>
        <w:pStyle w:val="Normal"/>
        <w:ind w:firstLineChars="200" w:startChars="0" w:start="0" w:endChars="0" w:end="0"/>
        <w:rPr>
          <w:rFonts w:hint="eastAsia"/>
          <w:color w:val="000000"/>
        </w:rPr>
      </w:pPr>
      <w:r>
        <w:rPr>
          <w:rFonts w:hint="eastAsia"/>
          <w:color w:val="000000"/>
        </w:rPr>
        <w:t>（七）设立装卸垃圾、油类和有毒物品的码头。</w:t>
      </w:r>
    </w:p>
    <w:p>
      <w:pPr>
        <w:pStyle w:val="Normal"/>
        <w:ind w:firstLineChars="200" w:startChars="0" w:start="0" w:endChars="0" w:end="0"/>
        <w:rPr/>
      </w:pPr>
      <w:r>
        <w:rPr>
          <w:rFonts w:ascii="黑体;SimHei" w:hAnsi="黑体;SimHei" w:hint="eastAsia" w:eastAsia="黑体;SimHei"/>
          <w:color w:val="000000"/>
        </w:rPr>
        <w:t xml:space="preserve">第二十五条  </w:t>
      </w:r>
      <w:r>
        <w:rPr>
          <w:rFonts w:hint="eastAsia"/>
          <w:color w:val="000000"/>
        </w:rPr>
        <w:t>在集中式饮用水地表水源一级保护区内，除遵守本条例第二十三条、第二十四条的规定外，还禁止下列行为：</w:t>
      </w:r>
    </w:p>
    <w:p>
      <w:pPr>
        <w:pStyle w:val="Normal"/>
        <w:ind w:firstLineChars="200" w:startChars="0" w:start="0" w:endChars="0" w:end="0"/>
        <w:rPr>
          <w:rFonts w:hint="eastAsia"/>
          <w:color w:val="000000"/>
        </w:rPr>
      </w:pPr>
      <w:r>
        <w:rPr>
          <w:rFonts w:hint="eastAsia"/>
          <w:color w:val="000000"/>
        </w:rPr>
        <w:t>（一）新建、改建、扩建与供水设施和保护水源无关的建设项目；</w:t>
      </w:r>
    </w:p>
    <w:p>
      <w:pPr>
        <w:pStyle w:val="Normal"/>
        <w:ind w:firstLineChars="200" w:startChars="0" w:start="0" w:endChars="0" w:end="0"/>
        <w:rPr>
          <w:rFonts w:hint="eastAsia"/>
          <w:color w:val="000000"/>
        </w:rPr>
      </w:pPr>
      <w:r>
        <w:rPr>
          <w:rFonts w:hint="eastAsia"/>
          <w:color w:val="000000"/>
        </w:rPr>
        <w:t>（二）堆放工业废渣、生活垃圾、农作物秸秆和其他废弃物；</w:t>
      </w:r>
    </w:p>
    <w:p>
      <w:pPr>
        <w:pStyle w:val="Normal"/>
        <w:ind w:firstLineChars="200" w:startChars="0" w:start="0" w:endChars="0" w:end="0"/>
        <w:rPr>
          <w:rFonts w:hint="eastAsia"/>
          <w:color w:val="000000"/>
        </w:rPr>
      </w:pPr>
      <w:r>
        <w:rPr>
          <w:rFonts w:hint="eastAsia"/>
          <w:color w:val="000000"/>
        </w:rPr>
        <w:t>（三）从事网箱养殖、畜禽养殖、施用化肥农药的种植以及旅游、游泳、垂钓等可能污染饮用水水源的行为；</w:t>
      </w:r>
    </w:p>
    <w:p>
      <w:pPr>
        <w:pStyle w:val="Normal"/>
        <w:ind w:firstLineChars="200" w:startChars="0" w:start="0" w:endChars="0" w:end="0"/>
        <w:rPr>
          <w:rFonts w:hint="eastAsia"/>
          <w:color w:val="000000"/>
        </w:rPr>
      </w:pPr>
      <w:r>
        <w:rPr>
          <w:rFonts w:hint="eastAsia"/>
          <w:color w:val="000000"/>
        </w:rPr>
        <w:t>（四）停靠与保护水源无关的机动船舶。</w:t>
      </w:r>
    </w:p>
    <w:p>
      <w:pPr>
        <w:pStyle w:val="Normal"/>
        <w:ind w:firstLineChars="200" w:startChars="0" w:start="0" w:endChars="0" w:end="0"/>
        <w:rPr/>
      </w:pPr>
      <w:r>
        <w:rPr>
          <w:rFonts w:ascii="黑体;SimHei" w:hAnsi="黑体;SimHei" w:hint="eastAsia" w:eastAsia="黑体;SimHei"/>
          <w:color w:val="000000"/>
        </w:rPr>
        <w:t>第二十六条</w:t>
      </w:r>
      <w:r>
        <w:rPr>
          <w:rFonts w:hint="eastAsia"/>
          <w:color w:val="000000"/>
        </w:rPr>
        <w:t>　在集中式饮用水地下水源准保护区内，除遵守本条例第二十三条第一项至第五项的规定外，还禁止下列行为：</w:t>
      </w:r>
    </w:p>
    <w:p>
      <w:pPr>
        <w:pStyle w:val="Normal"/>
        <w:ind w:firstLineChars="200" w:startChars="0" w:start="0" w:endChars="0" w:end="0"/>
        <w:rPr>
          <w:rFonts w:hint="eastAsia"/>
          <w:color w:val="000000"/>
        </w:rPr>
      </w:pPr>
      <w:r>
        <w:rPr>
          <w:rFonts w:hint="eastAsia"/>
          <w:color w:val="000000"/>
        </w:rPr>
        <w:t>（一）利用渗井、渗坑、裂隙和溶洞排放、倾倒含有毒污染物的废水、含病原体的污水和其他废弃物；</w:t>
      </w:r>
    </w:p>
    <w:p>
      <w:pPr>
        <w:pStyle w:val="Normal"/>
        <w:ind w:firstLineChars="200" w:startChars="0" w:start="0" w:endChars="0" w:end="0"/>
        <w:rPr>
          <w:rFonts w:hint="eastAsia"/>
          <w:color w:val="000000"/>
        </w:rPr>
      </w:pPr>
      <w:r>
        <w:rPr>
          <w:rFonts w:hint="eastAsia"/>
          <w:color w:val="000000"/>
        </w:rPr>
        <w:t>（二）利用透水层孔隙、裂隙、溶洞和废弃矿坑储存油类、放射性物质、有毒有害化工物品、农药等；</w:t>
      </w:r>
    </w:p>
    <w:p>
      <w:pPr>
        <w:pStyle w:val="Normal"/>
        <w:ind w:firstLineChars="200" w:startChars="0" w:start="0" w:endChars="0" w:end="0"/>
        <w:rPr>
          <w:rFonts w:hint="eastAsia"/>
          <w:color w:val="000000"/>
        </w:rPr>
      </w:pPr>
      <w:r>
        <w:rPr>
          <w:rFonts w:hint="eastAsia"/>
          <w:color w:val="000000"/>
        </w:rPr>
        <w:t>（三）法律、法规禁止的其他行为。</w:t>
      </w:r>
    </w:p>
    <w:p>
      <w:pPr>
        <w:pStyle w:val="Normal"/>
        <w:ind w:firstLineChars="200" w:startChars="0" w:start="0" w:endChars="0" w:end="0"/>
        <w:rPr/>
      </w:pPr>
      <w:r>
        <w:rPr>
          <w:rFonts w:ascii="黑体;SimHei" w:hAnsi="黑体;SimHei" w:hint="eastAsia" w:eastAsia="黑体;SimHei"/>
          <w:color w:val="000000"/>
        </w:rPr>
        <w:t>第二十七条</w:t>
      </w:r>
      <w:r>
        <w:rPr>
          <w:rFonts w:hint="eastAsia"/>
          <w:color w:val="000000"/>
        </w:rPr>
        <w:t>　在集中式饮用水地下水源二级保护区内，除遵守本条例第二十四条第一项至第六项、第二十六条的规定外，还禁止利用未经净化的污水灌溉农田。</w:t>
      </w:r>
    </w:p>
    <w:p>
      <w:pPr>
        <w:pStyle w:val="Normal"/>
        <w:ind w:firstLineChars="200" w:startChars="0" w:start="0" w:endChars="0" w:end="0"/>
        <w:rPr/>
      </w:pPr>
      <w:r>
        <w:rPr>
          <w:rFonts w:ascii="黑体;SimHei" w:hAnsi="黑体;SimHei" w:hint="eastAsia" w:eastAsia="黑体;SimHei"/>
          <w:color w:val="000000"/>
        </w:rPr>
        <w:t>第二十八条</w:t>
      </w:r>
      <w:r>
        <w:rPr>
          <w:rFonts w:hint="eastAsia"/>
          <w:color w:val="000000"/>
        </w:rPr>
        <w:t>　在集中式饮用水地下水源一级保护区内，除遵守本条例第二十五条第一项至第三项、第二十六条、第二十七条的规定外，还禁止下列行为：</w:t>
      </w:r>
    </w:p>
    <w:p>
      <w:pPr>
        <w:pStyle w:val="Normal"/>
        <w:ind w:firstLineChars="200" w:startChars="0" w:start="0" w:endChars="0" w:end="0"/>
        <w:rPr>
          <w:rFonts w:hint="eastAsia"/>
          <w:color w:val="000000"/>
        </w:rPr>
      </w:pPr>
      <w:r>
        <w:rPr>
          <w:rFonts w:hint="eastAsia"/>
          <w:color w:val="000000"/>
        </w:rPr>
        <w:t>（一）修建、铺设输送污水的渠道、管道和输油管道；</w:t>
      </w:r>
    </w:p>
    <w:p>
      <w:pPr>
        <w:pStyle w:val="Normal"/>
        <w:ind w:firstLineChars="200" w:startChars="0" w:start="0" w:endChars="0" w:end="0"/>
        <w:rPr>
          <w:rFonts w:hint="eastAsia"/>
          <w:color w:val="000000"/>
        </w:rPr>
      </w:pPr>
      <w:r>
        <w:rPr>
          <w:rFonts w:hint="eastAsia"/>
          <w:color w:val="000000"/>
        </w:rPr>
        <w:t>（二）建立墓地。</w:t>
      </w:r>
    </w:p>
    <w:p>
      <w:pPr>
        <w:pStyle w:val="Normal"/>
        <w:ind w:firstLineChars="200" w:startChars="0" w:start="0" w:endChars="0" w:end="0"/>
        <w:rPr/>
      </w:pPr>
      <w:r>
        <w:rPr>
          <w:rFonts w:ascii="黑体;SimHei" w:hAnsi="黑体;SimHei" w:hint="eastAsia" w:eastAsia="黑体;SimHei"/>
          <w:color w:val="000000"/>
        </w:rPr>
        <w:t xml:space="preserve">第二十九条  </w:t>
      </w:r>
      <w:r>
        <w:rPr>
          <w:rFonts w:hint="eastAsia"/>
          <w:color w:val="000000"/>
        </w:rPr>
        <w:t>对集中式饮用水水源准保护区内已建成的对水体污染严重的建设项目，由市、县（区）人民政府制定方案，采取措施，逐步将其搬出。</w:t>
      </w:r>
    </w:p>
    <w:p>
      <w:pPr>
        <w:pStyle w:val="Normal"/>
        <w:ind w:firstLineChars="200" w:startChars="0" w:start="0" w:endChars="0" w:end="0"/>
        <w:rPr>
          <w:rFonts w:hint="eastAsia"/>
          <w:color w:val="000000"/>
        </w:rPr>
      </w:pPr>
      <w:r>
        <w:rPr>
          <w:rFonts w:hint="eastAsia"/>
          <w:color w:val="000000"/>
        </w:rPr>
        <w:t>对集中式饮用水水源二级保护区内已建成的排放污染物的建设项目，由市、县（区）人民政府责令拆除或者关闭。</w:t>
      </w:r>
    </w:p>
    <w:p>
      <w:pPr>
        <w:pStyle w:val="Normal"/>
        <w:ind w:firstLineChars="200" w:startChars="0" w:start="0" w:endChars="0" w:end="0"/>
        <w:rPr>
          <w:rFonts w:hint="eastAsia"/>
          <w:color w:val="000000"/>
        </w:rPr>
      </w:pPr>
      <w:r>
        <w:rPr>
          <w:rFonts w:hint="eastAsia"/>
          <w:color w:val="000000"/>
        </w:rPr>
        <w:t>对集中式饮用水水源一级保护区内已建成的与供水设施和保护水源无关的建设项目，由市、县（区）人民政府责令拆除或者关闭。</w:t>
      </w:r>
    </w:p>
    <w:p>
      <w:pPr>
        <w:pStyle w:val="Normal"/>
        <w:ind w:firstLineChars="200" w:startChars="0" w:start="0" w:endChars="0" w:end="0"/>
        <w:rPr/>
      </w:pPr>
      <w:r>
        <w:rPr>
          <w:rFonts w:ascii="黑体;SimHei" w:hAnsi="黑体;SimHei" w:hint="eastAsia" w:eastAsia="黑体;SimHei"/>
          <w:color w:val="000000"/>
        </w:rPr>
        <w:t>第三十条</w:t>
      </w:r>
      <w:r>
        <w:rPr>
          <w:rFonts w:hint="eastAsia"/>
          <w:color w:val="000000"/>
        </w:rPr>
        <w:t>　因保护饮用水水源地，使公民、法人或者其他组织的合法权益受到损害的，应当依法予以补偿。</w:t>
      </w:r>
    </w:p>
    <w:p>
      <w:pPr>
        <w:pStyle w:val="Normal"/>
        <w:ind w:firstLineChars="200" w:startChars="0" w:start="0" w:endChars="0" w:end="0"/>
        <w:rPr/>
      </w:pPr>
      <w:r>
        <w:rPr>
          <w:rFonts w:ascii="黑体;SimHei" w:hAnsi="黑体;SimHei" w:hint="eastAsia" w:eastAsia="黑体;SimHei"/>
          <w:color w:val="000000"/>
        </w:rPr>
        <w:t>第三十一条</w:t>
      </w:r>
      <w:r>
        <w:rPr>
          <w:rFonts w:hint="eastAsia"/>
          <w:color w:val="000000"/>
        </w:rPr>
        <w:t>　市、县（区）人民政府应当建立健全饮用水水源生态保护补偿机制。具体补偿方式、范围、对象和标准，由市、县（区）人民政府制定。</w:t>
      </w:r>
    </w:p>
    <w:p>
      <w:pPr>
        <w:pStyle w:val="Normal"/>
        <w:ind w:firstLineChars="200" w:startChars="0" w:start="0" w:endChars="0" w:end="0"/>
        <w:rPr>
          <w:rFonts w:hint="eastAsia"/>
          <w:color w:val="000000"/>
        </w:rPr>
      </w:pPr>
      <w:r>
        <w:rPr>
          <w:rFonts w:ascii="黑体;SimHei" w:hAnsi="黑体;SimHei" w:hint="eastAsia" w:eastAsia="黑体;SimHei"/>
          <w:color w:val="000000"/>
        </w:rPr>
        <w:t xml:space="preserve">第三十二条  </w:t>
      </w:r>
      <w:r>
        <w:rPr>
          <w:rFonts w:hint="eastAsia"/>
          <w:color w:val="000000"/>
          <w:spacing w:val="-6"/>
        </w:rPr>
        <w:t>市、县（区）人民政府应当整合饮用水水源水质监测资源，建立监测预警预测系统、信息共享机制和信息公布制度。</w:t>
      </w:r>
    </w:p>
    <w:p>
      <w:pPr>
        <w:pStyle w:val="Normal"/>
        <w:ind w:firstLineChars="200" w:startChars="0" w:start="0" w:endChars="0" w:end="0"/>
        <w:rPr>
          <w:rFonts w:hint="eastAsia"/>
          <w:color w:val="000000"/>
        </w:rPr>
      </w:pPr>
      <w:r>
        <w:rPr>
          <w:rFonts w:hint="eastAsia"/>
          <w:color w:val="000000"/>
        </w:rPr>
        <w:t>市、县（区）人民政府水行政主管部门应当加强对饮用水水源水量的监测，合理调配水资源。</w:t>
      </w:r>
    </w:p>
    <w:p>
      <w:pPr>
        <w:pStyle w:val="Normal"/>
        <w:ind w:firstLineChars="200" w:startChars="0" w:start="0" w:endChars="0" w:end="0"/>
        <w:rPr>
          <w:rFonts w:hint="eastAsia"/>
          <w:color w:val="000000"/>
        </w:rPr>
      </w:pPr>
      <w:r>
        <w:rPr>
          <w:rFonts w:hint="eastAsia"/>
          <w:color w:val="000000"/>
        </w:rPr>
        <w:t>市、县（区）人民政府环境保护主管部门应当加强饮用水水源实时监测能力建设，定期向社会公布水质状况，发现饮用水水源水质未达到国家标准时，应当及时向市、县（区）人民政府报告，并向卫生等部门和可能受到影响的供水单位通报。</w:t>
      </w:r>
    </w:p>
    <w:p>
      <w:pPr>
        <w:pStyle w:val="Normal"/>
        <w:ind w:firstLineChars="200" w:startChars="0" w:start="0" w:endChars="0" w:end="0"/>
        <w:rPr>
          <w:rFonts w:hint="eastAsia"/>
          <w:color w:val="000000"/>
        </w:rPr>
      </w:pPr>
      <w:r>
        <w:rPr>
          <w:rFonts w:hint="eastAsia"/>
          <w:color w:val="000000"/>
        </w:rPr>
        <w:t>饮用水供水单位应当加强对取水口（井）的水质监测，发现异常情况立即采取有效措施，并及时向市、县（区）人民政府应急机构和水行政、环境保护、卫生等部门报告。</w:t>
      </w:r>
    </w:p>
    <w:p>
      <w:pPr>
        <w:pStyle w:val="Normal"/>
        <w:ind w:firstLineChars="200" w:startChars="0" w:start="0" w:endChars="0" w:end="0"/>
        <w:rPr>
          <w:rFonts w:hint="eastAsia"/>
          <w:color w:val="000000"/>
        </w:rPr>
      </w:pPr>
      <w:r>
        <w:rPr>
          <w:rFonts w:ascii="黑体;SimHei" w:hAnsi="黑体;SimHei" w:hint="eastAsia" w:eastAsia="黑体;SimHei"/>
          <w:color w:val="000000"/>
        </w:rPr>
        <w:t xml:space="preserve">第三十三条  </w:t>
      </w:r>
      <w:r>
        <w:rPr>
          <w:rFonts w:hint="eastAsia"/>
          <w:color w:val="000000"/>
        </w:rPr>
        <w:t>市、县（区）人民政府环境保护、水行政、住房和城乡建设等部门或者河流、湖库的管理单位应当按照各自职责对集中式饮用水水源保护区进行巡查，发现影响饮用水水源安</w:t>
      </w:r>
      <w:r>
        <w:rPr>
          <w:rFonts w:hint="eastAsia"/>
          <w:color w:val="000000"/>
          <w:spacing w:val="-6"/>
        </w:rPr>
        <w:t>全的行为，应当及时制止并依法处理，或者转交有关主管部门处理。</w:t>
      </w:r>
    </w:p>
    <w:p>
      <w:pPr>
        <w:pStyle w:val="Normal"/>
        <w:ind w:firstLineChars="200" w:startChars="0" w:start="0" w:endChars="0" w:end="0"/>
        <w:rPr/>
      </w:pPr>
      <w:r>
        <w:rPr>
          <w:rFonts w:ascii="黑体;SimHei" w:hAnsi="黑体;SimHei" w:hint="eastAsia" w:eastAsia="黑体;SimHei"/>
          <w:color w:val="000000"/>
        </w:rPr>
        <w:t xml:space="preserve">第三十四条  </w:t>
      </w:r>
      <w:r>
        <w:rPr>
          <w:rFonts w:hint="eastAsia"/>
          <w:color w:val="000000"/>
        </w:rPr>
        <w:t>市、县（区）人民政府应当组织编制本地饮用水水源地污染事故应急预案。</w:t>
      </w:r>
    </w:p>
    <w:p>
      <w:pPr>
        <w:pStyle w:val="Normal"/>
        <w:ind w:firstLineChars="200" w:startChars="0" w:start="0" w:endChars="0" w:end="0"/>
        <w:rPr>
          <w:rFonts w:hint="eastAsia"/>
          <w:color w:val="000000"/>
        </w:rPr>
      </w:pPr>
      <w:r>
        <w:rPr>
          <w:rFonts w:hint="eastAsia"/>
          <w:color w:val="000000"/>
        </w:rPr>
        <w:t>对造成或者可能造成饮用水水源地污染的突发事件，所在地人民政府应当立即启动相应的应急预案，采取有效措施，做好应急供水准备。</w:t>
      </w:r>
    </w:p>
    <w:p>
      <w:pPr>
        <w:pStyle w:val="Normal"/>
        <w:rPr>
          <w:rFonts w:hint="eastAsia"/>
          <w:color w:val="000000"/>
        </w:rPr>
      </w:pPr>
      <w:r>
        <w:rPr>
          <w:rFonts w:hint="eastAsia"/>
          <w:color w:val="000000"/>
        </w:rPr>
      </w:r>
    </w:p>
    <w:p>
      <w:pPr>
        <w:pStyle w:val="Normal"/>
        <w:jc w:val="center"/>
        <w:rPr>
          <w:rFonts w:ascii="黑体;SimHei" w:hAnsi="黑体;SimHei" w:eastAsia="黑体;SimHei" w:hint="eastAsia"/>
          <w:color w:val="000000"/>
        </w:rPr>
      </w:pPr>
      <w:r>
        <w:rPr>
          <w:rFonts w:ascii="黑体;SimHei" w:hAnsi="黑体;SimHei" w:hint="eastAsia" w:eastAsia="黑体;SimHei"/>
          <w:color w:val="000000"/>
        </w:rPr>
        <w:t>第四章  法律责任</w:t>
      </w:r>
    </w:p>
    <w:p>
      <w:pPr>
        <w:pStyle w:val="Normal"/>
        <w:rPr>
          <w:rFonts w:ascii="黑体;SimHei" w:hAnsi="黑体;SimHei" w:eastAsia="黑体;SimHei" w:hint="eastAsia"/>
          <w:color w:val="000000"/>
        </w:rPr>
      </w:pPr>
      <w:r>
        <w:rPr>
          <w:rFonts w:eastAsia="黑体;SimHei" w:hint="eastAsia" w:ascii="黑体;SimHei" w:hAnsi="黑体;SimHei"/>
          <w:color w:val="000000"/>
        </w:rPr>
      </w:r>
    </w:p>
    <w:p>
      <w:pPr>
        <w:pStyle w:val="Normal"/>
        <w:ind w:firstLineChars="200" w:startChars="0" w:start="0" w:endChars="0" w:end="0"/>
        <w:rPr/>
      </w:pPr>
      <w:r>
        <w:rPr>
          <w:rFonts w:ascii="黑体;SimHei" w:hAnsi="黑体;SimHei" w:hint="eastAsia" w:eastAsia="黑体;SimHei"/>
          <w:color w:val="000000"/>
        </w:rPr>
        <w:t xml:space="preserve">第三十五条  </w:t>
      </w:r>
      <w:r>
        <w:rPr>
          <w:rFonts w:hint="eastAsia"/>
          <w:color w:val="000000"/>
        </w:rPr>
        <w:t>违反本条例二十二条第三款规定，损毁或者擅自移动集中式饮用水水源保护区地理界标、警示标志和隔离防护设施的，由市、县（区）人民政府确定的部门责令停止违法行为，限期恢复原状；情节严重的，处二千元以上一万元以下的罚款。</w:t>
      </w:r>
    </w:p>
    <w:p>
      <w:pPr>
        <w:pStyle w:val="Normal"/>
        <w:ind w:firstLineChars="200" w:startChars="0" w:start="0" w:endChars="0" w:end="0"/>
        <w:rPr/>
      </w:pPr>
      <w:r>
        <w:rPr>
          <w:rFonts w:ascii="黑体;SimHei" w:hAnsi="黑体;SimHei" w:hint="eastAsia" w:eastAsia="黑体;SimHei"/>
          <w:color w:val="000000"/>
        </w:rPr>
        <w:t xml:space="preserve">第三十六条  </w:t>
      </w:r>
      <w:r>
        <w:rPr>
          <w:rFonts w:hint="eastAsia"/>
          <w:color w:val="000000"/>
        </w:rPr>
        <w:t>违反本条例第二十三条第五项规定，</w:t>
      </w:r>
      <w:r>
        <w:rPr>
          <w:rFonts w:hint="eastAsia"/>
          <w:bCs/>
          <w:color w:val="000000"/>
        </w:rPr>
        <w:t>在集中式饮用水水源保护区和准保护区内</w:t>
      </w:r>
      <w:r>
        <w:rPr>
          <w:rFonts w:hint="eastAsia"/>
          <w:color w:val="000000"/>
        </w:rPr>
        <w:t>破坏水源涵养林、水土保持林以及与水源保护相关的植被的，由市、县（区）人民政府林业主管部门责令停止违法行为，补种毁坏株数一倍以上三倍以下的树木，可以处毁坏林木和植被价值一倍以上五倍以下的罚款。</w:t>
      </w:r>
    </w:p>
    <w:p>
      <w:pPr>
        <w:pStyle w:val="Normal"/>
        <w:ind w:firstLineChars="200" w:startChars="0" w:start="0" w:endChars="0" w:end="0"/>
        <w:rPr/>
      </w:pPr>
      <w:r>
        <w:rPr>
          <w:rFonts w:ascii="黑体;SimHei" w:hAnsi="黑体;SimHei" w:hint="eastAsia" w:eastAsia="黑体;SimHei"/>
          <w:color w:val="000000"/>
        </w:rPr>
        <w:t xml:space="preserve">第三十七条  </w:t>
      </w:r>
      <w:r>
        <w:rPr>
          <w:rFonts w:hint="eastAsia"/>
          <w:color w:val="000000"/>
        </w:rPr>
        <w:t>违反本条例第二十三条第六项和第二十五条第二项规定，</w:t>
      </w:r>
      <w:r>
        <w:rPr>
          <w:rFonts w:hint="eastAsia"/>
          <w:bCs/>
          <w:color w:val="000000"/>
        </w:rPr>
        <w:t>在集中式饮用水地表水源保护区和准保护区内</w:t>
      </w:r>
      <w:r>
        <w:rPr>
          <w:rFonts w:hint="eastAsia"/>
          <w:color w:val="000000"/>
        </w:rPr>
        <w:t>向水域倾倒工业废渣、生活垃圾、农作物秸秆和其他废弃物的，或者在集中式饮用水水源一级保护区内堆放工业废渣、生活垃圾、农作物秸秆和其他废弃物的，由市、县（区）人民政府环境保护主管部门责令停止违法行为，限期采取治理措施，消除污染，处二万元以上二十万元以下的罚款；逾期不采取治理措施的，环境保护主管部门可以指定有治理能力的单位代为治理，所需费用由违法行为人承担。</w:t>
      </w:r>
    </w:p>
    <w:p>
      <w:pPr>
        <w:pStyle w:val="Normal"/>
        <w:ind w:firstLineChars="200" w:startChars="0" w:start="0" w:endChars="0" w:end="0"/>
        <w:rPr/>
      </w:pPr>
      <w:r>
        <w:rPr>
          <w:rFonts w:ascii="黑体;SimHei" w:hAnsi="黑体;SimHei" w:hint="eastAsia" w:eastAsia="黑体;SimHei"/>
          <w:color w:val="000000"/>
        </w:rPr>
        <w:t xml:space="preserve">第三十八条  </w:t>
      </w:r>
      <w:r>
        <w:rPr>
          <w:rFonts w:hint="eastAsia"/>
          <w:color w:val="000000"/>
        </w:rPr>
        <w:t>违反本条例第二十三条第七项规定，</w:t>
      </w:r>
      <w:r>
        <w:rPr>
          <w:rFonts w:hint="eastAsia"/>
          <w:bCs/>
          <w:color w:val="000000"/>
        </w:rPr>
        <w:t>在集中式饮用水地表水源保护区和准保护区内</w:t>
      </w:r>
      <w:r>
        <w:rPr>
          <w:rFonts w:hint="eastAsia"/>
          <w:color w:val="000000"/>
        </w:rPr>
        <w:t>使用电力、炸药、毒药和其他化学物品捕捞的，由市、县（区）人民政府农业主管部门没收违法所得，处一万元以上五万元以下的罚款；情节严重的，并处没收渔具，吊销捕捞许可证。</w:t>
      </w:r>
    </w:p>
    <w:p>
      <w:pPr>
        <w:pStyle w:val="Normal"/>
        <w:ind w:firstLineChars="200" w:startChars="0" w:start="0" w:endChars="0" w:end="0"/>
        <w:rPr/>
      </w:pPr>
      <w:r>
        <w:rPr>
          <w:rFonts w:ascii="黑体;SimHei" w:hAnsi="黑体;SimHei" w:hint="eastAsia" w:eastAsia="黑体;SimHei"/>
          <w:color w:val="000000"/>
        </w:rPr>
        <w:t xml:space="preserve">第三十九条  </w:t>
      </w:r>
      <w:r>
        <w:rPr>
          <w:rFonts w:hint="eastAsia"/>
          <w:color w:val="000000"/>
        </w:rPr>
        <w:t>违反本条例第二十四条第五项规定，</w:t>
      </w:r>
      <w:r>
        <w:rPr>
          <w:rFonts w:hint="eastAsia"/>
          <w:bCs/>
          <w:color w:val="000000"/>
        </w:rPr>
        <w:t>在集中式饮用水水源保护区内</w:t>
      </w:r>
      <w:r>
        <w:rPr>
          <w:rFonts w:hint="eastAsia"/>
          <w:color w:val="000000"/>
        </w:rPr>
        <w:t>丢弃及掩埋动物尸体的，由动物卫生监督机构责令无害化处理，所需处理费用由违法行为人承担，可以处五百元以上三千元以下的罚款。</w:t>
      </w:r>
    </w:p>
    <w:p>
      <w:pPr>
        <w:pStyle w:val="Normal"/>
        <w:ind w:firstLineChars="200" w:startChars="0" w:start="0" w:endChars="0" w:end="0"/>
        <w:rPr/>
      </w:pPr>
      <w:r>
        <w:rPr>
          <w:rFonts w:ascii="黑体;SimHei" w:hAnsi="黑体;SimHei" w:hint="eastAsia" w:eastAsia="黑体;SimHei"/>
          <w:color w:val="000000"/>
        </w:rPr>
        <w:t xml:space="preserve">第四十条  </w:t>
      </w:r>
      <w:r>
        <w:rPr>
          <w:rFonts w:hint="eastAsia"/>
          <w:color w:val="000000"/>
        </w:rPr>
        <w:t>违反本条例第二十五条第三项规定，在集中式饮用水水源一级保护区内从事网箱养殖、畜禽养殖、施用化肥农药的种植以及组织进行旅游、垂钓等可能污染饮用水水源的活动的，由市、县（区）人民政府环境保护主管部门责令停止违法行为，处二万元以上十万元以下的罚款。个人在集中式饮用水水源一级保护区内游泳、垂钓或者从事其他可能污染饮用水水源的行为的，由市、县（区）人民政府环境保护主管部门责令停止违法行为，可以处五百元以下的罚款。</w:t>
      </w:r>
    </w:p>
    <w:p>
      <w:pPr>
        <w:pStyle w:val="Normal"/>
        <w:ind w:firstLineChars="200" w:startChars="0" w:start="0" w:endChars="0" w:end="0"/>
        <w:rPr/>
      </w:pPr>
      <w:r>
        <w:rPr>
          <w:rFonts w:ascii="黑体;SimHei" w:hAnsi="黑体;SimHei" w:hint="eastAsia" w:eastAsia="黑体;SimHei"/>
          <w:color w:val="000000"/>
        </w:rPr>
        <w:t xml:space="preserve">第四十一条  </w:t>
      </w:r>
      <w:r>
        <w:rPr>
          <w:rFonts w:hint="eastAsia"/>
          <w:color w:val="000000"/>
        </w:rPr>
        <w:t>市、县（区）人民政府和有关部门、机构及其工作人员，在饮用水水源地保护工作中违反本条例规定，有下列行为之一的，对直接负责的主管人员和其他直接责任人员依法给予处分，并对单位负责人进行问责；涉嫌犯罪的，依法移交有关机关处理：</w:t>
      </w:r>
    </w:p>
    <w:p>
      <w:pPr>
        <w:pStyle w:val="Normal"/>
        <w:ind w:firstLineChars="200" w:startChars="0" w:start="0" w:endChars="0" w:end="0"/>
        <w:rPr>
          <w:rFonts w:hint="eastAsia"/>
          <w:color w:val="000000"/>
        </w:rPr>
      </w:pPr>
      <w:r>
        <w:rPr>
          <w:rFonts w:hint="eastAsia"/>
          <w:color w:val="000000"/>
        </w:rPr>
        <w:t>（一）违反本条例第十一条、第十二条规定，未对本行政区域内水资源进行综合科学考察和调查评价或者未在水资源综合规划中对饮用水水源地及相关工程建设等进行统筹规划的；</w:t>
      </w:r>
    </w:p>
    <w:p>
      <w:pPr>
        <w:pStyle w:val="Normal"/>
        <w:ind w:firstLineChars="200" w:startChars="0" w:start="0" w:endChars="0" w:end="0"/>
        <w:rPr>
          <w:rFonts w:hint="eastAsia"/>
          <w:color w:val="000000"/>
        </w:rPr>
      </w:pPr>
      <w:r>
        <w:rPr>
          <w:rFonts w:hint="eastAsia"/>
          <w:color w:val="000000"/>
        </w:rPr>
        <w:t>（二）未按照本条例规定确定集中式饮用水水源地和公布重要集中式饮用水水源地名录的；</w:t>
      </w:r>
    </w:p>
    <w:p>
      <w:pPr>
        <w:pStyle w:val="Normal"/>
        <w:ind w:firstLineChars="200" w:startChars="0" w:start="0" w:endChars="0" w:end="0"/>
        <w:rPr>
          <w:rFonts w:hint="eastAsia"/>
          <w:color w:val="000000"/>
        </w:rPr>
      </w:pPr>
      <w:r>
        <w:rPr>
          <w:rFonts w:hint="eastAsia"/>
          <w:color w:val="000000"/>
        </w:rPr>
        <w:t>（三）违反本条例第二十条、第二十一条规定，未制定本行政区域内集中式饮用水水源地保护方案，未划定集中式饮用水水源保护区和准保护区的；</w:t>
      </w:r>
    </w:p>
    <w:p>
      <w:pPr>
        <w:pStyle w:val="Normal"/>
        <w:ind w:firstLineChars="200" w:startChars="0" w:start="0" w:endChars="0" w:end="0"/>
        <w:rPr>
          <w:rFonts w:hint="eastAsia"/>
          <w:color w:val="000000"/>
        </w:rPr>
      </w:pPr>
      <w:r>
        <w:rPr>
          <w:rFonts w:hint="eastAsia"/>
          <w:color w:val="000000"/>
        </w:rPr>
        <w:t>（四）违反本条例第三十二条、第三十三条规定，未开展饮用水水源水质监测、饮用水水源保护巡查的，或者发现异常情况未采取有效措施的；</w:t>
      </w:r>
    </w:p>
    <w:p>
      <w:pPr>
        <w:pStyle w:val="Normal"/>
        <w:ind w:firstLineChars="200" w:startChars="0" w:start="0" w:endChars="0" w:end="0"/>
        <w:rPr>
          <w:rFonts w:hint="eastAsia"/>
          <w:color w:val="000000"/>
        </w:rPr>
      </w:pPr>
      <w:r>
        <w:rPr>
          <w:rFonts w:hint="eastAsia"/>
          <w:color w:val="000000"/>
        </w:rPr>
        <w:t>（五）未按照本条例第三十四条规定编制饮用水水源地污染事故应急预案，或者未按照规定处置造成和可能造成饮用水水源地污染的突发事件，造成严重后果的；</w:t>
      </w:r>
    </w:p>
    <w:p>
      <w:pPr>
        <w:pStyle w:val="Normal"/>
        <w:ind w:firstLineChars="200" w:startChars="0" w:start="0" w:endChars="0" w:end="0"/>
        <w:rPr>
          <w:rFonts w:hint="eastAsia"/>
          <w:color w:val="000000"/>
        </w:rPr>
      </w:pPr>
      <w:r>
        <w:rPr>
          <w:rFonts w:hint="eastAsia"/>
          <w:color w:val="000000"/>
        </w:rPr>
        <w:t>（六）对违反本条例行为的举报未受理或者受理后未依法调查处理的；</w:t>
      </w:r>
    </w:p>
    <w:p>
      <w:pPr>
        <w:pStyle w:val="Normal"/>
        <w:ind w:firstLineChars="200" w:startChars="0" w:start="0" w:endChars="0" w:end="0"/>
        <w:rPr>
          <w:rFonts w:hint="eastAsia"/>
          <w:color w:val="000000"/>
        </w:rPr>
      </w:pPr>
      <w:r>
        <w:rPr>
          <w:rFonts w:hint="eastAsia"/>
          <w:color w:val="000000"/>
        </w:rPr>
        <w:t>（七）其他滥用职权、玩忽职守、徇私舞弊的。</w:t>
      </w:r>
    </w:p>
    <w:p>
      <w:pPr>
        <w:pStyle w:val="Normal"/>
        <w:jc w:val="center"/>
        <w:rPr>
          <w:rFonts w:hint="eastAsia"/>
          <w:color w:val="000000"/>
        </w:rPr>
      </w:pPr>
      <w:r>
        <w:rPr>
          <w:rFonts w:hint="eastAsia"/>
          <w:color w:val="000000"/>
        </w:rPr>
      </w:r>
    </w:p>
    <w:p>
      <w:pPr>
        <w:pStyle w:val="Normal"/>
        <w:jc w:val="center"/>
        <w:rPr>
          <w:rFonts w:ascii="黑体;SimHei" w:hAnsi="黑体;SimHei" w:eastAsia="黑体;SimHei" w:hint="eastAsia"/>
          <w:color w:val="000000"/>
        </w:rPr>
      </w:pPr>
      <w:r>
        <w:rPr>
          <w:rFonts w:ascii="黑体;SimHei" w:hAnsi="黑体;SimHei" w:hint="eastAsia" w:eastAsia="黑体;SimHei"/>
          <w:color w:val="000000"/>
        </w:rPr>
        <w:t>第五章  附    则</w:t>
      </w:r>
    </w:p>
    <w:p>
      <w:pPr>
        <w:pStyle w:val="Normal"/>
        <w:jc w:val="center"/>
        <w:rPr>
          <w:rFonts w:ascii="黑体;SimHei" w:hAnsi="黑体;SimHei" w:eastAsia="黑体;SimHei" w:hint="eastAsia"/>
          <w:color w:val="000000"/>
        </w:rPr>
      </w:pPr>
      <w:r>
        <w:rPr>
          <w:rFonts w:eastAsia="黑体;SimHei" w:hint="eastAsia" w:ascii="黑体;SimHei" w:hAnsi="黑体;SimHei"/>
          <w:color w:val="000000"/>
        </w:rPr>
      </w:r>
    </w:p>
    <w:p>
      <w:pPr>
        <w:pStyle w:val="Normal"/>
        <w:ind w:firstLineChars="200" w:startChars="0" w:start="0" w:endChars="0" w:end="0"/>
        <w:rPr/>
      </w:pPr>
      <w:r>
        <w:rPr>
          <w:rFonts w:ascii="黑体;SimHei" w:hAnsi="黑体;SimHei" w:hint="eastAsia" w:eastAsia="黑体;SimHei"/>
          <w:color w:val="000000"/>
        </w:rPr>
        <w:t xml:space="preserve">第四十二条  </w:t>
      </w:r>
      <w:r>
        <w:rPr>
          <w:rFonts w:hint="eastAsia"/>
          <w:color w:val="000000"/>
        </w:rPr>
        <w:t>有关饮用水水源地保护的行为及其法律责任，本条例未作规定，其他法律、法规已有规定的，从其规定。</w:t>
      </w:r>
    </w:p>
    <w:p>
      <w:pPr>
        <w:pStyle w:val="Normal"/>
        <w:ind w:firstLineChars="200" w:startChars="0" w:start="0" w:endChars="0" w:end="0"/>
        <w:rPr/>
      </w:pPr>
      <w:r>
        <w:rPr>
          <w:rFonts w:ascii="黑体;SimHei" w:hAnsi="黑体;SimHei" w:hint="eastAsia" w:eastAsia="黑体;SimHei"/>
          <w:color w:val="000000"/>
        </w:rPr>
        <w:t xml:space="preserve">第四十三条  </w:t>
      </w:r>
      <w:r>
        <w:rPr>
          <w:rFonts w:hint="eastAsia"/>
          <w:color w:val="000000"/>
        </w:rPr>
        <w:t>本条例所称分散式饮用水水源地，是指供水人口不足一千人的饮用水水源地，根据供水方式可分为联村、联片、单村、联户、单户等形式。</w:t>
      </w:r>
    </w:p>
    <w:p>
      <w:pPr>
        <w:pStyle w:val="Normal"/>
        <w:ind w:firstLineChars="200" w:startChars="0" w:start="0" w:endChars="0" w:end="0"/>
        <w:rPr>
          <w:rFonts w:hint="eastAsia"/>
          <w:color w:val="000000"/>
        </w:rPr>
      </w:pPr>
      <w:r>
        <w:rPr>
          <w:rFonts w:ascii="黑体;SimHei" w:hAnsi="黑体;SimHei" w:hint="eastAsia" w:eastAsia="黑体;SimHei"/>
          <w:color w:val="000000"/>
        </w:rPr>
        <w:t xml:space="preserve">第四十四条  </w:t>
      </w:r>
      <w:r>
        <w:rPr>
          <w:rFonts w:hint="eastAsia"/>
          <w:color w:val="000000"/>
        </w:rPr>
        <w:t>本条例自</w:t>
      </w:r>
      <w:r>
        <w:rPr>
          <w:rFonts w:hint="eastAsia"/>
          <w:color w:val="000000"/>
        </w:rPr>
        <w:t>2019</w:t>
      </w:r>
      <w:r>
        <w:rPr>
          <w:rFonts w:hint="eastAsia"/>
          <w:color w:val="000000"/>
        </w:rPr>
        <w:t>年</w:t>
      </w:r>
      <w:r>
        <w:rPr>
          <w:rFonts w:hint="eastAsia"/>
          <w:color w:val="000000"/>
        </w:rPr>
        <w:t>1</w:t>
      </w:r>
      <w:r>
        <w:rPr>
          <w:rFonts w:hint="eastAsia"/>
          <w:color w:val="000000"/>
        </w:rPr>
        <w:t>月</w:t>
      </w:r>
      <w:r>
        <w:rPr>
          <w:rFonts w:hint="eastAsia"/>
          <w:color w:val="000000"/>
        </w:rPr>
        <w:t>1</w:t>
      </w:r>
      <w:r>
        <w:rPr>
          <w:rFonts w:hint="eastAsia"/>
          <w:color w:val="000000"/>
        </w:rPr>
        <w:t>日起施行。</w:t>
      </w:r>
    </w:p>
    <w:p>
      <w:pPr>
        <w:pStyle w:val="Normal"/>
        <w:spacing w:lineRule="exact" w:line="320"/>
        <w:ind w:firstLineChars="200" w:startChars="0" w:start="0" w:endChars="0" w:end="0"/>
        <w:rPr>
          <w:rFonts w:hint="eastAsia"/>
          <w:color w:val="000000"/>
        </w:rPr>
      </w:pPr>
      <w:r>
        <w:rPr>
          <w:rFonts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386.1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 w:hAnsi="仿宋" w:eastAsia="仿宋"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font21">
    <w:name w:val="font21"/>
    <w:basedOn w:val="Style14"/>
    <w:qFormat/>
    <w:rPr>
      <w:rFonts w:ascii="Times New Roman" w:hAnsi="Times New Roman" w:cs="Times New Roman"/>
      <w:color w:val="000000"/>
      <w:sz w:val="24"/>
      <w:szCs w:val="24"/>
      <w:u w:val="none"/>
    </w:rPr>
  </w:style>
  <w:style w:type="character" w:styleId="font01">
    <w:name w:val="font01"/>
    <w:basedOn w:val="Style14"/>
    <w:qFormat/>
    <w:rPr>
      <w:rFonts w:ascii="仿宋_GB2312" w:hAnsi="仿宋_GB2312" w:eastAsia="仿宋_GB2312" w:cs="仿宋_GB2312"/>
      <w:color w:val="000000"/>
      <w:sz w:val="24"/>
      <w:szCs w:val="24"/>
      <w:u w:val="none"/>
    </w:rPr>
  </w:style>
  <w:style w:type="character" w:styleId="Strong">
    <w:name w:val="Strong"/>
    <w:basedOn w:val="Style14"/>
    <w:qFormat/>
    <w:rPr>
      <w:rFonts w:cs="Times New Roman"/>
      <w:b/>
      <w:bCs/>
    </w:rPr>
  </w:style>
  <w:style w:type="character" w:styleId="apple-converted-space">
    <w:name w:val="apple-converted-space"/>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2018-10-08T15:04:00Z</dcterms:created>
  <dc:creator>ch</dc:creator>
  <dc:description/>
  <cp:keywords/>
  <dc:language>en-US</dc:language>
  <cp:lastModifiedBy>段铭</cp:lastModifiedBy>
  <cp:lastPrinted>2018-08-09T16:40:00Z</cp:lastPrinted>
  <dcterms:modified xsi:type="dcterms:W3CDTF">2018-10-08T15:58:00Z</dcterms:modified>
  <cp:revision>3</cp:revision>
  <dc:subject/>
  <dc:title>板心</dc:title>
</cp:coreProperties>
</file>