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rPr>
      </w:pPr>
      <w:r>
        <w:rPr>
          <w:rFonts w:hint="eastAsia"/>
        </w:rPr>
      </w:r>
    </w:p>
    <w:p>
      <w:pPr>
        <w:pStyle w:val="Normal"/>
        <w:jc w:val="center"/>
        <w:rPr>
          <w:rFonts w:hint="eastAsia"/>
          <w:sz w:val="44"/>
          <w:szCs w:val="44"/>
        </w:rPr>
      </w:pPr>
      <w:r>
        <w:rPr>
          <w:rFonts w:hint="eastAsia"/>
          <w:sz w:val="44"/>
          <w:szCs w:val="44"/>
        </w:rPr>
      </w:r>
    </w:p>
    <w:p>
      <w:pPr>
        <w:pStyle w:val="Normal"/>
        <w:jc w:val="center"/>
        <w:rPr>
          <w:rFonts w:eastAsia="宋体;SimSun" w:hint="eastAsia"/>
          <w:color w:val="000000"/>
          <w:sz w:val="44"/>
          <w:szCs w:val="36"/>
        </w:rPr>
      </w:pPr>
      <w:r>
        <w:rPr>
          <w:rFonts w:cs="宋体;SimSun" w:hint="eastAsia" w:eastAsia="宋体;SimSun"/>
          <w:color w:val="000000"/>
          <w:sz w:val="44"/>
          <w:szCs w:val="36"/>
        </w:rPr>
        <w:t>安徽省人民代表大会常务委员会关于批准</w:t>
      </w:r>
    </w:p>
    <w:p>
      <w:pPr>
        <w:pStyle w:val="Normal"/>
        <w:jc w:val="center"/>
        <w:rPr>
          <w:rFonts w:eastAsia="宋体;SimSun" w:hint="eastAsia"/>
          <w:color w:val="000000"/>
          <w:sz w:val="44"/>
          <w:szCs w:val="36"/>
        </w:rPr>
      </w:pPr>
      <w:r>
        <w:rPr>
          <w:rFonts w:cs="宋体;SimSun" w:hint="eastAsia" w:eastAsia="宋体;SimSun"/>
          <w:color w:val="000000"/>
          <w:sz w:val="44"/>
        </w:rPr>
        <w:t>《合肥市绿色建筑发展</w:t>
      </w:r>
      <w:r>
        <w:rPr>
          <w:rFonts w:cs="宋体;SimSun" w:eastAsia="宋体;SimSun"/>
          <w:color w:val="000000"/>
          <w:sz w:val="44"/>
        </w:rPr>
        <w:t>条例</w:t>
      </w:r>
      <w:r>
        <w:rPr>
          <w:rFonts w:cs="宋体;SimSun" w:hint="eastAsia" w:eastAsia="宋体;SimSun"/>
          <w:color w:val="000000"/>
          <w:sz w:val="44"/>
        </w:rPr>
        <w:t>》</w:t>
      </w:r>
      <w:r>
        <w:rPr>
          <w:rFonts w:cs="宋体;SimSun" w:hint="eastAsia" w:eastAsia="宋体;SimSun"/>
          <w:color w:val="000000"/>
          <w:sz w:val="44"/>
          <w:szCs w:val="36"/>
        </w:rPr>
        <w:t>的决议</w:t>
      </w:r>
    </w:p>
    <w:p>
      <w:pPr>
        <w:pStyle w:val="Normal"/>
        <w:jc w:val="center"/>
        <w:rPr>
          <w:rFonts w:eastAsia="方正小标宋简体" w:hint="eastAsia"/>
          <w:color w:val="000000"/>
          <w:sz w:val="44"/>
          <w:szCs w:val="36"/>
        </w:rPr>
      </w:pPr>
      <w:r>
        <w:rPr>
          <w:rFonts w:eastAsia="方正小标宋简体" w:hint="eastAsia"/>
          <w:color w:val="000000"/>
          <w:sz w:val="44"/>
          <w:szCs w:val="36"/>
        </w:rPr>
      </w:r>
    </w:p>
    <w:p>
      <w:pPr>
        <w:pStyle w:val="Normal"/>
        <w:ind w:firstLineChars="0" w:firstLine="0" w:startChars="200" w:endChars="200"/>
        <w:jc w:val="center"/>
        <w:rPr>
          <w:rFonts w:eastAsia="楷体_GB2312" w:hint="eastAsia"/>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7</w:t>
      </w:r>
      <w:r>
        <w:rPr>
          <w:rFonts w:eastAsia="楷体_GB2312"/>
          <w:color w:val="000000"/>
          <w:szCs w:val="30"/>
        </w:rPr>
        <w:t>月</w:t>
      </w:r>
      <w:r>
        <w:rPr>
          <w:rFonts w:eastAsia="楷体_GB2312" w:hint="eastAsia"/>
          <w:color w:val="000000"/>
          <w:szCs w:val="30"/>
        </w:rPr>
        <w:t>28</w:t>
      </w:r>
      <w:r>
        <w:rPr>
          <w:rFonts w:eastAsia="楷体_GB2312"/>
          <w:color w:val="000000"/>
          <w:szCs w:val="30"/>
        </w:rPr>
        <w:t>日安徽省第十二届人民代表大会</w:t>
      </w:r>
    </w:p>
    <w:p>
      <w:pPr>
        <w:pStyle w:val="Normal"/>
        <w:ind w:firstLineChars="0" w:firstLine="0" w:startChars="200" w:endChars="200"/>
        <w:jc w:val="center"/>
        <w:rPr>
          <w:rFonts w:eastAsia="楷体_GB2312"/>
          <w:color w:val="000000"/>
          <w:szCs w:val="30"/>
        </w:rPr>
      </w:pPr>
      <w:r>
        <w:rPr>
          <w:rFonts w:hint="eastAsia" w:eastAsia="楷体_GB2312"/>
          <w:color w:val="000000"/>
          <w:szCs w:val="30"/>
        </w:rPr>
        <w:t>常务委员会第三十九次会议通过）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color w:val="000000"/>
        </w:rPr>
        <w:t>安徽省第十</w:t>
      </w:r>
      <w:r>
        <w:rPr>
          <w:rFonts w:hint="eastAsia"/>
          <w:color w:val="000000"/>
        </w:rPr>
        <w:t>二</w:t>
      </w:r>
      <w:r>
        <w:rPr>
          <w:color w:val="000000"/>
        </w:rPr>
        <w:t>届人民代表大会常务委员会第</w:t>
      </w:r>
      <w:r>
        <w:rPr>
          <w:rFonts w:hint="eastAsia"/>
          <w:color w:val="000000"/>
        </w:rPr>
        <w:t>三十九</w:t>
      </w:r>
      <w:r>
        <w:rPr>
          <w:color w:val="000000"/>
        </w:rPr>
        <w:t>次会议审查了</w:t>
      </w:r>
      <w:r>
        <w:rPr>
          <w:rFonts w:hint="eastAsia"/>
          <w:color w:val="000000"/>
        </w:rPr>
        <w:t>《合肥市绿色建筑发展条例》</w:t>
      </w:r>
      <w:r>
        <w:rPr>
          <w:color w:val="000000"/>
        </w:rPr>
        <w:t>，决定予以批准，由</w:t>
      </w:r>
      <w:r>
        <w:rPr>
          <w:rFonts w:hint="eastAsia"/>
          <w:color w:val="000000"/>
        </w:rPr>
        <w:t>合肥</w:t>
      </w:r>
      <w:r>
        <w:rPr>
          <w:color w:val="000000"/>
        </w:rPr>
        <w:t>市人民代表大会常务委员会公布</w:t>
      </w:r>
      <w:r>
        <w:rPr>
          <w:rFonts w:hint="eastAsia"/>
          <w:color w:val="000000"/>
        </w:rPr>
        <w:t>施行</w:t>
      </w:r>
      <w:r>
        <w:rPr>
          <w:color w:val="000000"/>
        </w:rPr>
        <w:t>。</w:t>
      </w:r>
      <w:r>
        <w:br w:type="page"/>
      </w:r>
    </w:p>
    <w:p>
      <w:pPr>
        <w:pStyle w:val="Normal"/>
        <w:ind w:firstLineChars="200" w:startChars="0" w:start="0" w:endChars="0" w:end="0"/>
        <w:rPr>
          <w:rFonts w:hint="eastAsia"/>
          <w:color w:val="000000"/>
        </w:rPr>
      </w:pPr>
      <w:r>
        <w:rPr>
          <w:rFonts w:hint="eastAsia"/>
          <w:color w:val="000000"/>
        </w:rPr>
      </w:r>
    </w:p>
    <w:p>
      <w:pPr>
        <w:pStyle w:val="Normal"/>
        <w:jc w:val="center"/>
        <w:rPr>
          <w:rFonts w:hint="eastAsia"/>
          <w:sz w:val="44"/>
          <w:szCs w:val="44"/>
        </w:rPr>
      </w:pPr>
      <w:r>
        <w:rPr>
          <w:rFonts w:hint="eastAsia"/>
          <w:sz w:val="44"/>
          <w:szCs w:val="44"/>
        </w:rPr>
      </w:r>
    </w:p>
    <w:p>
      <w:pPr>
        <w:pStyle w:val="Normal"/>
        <w:spacing w:lineRule="exact" w:line="620"/>
        <w:jc w:val="center"/>
        <w:rPr>
          <w:rFonts w:eastAsia="宋体;SimSun"/>
          <w:sz w:val="44"/>
          <w:szCs w:val="44"/>
        </w:rPr>
      </w:pPr>
      <w:r>
        <w:rPr>
          <w:rFonts w:cs="宋体;SimSun" w:hint="eastAsia" w:eastAsia="宋体;SimSun"/>
          <w:sz w:val="44"/>
          <w:szCs w:val="44"/>
        </w:rPr>
        <w:t>合肥市绿色建筑发展条例</w:t>
      </w:r>
    </w:p>
    <w:p>
      <w:pPr>
        <w:pStyle w:val="Normal"/>
        <w:spacing w:lineRule="exact" w:line="566"/>
        <w:jc w:val="center"/>
        <w:rPr>
          <w:rFonts w:eastAsia="方正小标宋简体"/>
          <w:sz w:val="44"/>
          <w:szCs w:val="44"/>
        </w:rPr>
      </w:pPr>
      <w:r>
        <w:rPr>
          <w:rFonts w:eastAsia="方正小标宋简体"/>
          <w:sz w:val="44"/>
          <w:szCs w:val="44"/>
        </w:rPr>
      </w:r>
    </w:p>
    <w:p>
      <w:pPr>
        <w:pStyle w:val="Normal"/>
        <w:ind w:firstLineChars="0" w:firstLine="0" w:startChars="200" w:endChars="200"/>
        <w:rPr>
          <w:rFonts w:eastAsia="楷体_GB2312"/>
        </w:rPr>
      </w:pPr>
      <w:r>
        <w:rPr>
          <w:rFonts w:hint="eastAsia" w:eastAsia="楷体_GB2312"/>
        </w:rPr>
        <w:t>（</w:t>
      </w:r>
      <w:r>
        <w:rPr>
          <w:rFonts w:eastAsia="楷体_GB2312"/>
        </w:rPr>
        <w:t>2017</w:t>
      </w:r>
      <w:r>
        <w:rPr>
          <w:rFonts w:hint="eastAsia" w:eastAsia="楷体_GB2312"/>
        </w:rPr>
        <w:t>年</w:t>
      </w:r>
      <w:r>
        <w:rPr>
          <w:rFonts w:eastAsia="楷体_GB2312"/>
        </w:rPr>
        <w:t>6</w:t>
      </w:r>
      <w:r>
        <w:rPr>
          <w:rFonts w:hint="eastAsia" w:eastAsia="楷体_GB2312"/>
        </w:rPr>
        <w:t>月</w:t>
      </w:r>
      <w:r>
        <w:rPr>
          <w:rFonts w:eastAsia="楷体_GB2312"/>
        </w:rPr>
        <w:t>21</w:t>
      </w:r>
      <w:r>
        <w:rPr>
          <w:rFonts w:hint="eastAsia" w:eastAsia="楷体_GB2312"/>
        </w:rPr>
        <w:t xml:space="preserve">日合肥市第十五届人民代表大会常务委员会第三十四次会议通过  </w:t>
      </w:r>
      <w:r>
        <w:rPr>
          <w:rFonts w:eastAsia="楷体_GB2312"/>
          <w:color w:val="000000"/>
          <w:szCs w:val="30"/>
        </w:rPr>
        <w:t>201</w:t>
      </w:r>
      <w:r>
        <w:rPr>
          <w:rFonts w:eastAsia="楷体_GB2312" w:hint="eastAsia"/>
          <w:color w:val="000000"/>
          <w:szCs w:val="30"/>
        </w:rPr>
        <w:t>7</w:t>
      </w:r>
      <w:r>
        <w:rPr>
          <w:rFonts w:hint="eastAsia" w:eastAsia="楷体_GB2312"/>
          <w:color w:val="000000"/>
          <w:szCs w:val="30"/>
        </w:rPr>
        <w:t>年</w:t>
      </w:r>
      <w:r>
        <w:rPr>
          <w:rFonts w:eastAsia="楷体_GB2312" w:hint="eastAsia"/>
          <w:color w:val="000000"/>
          <w:szCs w:val="30"/>
        </w:rPr>
        <w:t>7</w:t>
      </w:r>
      <w:r>
        <w:rPr>
          <w:rFonts w:hint="eastAsia" w:eastAsia="楷体_GB2312"/>
          <w:color w:val="000000"/>
          <w:szCs w:val="30"/>
        </w:rPr>
        <w:t>月</w:t>
      </w:r>
      <w:r>
        <w:rPr>
          <w:rFonts w:eastAsia="楷体_GB2312" w:hint="eastAsia"/>
          <w:color w:val="000000"/>
          <w:szCs w:val="30"/>
        </w:rPr>
        <w:t>28</w:t>
      </w:r>
      <w:r>
        <w:rPr>
          <w:rFonts w:hint="eastAsia" w:eastAsia="楷体_GB2312"/>
          <w:color w:val="000000"/>
          <w:szCs w:val="30"/>
        </w:rPr>
        <w:t>日安徽省第十二届人民代表大会常务委员会第三十九次会议批准</w:t>
      </w:r>
      <w:r>
        <w:rPr>
          <w:rFonts w:eastAsia="楷体_GB2312"/>
          <w:szCs w:val="28"/>
        </w:rPr>
        <w:t>）</w:t>
      </w:r>
    </w:p>
    <w:p>
      <w:pPr>
        <w:pStyle w:val="Normal"/>
        <w:spacing w:lineRule="exact" w:line="566"/>
        <w:jc w:val="center"/>
        <w:rPr>
          <w:rFonts w:eastAsia="方正小标宋简体"/>
          <w:sz w:val="44"/>
          <w:szCs w:val="44"/>
        </w:rPr>
      </w:pPr>
      <w:r>
        <w:rPr>
          <w:rFonts w:eastAsia="方正小标宋简体"/>
          <w:sz w:val="44"/>
          <w:szCs w:val="44"/>
        </w:rPr>
      </w:r>
    </w:p>
    <w:p>
      <w:pPr>
        <w:pStyle w:val="Normal"/>
        <w:jc w:val="center"/>
        <w:rPr>
          <w:rFonts w:eastAsia="黑体;SimHei" w:hint="eastAsia"/>
          <w:color w:val="000000"/>
          <w:kern w:val="0"/>
        </w:rPr>
      </w:pPr>
      <w:r>
        <w:rPr>
          <w:rFonts w:hint="eastAsia" w:eastAsia="黑体;SimHei"/>
          <w:color w:val="000000"/>
          <w:kern w:val="0"/>
        </w:rPr>
        <w:t>第一章</w:t>
      </w:r>
      <w:r>
        <w:rPr>
          <w:rFonts w:eastAsia="黑体;SimHei"/>
          <w:color w:val="000000"/>
          <w:kern w:val="0"/>
        </w:rPr>
        <w:t xml:space="preserve">  </w:t>
      </w:r>
      <w:r>
        <w:rPr>
          <w:rFonts w:hint="eastAsia" w:eastAsia="黑体;SimHei"/>
          <w:color w:val="000000"/>
          <w:kern w:val="0"/>
        </w:rPr>
        <w:t>总  则</w:t>
      </w:r>
    </w:p>
    <w:p>
      <w:pPr>
        <w:pStyle w:val="Normal"/>
        <w:jc w:val="center"/>
        <w:rPr>
          <w:rFonts w:eastAsia="黑体;SimHei" w:hint="eastAsia"/>
          <w:color w:val="000000"/>
          <w:kern w:val="0"/>
        </w:rPr>
      </w:pPr>
      <w:r>
        <w:rPr>
          <w:rFonts w:eastAsia="黑体;SimHei" w:hint="eastAsia"/>
          <w:color w:val="000000"/>
          <w:kern w:val="0"/>
        </w:rPr>
      </w:r>
    </w:p>
    <w:p>
      <w:pPr>
        <w:pStyle w:val="Normal"/>
        <w:ind w:firstLineChars="200" w:startChars="0" w:start="0" w:endChars="0" w:end="0"/>
        <w:rPr>
          <w:rFonts w:cs="宋体;SimSun"/>
          <w:color w:val="000000"/>
        </w:rPr>
      </w:pPr>
      <w:r>
        <w:rPr>
          <w:rFonts w:hint="eastAsia" w:eastAsia="黑体;SimHei"/>
          <w:color w:val="000000"/>
        </w:rPr>
        <w:t>第一条</w:t>
      </w:r>
      <w:r>
        <w:rPr>
          <w:rFonts w:eastAsia="黑体;SimHei"/>
          <w:color w:val="000000"/>
        </w:rPr>
        <w:t xml:space="preserve"> </w:t>
      </w:r>
      <w:r>
        <w:rPr>
          <w:rFonts w:cs="宋体;SimSun"/>
          <w:color w:val="000000"/>
        </w:rPr>
        <w:t xml:space="preserve"> </w:t>
      </w:r>
      <w:r>
        <w:rPr>
          <w:rFonts w:cs="宋体;SimSun" w:hint="eastAsia"/>
          <w:color w:val="000000"/>
        </w:rPr>
        <w:t>为了节约资源，保护自然环境，促进绿色建筑发展，推动生态文明建设，根据《中华人民共和国建筑法》、《中华人民共和国节约能源法》、国务院《民用建筑节能条例》等法律、行政法规，结合本市实际，制定本条例。</w:t>
      </w:r>
    </w:p>
    <w:p>
      <w:pPr>
        <w:pStyle w:val="Normal"/>
        <w:ind w:firstLineChars="200" w:startChars="0" w:start="0" w:endChars="0" w:end="0"/>
        <w:rPr>
          <w:rFonts w:cs="宋体;SimSun"/>
          <w:color w:val="000000"/>
        </w:rPr>
      </w:pPr>
      <w:r>
        <w:rPr>
          <w:rFonts w:hint="eastAsia" w:eastAsia="黑体;SimHei"/>
          <w:color w:val="000000"/>
        </w:rPr>
        <w:t>第二条</w:t>
      </w:r>
      <w:r>
        <w:rPr>
          <w:rFonts w:cs="宋体;SimSun" w:hint="eastAsia"/>
          <w:color w:val="000000"/>
        </w:rPr>
        <w:t>　本条例适用于本市行政区域内绿色建筑的规划、建设、运营及其监督管理等活动。</w:t>
      </w:r>
    </w:p>
    <w:p>
      <w:pPr>
        <w:pStyle w:val="Normal"/>
        <w:ind w:firstLineChars="200" w:startChars="0" w:start="0" w:endChars="0" w:end="0"/>
        <w:rPr>
          <w:rFonts w:cs="宋体;SimSun"/>
          <w:color w:val="000000"/>
        </w:rPr>
      </w:pPr>
      <w:r>
        <w:rPr>
          <w:rFonts w:hint="eastAsia" w:eastAsia="黑体;SimHei"/>
          <w:color w:val="000000"/>
        </w:rPr>
        <w:t>第三条</w:t>
      </w:r>
      <w:r>
        <w:rPr>
          <w:rFonts w:cs="宋体;SimSun" w:hint="eastAsia"/>
          <w:color w:val="000000"/>
        </w:rPr>
        <w:t>　本条例所称绿色建筑，是指在建筑全寿命期限内，最大限度地节能、节水、节地、节材，保护环境和减少污染，为人们提供健康、适用、安全、高效的使用空间，与自然和谐共生的民用建筑。</w:t>
      </w:r>
    </w:p>
    <w:p>
      <w:pPr>
        <w:pStyle w:val="Normal"/>
        <w:ind w:firstLineChars="200" w:startChars="0" w:start="0" w:endChars="0" w:end="0"/>
        <w:rPr>
          <w:rFonts w:eastAsia="黑体;SimHei"/>
          <w:color w:val="000000"/>
        </w:rPr>
      </w:pPr>
      <w:r>
        <w:rPr>
          <w:rFonts w:hint="eastAsia" w:eastAsia="黑体;SimHei"/>
          <w:color w:val="000000"/>
        </w:rPr>
        <w:t>第四条</w:t>
      </w:r>
      <w:r>
        <w:rPr>
          <w:rFonts w:cs="宋体;SimSun"/>
          <w:color w:val="000000"/>
        </w:rPr>
        <w:t xml:space="preserve">  </w:t>
      </w:r>
      <w:r>
        <w:rPr>
          <w:rFonts w:cs="宋体;SimSun" w:hint="eastAsia"/>
          <w:color w:val="000000"/>
        </w:rPr>
        <w:t>绿色建筑发展应当遵循政府引导、市场推动，统筹规划、因地制宜，经济适用、安全高效的原则。</w:t>
      </w:r>
    </w:p>
    <w:p>
      <w:pPr>
        <w:pStyle w:val="Normal"/>
        <w:ind w:firstLineChars="200" w:startChars="0" w:start="0" w:endChars="0" w:end="0"/>
        <w:rPr>
          <w:rFonts w:cs="宋体;SimSun"/>
          <w:color w:val="000000"/>
        </w:rPr>
      </w:pPr>
      <w:r>
        <w:rPr>
          <w:rFonts w:hint="eastAsia" w:eastAsia="黑体;SimHei"/>
          <w:color w:val="000000"/>
        </w:rPr>
        <w:t>第五条</w:t>
      </w:r>
      <w:r>
        <w:rPr>
          <w:rFonts w:cs="宋体;SimSun" w:hint="eastAsia"/>
          <w:color w:val="000000"/>
        </w:rPr>
        <w:t>　市、县（市）区人民政府应当加强对绿色建筑发展工作的领导，建立和完善工作机制，推动绿色建筑的发展。</w:t>
      </w:r>
    </w:p>
    <w:p>
      <w:pPr>
        <w:pStyle w:val="Normal"/>
        <w:ind w:firstLineChars="200" w:startChars="0" w:start="0" w:endChars="0" w:end="0"/>
        <w:rPr>
          <w:rFonts w:eastAsia="黑体;SimHei"/>
          <w:color w:val="000000"/>
        </w:rPr>
      </w:pPr>
      <w:r>
        <w:rPr>
          <w:rFonts w:cs="宋体;SimSun" w:hint="eastAsia"/>
          <w:color w:val="000000"/>
        </w:rPr>
        <w:t>市、县（市）区人民政府应当将绿色建筑发展工作纳入国民经济和社会发展规划，积极支持绿色建筑产业，健全绿色建筑公共服务体系；制定绿色建筑激励政策，建立与绿色建筑发展水平相适应的财政支持机制；制订绿色建筑发展工作目标和考核指标，对绿色建筑发展目标完成情况进行考核评价。</w:t>
      </w:r>
    </w:p>
    <w:p>
      <w:pPr>
        <w:pStyle w:val="Normal"/>
        <w:ind w:firstLineChars="200" w:startChars="0" w:start="0" w:endChars="0" w:end="0"/>
        <w:rPr>
          <w:rFonts w:cs="宋体;SimSun"/>
          <w:color w:val="000000"/>
        </w:rPr>
      </w:pPr>
      <w:r>
        <w:rPr>
          <w:rFonts w:hint="eastAsia" w:eastAsia="黑体;SimHei"/>
          <w:color w:val="000000"/>
        </w:rPr>
        <w:t>第六条</w:t>
      </w:r>
      <w:r>
        <w:rPr>
          <w:rFonts w:cs="宋体;SimSun" w:hint="eastAsia"/>
          <w:color w:val="000000"/>
        </w:rPr>
        <w:t>　市、县（市）区人民政府城乡建设部门是绿色建筑发展工作的行政主管部门。</w:t>
      </w:r>
    </w:p>
    <w:p>
      <w:pPr>
        <w:pStyle w:val="Normal"/>
        <w:ind w:firstLineChars="200" w:startChars="0" w:start="0" w:endChars="0" w:end="0"/>
        <w:rPr>
          <w:rFonts w:cs="宋体;SimSun"/>
          <w:color w:val="000000"/>
        </w:rPr>
      </w:pPr>
      <w:r>
        <w:rPr>
          <w:rFonts w:cs="宋体;SimSun" w:hint="eastAsia"/>
          <w:color w:val="000000"/>
        </w:rPr>
        <w:t>市人民政府城乡建设行政主管部门负责绿色建筑发展工作的指导、监督和管理，制定绿色建筑发展的措施和绿色建筑相关的技术要求，建立全市统一的绿色建筑监督管理信息平台。</w:t>
      </w:r>
    </w:p>
    <w:p>
      <w:pPr>
        <w:pStyle w:val="Normal"/>
        <w:ind w:firstLineChars="200" w:startChars="0" w:start="0" w:endChars="0" w:end="0"/>
        <w:rPr>
          <w:rFonts w:cs="宋体;SimSun"/>
          <w:color w:val="000000"/>
        </w:rPr>
      </w:pPr>
      <w:r>
        <w:rPr>
          <w:rFonts w:cs="宋体;SimSun" w:hint="eastAsia"/>
          <w:color w:val="000000"/>
        </w:rPr>
        <w:t>县（市）区人民政府城乡建设行政主管部门依据职责分工，负责本辖区内绿色建筑发展工作的监督和管理。</w:t>
      </w:r>
    </w:p>
    <w:p>
      <w:pPr>
        <w:pStyle w:val="Normal"/>
        <w:ind w:firstLineChars="200" w:startChars="0" w:start="0" w:endChars="0" w:end="0"/>
        <w:rPr>
          <w:rFonts w:cs="宋体;SimSun"/>
          <w:color w:val="000000"/>
        </w:rPr>
      </w:pPr>
      <w:r>
        <w:rPr>
          <w:rFonts w:cs="宋体;SimSun" w:hint="eastAsia"/>
          <w:color w:val="000000"/>
        </w:rPr>
        <w:t>发展改革、规划、财政、经济和信息化、国土资源、房产、地震、水务、林业和园林、环境保护、统计、税务、公安消防等行政主管部门在各自职责范围内，共同做好绿色建筑发展工作。</w:t>
      </w:r>
    </w:p>
    <w:p>
      <w:pPr>
        <w:pStyle w:val="Normal"/>
        <w:ind w:firstLineChars="200" w:startChars="0" w:start="0" w:endChars="0" w:end="0"/>
        <w:rPr>
          <w:rFonts w:cs="宋体;SimSun"/>
          <w:color w:val="000000"/>
        </w:rPr>
      </w:pPr>
      <w:r>
        <w:rPr>
          <w:rFonts w:cs="宋体;SimSun" w:hint="eastAsia"/>
          <w:color w:val="000000"/>
        </w:rPr>
        <w:t>高新技术产业开发区、经济技术开发区、新站高新技术产业开发区、合肥巢湖经济开发区管理委员会应当按照市人民政府的要求做好本辖区绿色建筑发展工作。</w:t>
      </w:r>
    </w:p>
    <w:p>
      <w:pPr>
        <w:pStyle w:val="Normal"/>
        <w:ind w:firstLineChars="200" w:startChars="0" w:start="0" w:endChars="0" w:end="0"/>
        <w:rPr/>
      </w:pPr>
      <w:r>
        <w:rPr>
          <w:rFonts w:cs="宋体;SimSun" w:hint="eastAsia" w:eastAsia="黑体;SimHei"/>
          <w:color w:val="000000"/>
        </w:rPr>
        <w:t>第七条</w:t>
      </w:r>
      <w:r>
        <w:rPr>
          <w:rFonts w:cs="宋体;SimSun" w:hint="eastAsia"/>
          <w:color w:val="000000"/>
        </w:rPr>
        <w:t>　倡导绿色生活方式与行为节能，鼓励社会公众积极参与绿色建筑相关活动，监督绿色建筑活动中的违法行为。</w:t>
      </w:r>
    </w:p>
    <w:p>
      <w:pPr>
        <w:pStyle w:val="Normal"/>
        <w:ind w:firstLineChars="200" w:startChars="0" w:start="0" w:endChars="0" w:end="0"/>
        <w:rPr>
          <w:rFonts w:cs="宋体;SimSun" w:hint="eastAsia"/>
          <w:color w:val="000000"/>
        </w:rPr>
      </w:pPr>
      <w:r>
        <w:rPr>
          <w:rFonts w:cs="宋体;SimSun" w:hint="eastAsia"/>
          <w:color w:val="000000"/>
        </w:rPr>
      </w:r>
    </w:p>
    <w:p>
      <w:pPr>
        <w:pStyle w:val="Normal"/>
        <w:jc w:val="center"/>
        <w:rPr>
          <w:rFonts w:eastAsia="黑体;SimHei"/>
          <w:color w:val="FF00FF"/>
        </w:rPr>
      </w:pPr>
      <w:r>
        <w:rPr>
          <w:rFonts w:hint="eastAsia" w:eastAsia="黑体;SimHei"/>
          <w:color w:val="000000"/>
        </w:rPr>
        <w:t>第二章　规划与建设</w:t>
      </w:r>
    </w:p>
    <w:p>
      <w:pPr>
        <w:pStyle w:val="Normal"/>
        <w:ind w:firstLineChars="200" w:startChars="0" w:start="0" w:endChars="0" w:end="0"/>
        <w:rPr>
          <w:rFonts w:eastAsia="黑体;SimHei" w:hint="eastAsia"/>
          <w:color w:val="000000"/>
        </w:rPr>
      </w:pPr>
      <w:r>
        <w:rPr>
          <w:rFonts w:eastAsia="黑体;SimHei" w:hint="eastAsia"/>
          <w:color w:val="000000"/>
        </w:rPr>
      </w:r>
    </w:p>
    <w:p>
      <w:pPr>
        <w:pStyle w:val="Normal"/>
        <w:ind w:firstLineChars="200" w:startChars="0" w:start="0" w:endChars="0" w:end="0"/>
        <w:rPr>
          <w:rFonts w:cs="宋体;SimSun"/>
          <w:color w:val="000000"/>
        </w:rPr>
      </w:pPr>
      <w:r>
        <w:rPr>
          <w:rFonts w:hint="eastAsia" w:eastAsia="黑体;SimHei"/>
          <w:color w:val="000000"/>
        </w:rPr>
        <w:t>第八条</w:t>
      </w:r>
      <w:r>
        <w:rPr>
          <w:rFonts w:cs="宋体;SimSun" w:hint="eastAsia"/>
          <w:color w:val="000000"/>
        </w:rPr>
        <w:t>　市人民政府城乡建设行政主管部门应当依据国民经济社会发展规划，结合城市建设和经济发展的实际需要，组织编制本市绿色建筑发展规划，报市人民政府批准后实施。</w:t>
      </w:r>
    </w:p>
    <w:p>
      <w:pPr>
        <w:pStyle w:val="Normal"/>
        <w:ind w:firstLineChars="200" w:startChars="0" w:start="0" w:endChars="0" w:end="0"/>
        <w:rPr>
          <w:rFonts w:cs="宋体;SimSun"/>
          <w:color w:val="000000"/>
        </w:rPr>
      </w:pPr>
      <w:r>
        <w:rPr>
          <w:rFonts w:cs="宋体;SimSun" w:hint="eastAsia"/>
          <w:color w:val="000000"/>
        </w:rPr>
        <w:t>绿色建筑发展规划应当与生态环保、海绵城市建设、能源综合利用、水资源综合利用、固体废弃物综合利用、绿色交通和地下空间开发利用等专项规划相衔接。</w:t>
      </w:r>
    </w:p>
    <w:p>
      <w:pPr>
        <w:pStyle w:val="Normal"/>
        <w:ind w:firstLineChars="200" w:startChars="0" w:start="0" w:endChars="0" w:end="0"/>
        <w:rPr>
          <w:rFonts w:cs="宋体;SimSun"/>
          <w:color w:val="000000"/>
        </w:rPr>
      </w:pPr>
      <w:r>
        <w:rPr>
          <w:rFonts w:hint="eastAsia" w:eastAsia="黑体;SimHei"/>
          <w:color w:val="000000"/>
        </w:rPr>
        <w:t>第九条</w:t>
      </w:r>
      <w:r>
        <w:rPr>
          <w:rFonts w:cs="宋体;SimSun" w:hint="eastAsia"/>
          <w:color w:val="000000"/>
        </w:rPr>
        <w:t>　市、县（市）区人民政府规划主管部门应当将绿色建筑发展规划的相关要求纳入控制性详细规划，并在建设用地规划设计条件中明确绿色建筑等级和技术指标。</w:t>
      </w:r>
    </w:p>
    <w:p>
      <w:pPr>
        <w:pStyle w:val="Normal"/>
        <w:ind w:firstLineChars="200" w:startChars="0" w:start="0" w:endChars="0" w:end="0"/>
        <w:rPr>
          <w:rFonts w:cs="宋体;SimSun"/>
          <w:color w:val="000000"/>
          <w:spacing w:val="-4"/>
        </w:rPr>
      </w:pPr>
      <w:r>
        <w:rPr>
          <w:rFonts w:cs="宋体;SimSun" w:hint="eastAsia"/>
          <w:color w:val="000000"/>
          <w:spacing w:val="-4"/>
        </w:rPr>
        <w:t>国土资源行政主管部门在土地供应时，应当将建设用地规划条件或者选址意见书的要求以及绿色建筑等级和主要技术指标，纳入国有建设用地使用权出让合同或者国有建设用地划拨决定书。</w:t>
      </w:r>
    </w:p>
    <w:p>
      <w:pPr>
        <w:pStyle w:val="Normal"/>
        <w:ind w:firstLineChars="200" w:startChars="0" w:start="0" w:endChars="0" w:end="0"/>
        <w:rPr>
          <w:rFonts w:cs="宋体;SimSun"/>
          <w:color w:val="000000"/>
        </w:rPr>
      </w:pPr>
      <w:r>
        <w:rPr>
          <w:rFonts w:hint="eastAsia" w:eastAsia="黑体;SimHei"/>
          <w:color w:val="000000"/>
        </w:rPr>
        <w:t>第十条</w:t>
      </w:r>
      <w:r>
        <w:rPr>
          <w:rFonts w:cs="宋体;SimSun" w:hint="eastAsia"/>
          <w:color w:val="000000"/>
        </w:rPr>
        <w:t>　绿色建筑按照国家规定由低到高划分为一星、二星、三星三个等级。</w:t>
      </w:r>
    </w:p>
    <w:p>
      <w:pPr>
        <w:pStyle w:val="Normal"/>
        <w:ind w:firstLineChars="200" w:startChars="0" w:start="0" w:endChars="0" w:end="0"/>
        <w:rPr>
          <w:rFonts w:cs="宋体;SimSun"/>
          <w:color w:val="000000"/>
        </w:rPr>
      </w:pPr>
      <w:r>
        <w:rPr>
          <w:rFonts w:cs="宋体;SimSun" w:hint="eastAsia"/>
          <w:color w:val="000000"/>
        </w:rPr>
        <w:t>城镇总体规划确定的城镇建设用地范围内新建民用建筑应当按照一星级以上绿色建筑标准进行建设。其中，大型公共建筑、公共机构办公建筑和政府投资的其他公共建筑，应当按照二星级以上绿色建筑标准建设。</w:t>
      </w:r>
    </w:p>
    <w:p>
      <w:pPr>
        <w:pStyle w:val="Normal"/>
        <w:ind w:firstLineChars="200" w:startChars="0" w:start="0" w:endChars="0" w:end="0"/>
        <w:rPr>
          <w:rFonts w:cs="宋体;SimSun"/>
          <w:color w:val="000000"/>
        </w:rPr>
      </w:pPr>
      <w:r>
        <w:rPr>
          <w:rFonts w:cs="宋体;SimSun" w:hint="eastAsia"/>
          <w:color w:val="000000"/>
        </w:rPr>
        <w:t>绿色生态城区、重点功能区内的新建民用建筑，按照二星级以上绿色建筑标准建设应达到相应比例。</w:t>
      </w:r>
    </w:p>
    <w:p>
      <w:pPr>
        <w:pStyle w:val="Normal"/>
        <w:ind w:firstLineChars="200" w:startChars="0" w:start="0" w:endChars="0" w:end="0"/>
        <w:rPr>
          <w:rFonts w:cs="宋体;SimSun"/>
          <w:color w:val="000000"/>
        </w:rPr>
      </w:pPr>
      <w:r>
        <w:rPr>
          <w:rFonts w:cs="宋体;SimSun" w:hint="eastAsia"/>
          <w:color w:val="000000"/>
        </w:rPr>
        <w:t>鼓励其他公共建筑和居住建筑按照二星级以上绿色建筑标准进行建设。</w:t>
      </w:r>
    </w:p>
    <w:p>
      <w:pPr>
        <w:pStyle w:val="Normal"/>
        <w:ind w:firstLineChars="200" w:startChars="0" w:start="0" w:endChars="0" w:end="0"/>
        <w:rPr>
          <w:rFonts w:cs="宋体;SimSun"/>
          <w:color w:val="000000"/>
        </w:rPr>
      </w:pPr>
      <w:r>
        <w:rPr>
          <w:rFonts w:hint="eastAsia" w:eastAsia="黑体;SimHei"/>
          <w:color w:val="000000"/>
        </w:rPr>
        <w:t>第十一条</w:t>
      </w:r>
      <w:r>
        <w:rPr>
          <w:rFonts w:cs="宋体;SimSun" w:hint="eastAsia"/>
          <w:color w:val="000000"/>
        </w:rPr>
        <w:t>　建设工程项目可行性研究报告或者项目申请报告应当明确绿色建筑等级、绿色建筑技术、节能减排效益评价等内容。</w:t>
      </w:r>
    </w:p>
    <w:p>
      <w:pPr>
        <w:pStyle w:val="Normal"/>
        <w:ind w:firstLineChars="200" w:startChars="0" w:start="0" w:endChars="0" w:end="0"/>
        <w:rPr>
          <w:rFonts w:cs="宋体;SimSun"/>
          <w:color w:val="000000"/>
        </w:rPr>
      </w:pPr>
      <w:r>
        <w:rPr>
          <w:rFonts w:cs="宋体;SimSun" w:hint="eastAsia"/>
          <w:color w:val="000000"/>
        </w:rPr>
        <w:t>市、县（市）、区人民政府发展改革行政主管部门在固定资产投资项目节能评估和审查时，应当将绿色建筑等级和技术指标纳入评估和审查内容。</w:t>
      </w:r>
    </w:p>
    <w:p>
      <w:pPr>
        <w:pStyle w:val="Normal"/>
        <w:ind w:firstLineChars="200" w:startChars="0" w:start="0" w:endChars="0" w:end="0"/>
        <w:rPr>
          <w:rFonts w:cs="宋体;SimSun"/>
          <w:color w:val="000000"/>
        </w:rPr>
      </w:pPr>
      <w:r>
        <w:rPr>
          <w:rFonts w:hint="eastAsia" w:eastAsia="黑体;SimHei"/>
          <w:color w:val="000000"/>
        </w:rPr>
        <w:t>第十二条</w:t>
      </w:r>
      <w:r>
        <w:rPr>
          <w:rFonts w:hint="eastAsia" w:eastAsia="仿宋;宋体"/>
          <w:color w:val="000000"/>
        </w:rPr>
        <w:t>　</w:t>
      </w:r>
      <w:r>
        <w:rPr>
          <w:rFonts w:cs="宋体;SimSun" w:hint="eastAsia"/>
          <w:color w:val="000000"/>
        </w:rPr>
        <w:t>市、县（市）、区人民政府规划主管部门对民用建筑项目进行规划审查时，应当就建设工程设计方案是否符合绿色建筑等级和技术指标同步征求城乡建设行政主管部门的意见；城乡建设行政主管部门应当自收到征求意见材料之日起十个工作日内提出意见。</w:t>
      </w:r>
    </w:p>
    <w:p>
      <w:pPr>
        <w:pStyle w:val="Normal"/>
        <w:ind w:firstLineChars="200" w:startChars="0" w:start="0" w:endChars="0" w:end="0"/>
        <w:rPr>
          <w:rFonts w:cs="宋体;SimSun"/>
          <w:color w:val="000000"/>
        </w:rPr>
      </w:pPr>
      <w:r>
        <w:rPr>
          <w:rFonts w:cs="宋体;SimSun" w:hint="eastAsia"/>
          <w:color w:val="000000"/>
        </w:rPr>
        <w:t>应当执行绿色建筑标准的项目，不能满足绿色建筑强制性标准的，不得核发建设工程规划许可证。</w:t>
      </w:r>
    </w:p>
    <w:p>
      <w:pPr>
        <w:pStyle w:val="Normal"/>
        <w:ind w:firstLineChars="200" w:startChars="0" w:start="0" w:endChars="0" w:end="0"/>
        <w:rPr>
          <w:rFonts w:cs="宋体;SimSun"/>
          <w:color w:val="000000"/>
        </w:rPr>
      </w:pPr>
      <w:r>
        <w:rPr>
          <w:rFonts w:hint="eastAsia" w:eastAsia="黑体;SimHei"/>
          <w:color w:val="000000"/>
        </w:rPr>
        <w:t>第十三条</w:t>
      </w:r>
      <w:r>
        <w:rPr>
          <w:rFonts w:cs="宋体;SimSun" w:hint="eastAsia"/>
          <w:color w:val="000000"/>
        </w:rPr>
        <w:t>　建设单位在进行项目立项、设计招标或者委托设计时，应当明确绿色建筑等级和技术指标。</w:t>
      </w:r>
    </w:p>
    <w:p>
      <w:pPr>
        <w:pStyle w:val="Normal"/>
        <w:ind w:firstLineChars="200" w:startChars="0" w:start="0" w:endChars="0" w:end="0"/>
        <w:rPr>
          <w:rFonts w:cs="宋体;SimSun"/>
          <w:color w:val="000000"/>
        </w:rPr>
      </w:pPr>
      <w:r>
        <w:rPr>
          <w:rFonts w:cs="宋体;SimSun" w:hint="eastAsia"/>
          <w:color w:val="000000"/>
        </w:rPr>
        <w:t>建设单位不得明示或者暗示设计、施工、监理单位违反绿色建筑等级和技术指标进行设计、施工、监理。</w:t>
      </w:r>
    </w:p>
    <w:p>
      <w:pPr>
        <w:pStyle w:val="Normal"/>
        <w:ind w:firstLineChars="200" w:startChars="0" w:start="0" w:endChars="0" w:end="0"/>
        <w:rPr>
          <w:rFonts w:cs="宋体;SimSun"/>
          <w:color w:val="000000"/>
        </w:rPr>
      </w:pPr>
      <w:r>
        <w:rPr>
          <w:rFonts w:cs="宋体;SimSun" w:hint="eastAsia"/>
          <w:color w:val="000000"/>
        </w:rPr>
        <w:t>建设单位应当保证建设工程采用的建筑材料和设备、设施符合施工图设计文件要求。</w:t>
      </w:r>
    </w:p>
    <w:p>
      <w:pPr>
        <w:pStyle w:val="Normal"/>
        <w:ind w:firstLineChars="200" w:startChars="0" w:start="0" w:endChars="0" w:end="0"/>
        <w:rPr>
          <w:rFonts w:cs="宋体;SimSun"/>
          <w:color w:val="000000"/>
        </w:rPr>
      </w:pPr>
      <w:r>
        <w:rPr>
          <w:rFonts w:cs="宋体;SimSun" w:hint="eastAsia"/>
          <w:color w:val="000000"/>
        </w:rPr>
        <w:t>建设单位应当按照有关规定委托符合资质条件的工程质量检测机构，对进入施工现场的绿色建筑相关工程材料和设备进行见证取样检测，对建设工程进行现场实体检测。</w:t>
      </w:r>
    </w:p>
    <w:p>
      <w:pPr>
        <w:pStyle w:val="Normal"/>
        <w:ind w:firstLineChars="200" w:startChars="0" w:start="0" w:endChars="0" w:end="0"/>
        <w:rPr>
          <w:rFonts w:cs="宋体;SimSun"/>
          <w:color w:val="000000"/>
        </w:rPr>
      </w:pPr>
      <w:r>
        <w:rPr>
          <w:rFonts w:cs="宋体;SimSun" w:hint="eastAsia"/>
          <w:color w:val="000000"/>
        </w:rPr>
        <w:t>新建公共机构办公建筑和大型公共建筑，建设单位应当安装建筑用能分项计量及建筑能耗监测系统，设计单位应当在设计文件中明确相应的设计内容。</w:t>
      </w:r>
    </w:p>
    <w:p>
      <w:pPr>
        <w:pStyle w:val="Normal"/>
        <w:ind w:firstLineChars="200" w:startChars="0" w:start="0" w:endChars="0" w:end="0"/>
        <w:rPr>
          <w:rFonts w:cs="宋体;SimSun"/>
          <w:color w:val="000000"/>
        </w:rPr>
      </w:pPr>
      <w:r>
        <w:rPr>
          <w:rFonts w:hint="eastAsia" w:eastAsia="黑体;SimHei"/>
          <w:color w:val="000000"/>
        </w:rPr>
        <w:t>第十四条</w:t>
      </w:r>
      <w:r>
        <w:rPr>
          <w:rFonts w:cs="宋体;SimSun" w:hint="eastAsia"/>
          <w:color w:val="000000"/>
        </w:rPr>
        <w:t>　设计单位应当按照绿色建筑等级和技术指标进行设计，明确建筑材料、设备和产品的技术指标以及采取的绿色建筑技术等；建设工程的方案设计、初步设计、施工图设计等文件应当包含绿色建筑专篇。</w:t>
      </w:r>
    </w:p>
    <w:p>
      <w:pPr>
        <w:pStyle w:val="Normal"/>
        <w:ind w:firstLineChars="200" w:startChars="0" w:start="0" w:endChars="0" w:end="0"/>
        <w:rPr>
          <w:rFonts w:cs="宋体;SimSun"/>
          <w:color w:val="000000"/>
        </w:rPr>
      </w:pPr>
      <w:r>
        <w:rPr>
          <w:rFonts w:cs="宋体;SimSun" w:hint="eastAsia"/>
          <w:color w:val="000000"/>
        </w:rPr>
        <w:t>施工图设计文件审查机构应当依法对建设工程施工图设计文件中的绿色建筑设计内容进行审查，未达到绿色建筑要求的，不得出具施工图审查合格证书。</w:t>
      </w:r>
    </w:p>
    <w:p>
      <w:pPr>
        <w:pStyle w:val="Normal"/>
        <w:ind w:firstLineChars="200" w:startChars="0" w:start="0" w:endChars="0" w:end="0"/>
        <w:rPr>
          <w:rFonts w:cs="宋体;SimSun"/>
          <w:color w:val="000000"/>
        </w:rPr>
      </w:pPr>
      <w:r>
        <w:rPr>
          <w:rFonts w:cs="宋体;SimSun" w:hint="eastAsia"/>
          <w:color w:val="000000"/>
        </w:rPr>
        <w:t>施工图设计文件中的绿色建筑设计内容经审查通过后，建设单位不得擅自变更；确需变更的，应当按照原审查程序重新审查。</w:t>
      </w:r>
    </w:p>
    <w:p>
      <w:pPr>
        <w:pStyle w:val="Normal"/>
        <w:ind w:firstLineChars="200" w:startChars="0" w:start="0" w:endChars="0" w:end="0"/>
        <w:rPr>
          <w:rFonts w:cs="宋体;SimSun"/>
          <w:color w:val="000000"/>
        </w:rPr>
      </w:pPr>
      <w:r>
        <w:rPr>
          <w:rFonts w:hint="eastAsia" w:eastAsia="黑体;SimHei"/>
          <w:color w:val="000000"/>
        </w:rPr>
        <w:t>第十五条</w:t>
      </w:r>
      <w:r>
        <w:rPr>
          <w:rFonts w:cs="宋体;SimSun" w:hint="eastAsia"/>
          <w:color w:val="000000"/>
        </w:rPr>
        <w:t>　施工单位应当按照施工图设计文件和有关施工技术规范编制绿色建筑专项施工方案并组织实施。</w:t>
      </w:r>
    </w:p>
    <w:p>
      <w:pPr>
        <w:pStyle w:val="Normal"/>
        <w:ind w:firstLineChars="200" w:startChars="0" w:start="0" w:endChars="0" w:end="0"/>
        <w:rPr>
          <w:rFonts w:cs="宋体;SimSun"/>
          <w:color w:val="000000"/>
        </w:rPr>
      </w:pPr>
      <w:r>
        <w:rPr>
          <w:rFonts w:cs="宋体;SimSun" w:hint="eastAsia"/>
          <w:color w:val="000000"/>
        </w:rPr>
        <w:t>施工单位应当在施工中采取降低施工能耗、水耗，减少废弃物排放，减少噪声污染和防治扬尘等节能减排和环境保护措施。</w:t>
      </w:r>
    </w:p>
    <w:p>
      <w:pPr>
        <w:pStyle w:val="Normal"/>
        <w:ind w:firstLineChars="200" w:startChars="0" w:start="0" w:endChars="0" w:end="0"/>
        <w:rPr>
          <w:rFonts w:cs="宋体;SimSun"/>
          <w:color w:val="000000"/>
        </w:rPr>
      </w:pPr>
      <w:r>
        <w:rPr>
          <w:rFonts w:cs="宋体;SimSun" w:hint="eastAsia"/>
          <w:color w:val="000000"/>
        </w:rPr>
        <w:t>施工单位应当对施工现场的墙体材料、保温材料、节能门窗、供暖制冷系统、照明设备、节水器具等进行查验；未经查验或者查验不合格的，不得使用。</w:t>
      </w:r>
    </w:p>
    <w:p>
      <w:pPr>
        <w:pStyle w:val="Normal"/>
        <w:ind w:firstLineChars="200" w:startChars="0" w:start="0" w:endChars="0" w:end="0"/>
        <w:rPr>
          <w:rFonts w:cs="宋体;SimSun"/>
          <w:color w:val="000000"/>
        </w:rPr>
      </w:pPr>
      <w:r>
        <w:rPr>
          <w:rFonts w:cs="宋体;SimSun" w:hint="eastAsia"/>
          <w:color w:val="000000"/>
        </w:rPr>
        <w:t>监理单位应当制定绿色建筑专项监理实施细则并实施监理。</w:t>
      </w:r>
    </w:p>
    <w:p>
      <w:pPr>
        <w:pStyle w:val="Normal"/>
        <w:ind w:firstLineChars="200" w:startChars="0" w:start="0" w:endChars="0" w:end="0"/>
        <w:rPr>
          <w:rFonts w:cs="宋体;SimSun"/>
          <w:color w:val="000000"/>
        </w:rPr>
      </w:pPr>
      <w:r>
        <w:rPr>
          <w:rFonts w:hint="eastAsia" w:eastAsia="黑体;SimHei"/>
          <w:color w:val="000000"/>
        </w:rPr>
        <w:t>第十六条</w:t>
      </w:r>
      <w:r>
        <w:rPr>
          <w:rFonts w:cs="宋体;SimSun" w:hint="eastAsia"/>
          <w:color w:val="000000"/>
        </w:rPr>
        <w:t>　建设单位在组织工程竣工验收时，应当严格执行按图施工的规定，对建设项目是否符合绿色建筑标准进行专项查验，并在竣工验收报告中载明绿色建筑设计文件的实施情况。新建住宅工程应当按照分户验收管理规定实行验收。</w:t>
      </w:r>
    </w:p>
    <w:p>
      <w:pPr>
        <w:pStyle w:val="Normal"/>
        <w:ind w:firstLineChars="200" w:startChars="0" w:start="0" w:endChars="0" w:end="0"/>
        <w:rPr>
          <w:rFonts w:cs="宋体;SimSun"/>
          <w:color w:val="000000"/>
        </w:rPr>
      </w:pPr>
      <w:r>
        <w:rPr>
          <w:rFonts w:cs="宋体;SimSun" w:hint="eastAsia"/>
          <w:color w:val="000000"/>
        </w:rPr>
        <w:t>新建二星级以上的绿色建筑项目，建设单位应当委托具备法定资质条件的建筑能效测评机构进行能效测评。</w:t>
      </w:r>
    </w:p>
    <w:p>
      <w:pPr>
        <w:pStyle w:val="Normal"/>
        <w:ind w:firstLineChars="200" w:startChars="0" w:start="0" w:endChars="0" w:end="0"/>
        <w:rPr>
          <w:rFonts w:cs="宋体;SimSun"/>
          <w:color w:val="000000"/>
        </w:rPr>
      </w:pPr>
      <w:r>
        <w:rPr>
          <w:rFonts w:cs="宋体;SimSun" w:hint="eastAsia"/>
          <w:color w:val="000000"/>
        </w:rPr>
        <w:t>绿色建筑专项查验不合格或者建筑能效测评不符合设计要求的，不得通过竣工验收，市、县（市）区人民政府城乡建设行政主管部门不得予以竣工验收备案。</w:t>
      </w:r>
    </w:p>
    <w:p>
      <w:pPr>
        <w:pStyle w:val="Normal"/>
        <w:ind w:firstLineChars="200" w:startChars="0" w:start="0" w:endChars="0" w:end="0"/>
        <w:rPr>
          <w:rFonts w:cs="宋体;SimSun"/>
          <w:color w:val="000000"/>
        </w:rPr>
      </w:pPr>
      <w:r>
        <w:rPr>
          <w:rFonts w:hint="eastAsia" w:eastAsia="黑体;SimHei"/>
          <w:color w:val="000000"/>
        </w:rPr>
        <w:t>第十七条</w:t>
      </w:r>
      <w:r>
        <w:rPr>
          <w:rFonts w:cs="宋体;SimSun" w:hint="eastAsia"/>
          <w:color w:val="000000"/>
        </w:rPr>
        <w:t>　从事节能检测和建筑能效测评的机构应当依法具备相应资质，并按照绿色建筑等级和技术指标开展检测、测评。</w:t>
      </w:r>
    </w:p>
    <w:p>
      <w:pPr>
        <w:pStyle w:val="Normal"/>
        <w:ind w:firstLineChars="200" w:startChars="0" w:start="0" w:endChars="0" w:end="0"/>
        <w:rPr>
          <w:rFonts w:cs="宋体;SimSun"/>
          <w:color w:val="000000"/>
        </w:rPr>
      </w:pPr>
      <w:r>
        <w:rPr>
          <w:rFonts w:cs="宋体;SimSun" w:hint="eastAsia"/>
          <w:color w:val="000000"/>
        </w:rPr>
        <w:t>从事节能检测和建筑能效测评的机构以及有关责任人员不得出具虚假或者严重失实的节能检测、建筑能效测评报告。</w:t>
      </w:r>
    </w:p>
    <w:p>
      <w:pPr>
        <w:pStyle w:val="Normal"/>
        <w:ind w:firstLineChars="200" w:startChars="0" w:start="0" w:endChars="0" w:end="0"/>
        <w:rPr>
          <w:rFonts w:eastAsia="黑体;SimHei"/>
          <w:color w:val="000000"/>
        </w:rPr>
      </w:pPr>
      <w:r>
        <w:rPr>
          <w:rFonts w:hint="eastAsia" w:eastAsia="黑体;SimHei"/>
          <w:color w:val="000000"/>
        </w:rPr>
        <w:t>第十八条</w:t>
      </w:r>
      <w:r>
        <w:rPr>
          <w:rFonts w:hint="eastAsia" w:eastAsia="仿宋;宋体"/>
          <w:color w:val="000000"/>
        </w:rPr>
        <w:t>　</w:t>
      </w:r>
      <w:r>
        <w:rPr>
          <w:rFonts w:cs="宋体;SimSun" w:hint="eastAsia"/>
          <w:color w:val="000000"/>
        </w:rPr>
        <w:t>建设单位应当在建设项目施工和销售现场，明示该项目的绿色建筑等级、技术指标、技术措施、保护要求、保修期限等内容，并在销售合同、质量保证书和使用说明书中载明。</w:t>
      </w:r>
    </w:p>
    <w:p>
      <w:pPr>
        <w:pStyle w:val="Normal"/>
        <w:ind w:firstLineChars="200" w:startChars="0" w:start="0" w:endChars="0" w:end="0"/>
        <w:rPr>
          <w:rFonts w:cs="宋体;SimSun"/>
          <w:color w:val="000000"/>
        </w:rPr>
      </w:pPr>
      <w:r>
        <w:rPr>
          <w:rFonts w:hint="eastAsia" w:eastAsia="黑体;SimHei"/>
          <w:color w:val="000000"/>
        </w:rPr>
        <w:t>第十九条</w:t>
      </w:r>
      <w:r>
        <w:rPr>
          <w:rFonts w:cs="宋体;SimSun" w:hint="eastAsia"/>
          <w:color w:val="000000"/>
        </w:rPr>
        <w:t>　建筑材料和设备供应商不得向建设工程提供不合格的绿色建筑相关产品。在销售产品的同时，应当提供有效的产品质量保证书和产品使用说明书，有环境指标检验报告或者型式检验报告要求的产品，还应当提供环境指标检验报告或者型式检验报告。</w:t>
      </w:r>
    </w:p>
    <w:p>
      <w:pPr>
        <w:pStyle w:val="Normal"/>
        <w:ind w:firstLineChars="200" w:startChars="0" w:start="0" w:endChars="0" w:end="0"/>
        <w:rPr>
          <w:rFonts w:cs="宋体;SimSun"/>
          <w:color w:val="000000"/>
        </w:rPr>
      </w:pPr>
      <w:r>
        <w:rPr>
          <w:rFonts w:cs="宋体;SimSun" w:hint="eastAsia"/>
          <w:color w:val="000000"/>
        </w:rPr>
        <w:t>绿色建筑材料和设备应当有企业名称、产品名称、执行标准、生产日期以及质量保证期、地址等信息标识。</w:t>
      </w:r>
    </w:p>
    <w:p>
      <w:pPr>
        <w:pStyle w:val="Normal"/>
        <w:ind w:firstLineChars="200" w:startChars="0" w:start="0" w:endChars="0" w:end="0"/>
        <w:rPr>
          <w:rFonts w:cs="宋体;SimSun"/>
          <w:color w:val="000000"/>
        </w:rPr>
      </w:pPr>
      <w:r>
        <w:rPr>
          <w:rFonts w:hint="eastAsia" w:eastAsia="黑体;SimHei"/>
          <w:color w:val="000000"/>
        </w:rPr>
        <w:t>第二十条</w:t>
      </w:r>
      <w:r>
        <w:rPr>
          <w:rFonts w:cs="宋体;SimSun" w:hint="eastAsia"/>
          <w:color w:val="000000"/>
        </w:rPr>
        <w:t>　市、县（市）区人民政府城乡建设行政主管部门应当将绿色建筑的要求纳入建设工程质量和安全监督管理体系，依据相关法律、法规和标准，对建筑实体质量和建设工程各参与单位的行为实施监督。</w:t>
      </w:r>
    </w:p>
    <w:p>
      <w:pPr>
        <w:pStyle w:val="Normal"/>
        <w:ind w:firstLineChars="200" w:startChars="0" w:start="0" w:endChars="0" w:end="0"/>
        <w:rPr/>
      </w:pPr>
      <w:r>
        <w:rPr>
          <w:rFonts w:hint="eastAsia" w:eastAsia="黑体;SimHei"/>
          <w:color w:val="000000"/>
        </w:rPr>
        <w:t>第二十一条</w:t>
      </w:r>
      <w:r>
        <w:rPr>
          <w:rFonts w:cs="宋体;SimSun"/>
          <w:color w:val="000000"/>
        </w:rPr>
        <w:t xml:space="preserve">  </w:t>
      </w:r>
      <w:r>
        <w:rPr>
          <w:rFonts w:cs="宋体;SimSun" w:hint="eastAsia"/>
          <w:color w:val="000000"/>
        </w:rPr>
        <w:t>市、县（市）区人民政府质量技术监督行政主管部门和工商行政管理部门应当加强绿色建筑材料和产品的生产、销售环节的监管，依法查处假冒伪劣、无名称、无厂名、无厂址等不合格的建筑材料与产品。</w:t>
      </w:r>
    </w:p>
    <w:p>
      <w:pPr>
        <w:pStyle w:val="Normal"/>
        <w:ind w:firstLineChars="200" w:startChars="0" w:start="0" w:endChars="0" w:end="0"/>
        <w:rPr>
          <w:rFonts w:cs="宋体;SimSun" w:hint="eastAsia"/>
          <w:color w:val="000000"/>
        </w:rPr>
      </w:pPr>
      <w:r>
        <w:rPr>
          <w:rFonts w:cs="宋体;SimSun" w:hint="eastAsia"/>
          <w:color w:val="000000"/>
        </w:rPr>
      </w:r>
    </w:p>
    <w:p>
      <w:pPr>
        <w:pStyle w:val="Normal"/>
        <w:jc w:val="center"/>
        <w:rPr>
          <w:rFonts w:eastAsia="黑体;SimHei"/>
          <w:color w:val="000000"/>
        </w:rPr>
      </w:pPr>
      <w:r>
        <w:rPr>
          <w:rFonts w:hint="eastAsia" w:eastAsia="黑体;SimHei"/>
          <w:color w:val="000000"/>
        </w:rPr>
        <w:t>第三章</w:t>
      </w:r>
      <w:r>
        <w:rPr>
          <w:rFonts w:eastAsia="黑体;SimHei"/>
          <w:color w:val="000000"/>
        </w:rPr>
        <w:t xml:space="preserve">  </w:t>
      </w:r>
      <w:r>
        <w:rPr>
          <w:rFonts w:hint="eastAsia" w:eastAsia="黑体;SimHei"/>
          <w:color w:val="000000"/>
        </w:rPr>
        <w:t>运营与改造</w:t>
      </w:r>
    </w:p>
    <w:p>
      <w:pPr>
        <w:pStyle w:val="Normal"/>
        <w:ind w:firstLineChars="200" w:startChars="0" w:start="0" w:endChars="0" w:end="0"/>
        <w:rPr>
          <w:rFonts w:eastAsia="黑体;SimHei" w:hint="eastAsia"/>
          <w:color w:val="000000"/>
        </w:rPr>
      </w:pPr>
      <w:r>
        <w:rPr>
          <w:rFonts w:eastAsia="黑体;SimHei" w:hint="eastAsia"/>
          <w:color w:val="000000"/>
        </w:rPr>
      </w:r>
    </w:p>
    <w:p>
      <w:pPr>
        <w:pStyle w:val="Normal"/>
        <w:ind w:firstLineChars="200" w:startChars="0" w:start="0" w:endChars="0" w:end="0"/>
        <w:rPr>
          <w:color w:val="000000"/>
        </w:rPr>
      </w:pPr>
      <w:r>
        <w:rPr>
          <w:rFonts w:hint="eastAsia" w:eastAsia="黑体;SimHei"/>
          <w:color w:val="000000"/>
        </w:rPr>
        <w:t>第二十二条</w:t>
      </w:r>
      <w:r>
        <w:rPr>
          <w:color w:val="000000"/>
        </w:rPr>
        <w:t xml:space="preserve">  </w:t>
      </w:r>
      <w:r>
        <w:rPr>
          <w:rFonts w:hint="eastAsia"/>
          <w:color w:val="000000"/>
        </w:rPr>
        <w:t>绿色建筑的运营应当符合下列要求：</w:t>
      </w:r>
    </w:p>
    <w:p>
      <w:pPr>
        <w:pStyle w:val="Normal"/>
        <w:ind w:firstLineChars="200" w:startChars="0" w:start="0" w:endChars="0" w:end="0"/>
        <w:rPr>
          <w:color w:val="000000"/>
        </w:rPr>
      </w:pPr>
      <w:r>
        <w:rPr>
          <w:rFonts w:hint="eastAsia"/>
          <w:color w:val="000000"/>
        </w:rPr>
        <w:t>（一）节能、节水、室内外环境维护等管理制度完备；</w:t>
      </w:r>
    </w:p>
    <w:p>
      <w:pPr>
        <w:pStyle w:val="Normal"/>
        <w:ind w:firstLineChars="200" w:startChars="0" w:start="0" w:endChars="0" w:end="0"/>
        <w:rPr>
          <w:color w:val="000000"/>
        </w:rPr>
      </w:pPr>
      <w:r>
        <w:rPr>
          <w:rFonts w:hint="eastAsia"/>
          <w:color w:val="000000"/>
        </w:rPr>
        <w:t>（二）节能、节水和建筑用能分项计量及建筑能耗实时监测设备等设施运行正常；</w:t>
      </w:r>
    </w:p>
    <w:p>
      <w:pPr>
        <w:pStyle w:val="Normal"/>
        <w:ind w:firstLineChars="200" w:startChars="0" w:start="0" w:endChars="0" w:end="0"/>
        <w:rPr>
          <w:color w:val="000000"/>
        </w:rPr>
      </w:pPr>
      <w:r>
        <w:rPr>
          <w:rFonts w:hint="eastAsia"/>
          <w:color w:val="000000"/>
        </w:rPr>
        <w:t>（三）供暖、通风、空调、照明等设备的自动监控系统运行正常，空调使用符合国家规定的温度控制标准；</w:t>
      </w:r>
    </w:p>
    <w:p>
      <w:pPr>
        <w:pStyle w:val="Normal"/>
        <w:ind w:firstLineChars="200" w:startChars="0" w:start="0" w:endChars="0" w:end="0"/>
        <w:rPr>
          <w:color w:val="000000"/>
        </w:rPr>
      </w:pPr>
      <w:r>
        <w:rPr>
          <w:rFonts w:hint="eastAsia"/>
          <w:color w:val="000000"/>
        </w:rPr>
        <w:t>（四）废气、污水等污染物达标排放；</w:t>
      </w:r>
    </w:p>
    <w:p>
      <w:pPr>
        <w:pStyle w:val="Normal"/>
        <w:ind w:firstLineChars="200" w:startChars="0" w:start="0" w:endChars="0" w:end="0"/>
        <w:rPr>
          <w:color w:val="000000"/>
        </w:rPr>
      </w:pPr>
      <w:r>
        <w:rPr>
          <w:rFonts w:hint="eastAsia"/>
          <w:color w:val="000000"/>
        </w:rPr>
        <w:t>（</w:t>
      </w:r>
      <w:r>
        <w:rPr>
          <w:rFonts w:cs="宋体;SimSun" w:hint="eastAsia"/>
          <w:color w:val="000000"/>
        </w:rPr>
        <w:t>五</w:t>
      </w:r>
      <w:r>
        <w:rPr>
          <w:rFonts w:cs="Malgun Gothic Semilight" w:hint="eastAsia"/>
          <w:color w:val="000000"/>
        </w:rPr>
        <w:t>）</w:t>
      </w:r>
      <w:r>
        <w:rPr>
          <w:rFonts w:cs="宋体;SimSun" w:hint="eastAsia"/>
          <w:color w:val="000000"/>
        </w:rPr>
        <w:t>垃圾收集容器规范设置</w:t>
      </w:r>
      <w:r>
        <w:rPr>
          <w:rFonts w:cs="Malgun Gothic Semilight" w:hint="eastAsia"/>
          <w:color w:val="000000"/>
        </w:rPr>
        <w:t>，</w:t>
      </w:r>
      <w:r>
        <w:rPr>
          <w:rFonts w:cs="宋体;SimSun" w:hint="eastAsia"/>
          <w:color w:val="000000"/>
        </w:rPr>
        <w:t>分类收集生活垃圾</w:t>
      </w:r>
      <w:r>
        <w:rPr>
          <w:rFonts w:hint="eastAsia"/>
          <w:color w:val="000000"/>
        </w:rPr>
        <w:t>。</w:t>
      </w:r>
    </w:p>
    <w:p>
      <w:pPr>
        <w:pStyle w:val="Normal"/>
        <w:ind w:firstLineChars="200" w:startChars="0" w:start="0" w:endChars="0" w:end="0"/>
        <w:rPr>
          <w:color w:val="000000"/>
        </w:rPr>
      </w:pPr>
      <w:r>
        <w:rPr>
          <w:rFonts w:hint="eastAsia" w:eastAsia="黑体;SimHei"/>
          <w:color w:val="000000"/>
        </w:rPr>
        <w:t>第二十三条</w:t>
      </w:r>
      <w:r>
        <w:rPr>
          <w:rFonts w:hint="eastAsia"/>
          <w:color w:val="000000"/>
        </w:rPr>
        <w:t>　建筑物</w:t>
      </w:r>
      <w:r>
        <w:rPr>
          <w:rFonts w:cs="宋体;SimSun" w:hint="eastAsia"/>
          <w:color w:val="000000"/>
        </w:rPr>
        <w:t>所有权人或者使用权人与物业服务企业签订物业服务合同时</w:t>
      </w:r>
      <w:r>
        <w:rPr>
          <w:rFonts w:cs="Malgun Gothic Semilight" w:hint="eastAsia"/>
          <w:color w:val="000000"/>
        </w:rPr>
        <w:t>，</w:t>
      </w:r>
      <w:r>
        <w:rPr>
          <w:rFonts w:cs="宋体;SimSun" w:hint="eastAsia"/>
          <w:color w:val="000000"/>
        </w:rPr>
        <w:t>可以</w:t>
      </w:r>
      <w:r>
        <w:rPr>
          <w:rFonts w:hint="eastAsia"/>
          <w:color w:val="000000"/>
        </w:rPr>
        <w:t>约定</w:t>
      </w:r>
      <w:r>
        <w:rPr>
          <w:rFonts w:cs="宋体;SimSun" w:hint="eastAsia"/>
          <w:color w:val="000000"/>
        </w:rPr>
        <w:t>载明符合绿色建筑特点的物业管理内容</w:t>
      </w:r>
      <w:r>
        <w:rPr>
          <w:rFonts w:cs="Malgun Gothic Semilight" w:hint="eastAsia"/>
          <w:color w:val="000000"/>
        </w:rPr>
        <w:t>，</w:t>
      </w:r>
      <w:r>
        <w:rPr>
          <w:rFonts w:cs="宋体;SimSun" w:hint="eastAsia"/>
          <w:color w:val="000000"/>
        </w:rPr>
        <w:t>并做好建筑物的围护结构</w:t>
      </w:r>
      <w:r>
        <w:rPr>
          <w:rFonts w:cs="Malgun Gothic Semilight" w:hint="eastAsia"/>
          <w:color w:val="000000"/>
        </w:rPr>
        <w:t>、</w:t>
      </w:r>
      <w:r>
        <w:rPr>
          <w:rFonts w:cs="宋体;SimSun" w:hint="eastAsia"/>
          <w:color w:val="000000"/>
        </w:rPr>
        <w:t>用能设备</w:t>
      </w:r>
      <w:r>
        <w:rPr>
          <w:rFonts w:cs="Malgun Gothic Semilight" w:hint="eastAsia"/>
          <w:color w:val="000000"/>
        </w:rPr>
        <w:t>、</w:t>
      </w:r>
      <w:r>
        <w:rPr>
          <w:rFonts w:cs="宋体;SimSun" w:hint="eastAsia"/>
          <w:color w:val="000000"/>
        </w:rPr>
        <w:t>可再生能源设备等日常维护工作</w:t>
      </w:r>
      <w:r>
        <w:rPr>
          <w:rFonts w:hint="eastAsia"/>
          <w:color w:val="000000"/>
        </w:rPr>
        <w:t>。</w:t>
      </w:r>
    </w:p>
    <w:p>
      <w:pPr>
        <w:pStyle w:val="Normal"/>
        <w:ind w:firstLineChars="200" w:startChars="0" w:start="0" w:endChars="0" w:end="0"/>
        <w:rPr>
          <w:rFonts w:eastAsia="仿宋;宋体"/>
          <w:color w:val="000000"/>
        </w:rPr>
      </w:pPr>
      <w:r>
        <w:rPr>
          <w:rFonts w:hint="eastAsia" w:eastAsia="黑体;SimHei"/>
          <w:color w:val="000000"/>
        </w:rPr>
        <w:t>第二十四条</w:t>
      </w:r>
      <w:r>
        <w:rPr>
          <w:rFonts w:hint="eastAsia"/>
          <w:color w:val="000000"/>
        </w:rPr>
        <w:t>　市、县（市）区人民政府城乡建设行政主管部门应当会同有关部门建立民用建筑能耗统计、能源审计、能效公示等制度，建立市级建筑能耗监测平台，实施建筑能耗动态监测，实现信息共享。</w:t>
      </w:r>
    </w:p>
    <w:p>
      <w:pPr>
        <w:pStyle w:val="Normal"/>
        <w:ind w:firstLineChars="200" w:startChars="0" w:start="0" w:endChars="0" w:end="0"/>
        <w:rPr>
          <w:color w:val="000000"/>
        </w:rPr>
      </w:pPr>
      <w:r>
        <w:rPr>
          <w:rFonts w:hint="eastAsia" w:eastAsia="黑体;SimHei"/>
          <w:color w:val="000000"/>
        </w:rPr>
        <w:t>第二十五条　</w:t>
      </w:r>
      <w:r>
        <w:rPr>
          <w:rFonts w:hint="eastAsia"/>
          <w:color w:val="000000"/>
        </w:rPr>
        <w:t>建筑能耗监测系统应当与建筑智能化系统统一设计、同步安装。</w:t>
      </w:r>
    </w:p>
    <w:p>
      <w:pPr>
        <w:pStyle w:val="Normal"/>
        <w:ind w:firstLineChars="200" w:startChars="0" w:start="0" w:endChars="0" w:end="0"/>
        <w:rPr>
          <w:color w:val="000000"/>
        </w:rPr>
      </w:pPr>
      <w:r>
        <w:rPr>
          <w:rFonts w:hint="eastAsia"/>
          <w:color w:val="000000"/>
        </w:rPr>
        <w:t>安装建筑用能分项计量装置和建筑能耗监测系统的民用建筑，其所有权人或者使用权人应当将有关能耗数据传输至市级建筑能耗监测平台。</w:t>
      </w:r>
    </w:p>
    <w:p>
      <w:pPr>
        <w:pStyle w:val="Normal"/>
        <w:ind w:firstLineChars="200" w:startChars="0" w:start="0" w:endChars="0" w:end="0"/>
        <w:rPr>
          <w:color w:val="000000"/>
        </w:rPr>
      </w:pPr>
      <w:r>
        <w:rPr>
          <w:rFonts w:hint="eastAsia"/>
          <w:color w:val="000000"/>
        </w:rPr>
        <w:t>供电、供气、供水、供热等单位以及未安装建筑用能分项计量及建筑能耗监测系统的公共建筑所有权人，应当在每年三月三十一日前将上一年度民用建筑能耗数据报送所在地城乡建设行政主管部门。</w:t>
      </w:r>
    </w:p>
    <w:p>
      <w:pPr>
        <w:pStyle w:val="Normal"/>
        <w:ind w:firstLineChars="200" w:startChars="0" w:start="0" w:endChars="0" w:end="0"/>
        <w:rPr>
          <w:color w:val="000000"/>
        </w:rPr>
      </w:pPr>
      <w:r>
        <w:rPr>
          <w:rFonts w:hint="eastAsia" w:eastAsia="黑体;SimHei"/>
          <w:color w:val="000000"/>
        </w:rPr>
        <w:t>第二十六条</w:t>
      </w:r>
      <w:r>
        <w:rPr>
          <w:rFonts w:hint="eastAsia"/>
          <w:color w:val="000000"/>
        </w:rPr>
        <w:t>　鼓励建筑节能服务机构为建筑的运营和民用建筑节能改造提供合同能源管理服务。</w:t>
      </w:r>
    </w:p>
    <w:p>
      <w:pPr>
        <w:pStyle w:val="Normal"/>
        <w:ind w:firstLineChars="200" w:startChars="0" w:start="0" w:endChars="0" w:end="0"/>
        <w:rPr>
          <w:color w:val="000000"/>
        </w:rPr>
      </w:pPr>
      <w:r>
        <w:rPr>
          <w:rFonts w:hint="eastAsia"/>
          <w:color w:val="000000"/>
        </w:rPr>
        <w:t>公共机构办公建筑应当逐步采用合同能源管理模式进行改造，改造后节约的能耗资金，可以按照合同约定用于支付节能服务机构的服务费用。</w:t>
      </w:r>
    </w:p>
    <w:p>
      <w:pPr>
        <w:pStyle w:val="Normal"/>
        <w:ind w:firstLineChars="200" w:startChars="0" w:start="0" w:endChars="0" w:end="0"/>
        <w:rPr>
          <w:color w:val="000000"/>
        </w:rPr>
      </w:pPr>
      <w:r>
        <w:rPr>
          <w:rFonts w:hint="eastAsia" w:eastAsia="黑体;SimHei"/>
          <w:color w:val="000000"/>
        </w:rPr>
        <w:t>第二十七条　</w:t>
      </w:r>
      <w:r>
        <w:rPr>
          <w:rFonts w:hint="eastAsia"/>
          <w:color w:val="000000"/>
        </w:rPr>
        <w:t>市、县（市）区人民政府城乡建设行政主管部门应当会同发展改革、财政、房产、统计等有关行政主管部门以及机关事务管理等部门开展既有民用建筑建设年代、结构形式、用能系统、能源消耗指标等基本信息调查分析，结合既有建筑改造和城市更新专项工作，制定既有民用建筑节能与绿色化改造计划，报本级人民政府批准后组织实施。</w:t>
      </w:r>
    </w:p>
    <w:p>
      <w:pPr>
        <w:pStyle w:val="Normal"/>
        <w:ind w:firstLineChars="200" w:startChars="0" w:start="0" w:endChars="0" w:end="0"/>
        <w:rPr>
          <w:color w:val="000000"/>
        </w:rPr>
      </w:pPr>
      <w:r>
        <w:rPr>
          <w:rFonts w:hint="eastAsia"/>
          <w:color w:val="000000"/>
        </w:rPr>
        <w:t>市、县（市）区人民政府机关事务管理部门负责组织实施公共机构办公建筑绿色节能改造工作。</w:t>
      </w:r>
    </w:p>
    <w:p>
      <w:pPr>
        <w:pStyle w:val="Normal"/>
        <w:ind w:firstLineChars="200" w:startChars="0" w:start="0" w:endChars="0" w:end="0"/>
        <w:rPr>
          <w:color w:val="000000"/>
        </w:rPr>
      </w:pPr>
      <w:r>
        <w:rPr>
          <w:rFonts w:hint="eastAsia" w:eastAsia="黑体;SimHei"/>
          <w:color w:val="000000"/>
        </w:rPr>
        <w:t>第二十八条</w:t>
      </w:r>
      <w:r>
        <w:rPr>
          <w:rFonts w:hint="eastAsia"/>
          <w:color w:val="000000"/>
        </w:rPr>
        <w:t>　国家机关办</w:t>
      </w:r>
      <w:r>
        <w:rPr>
          <w:rFonts w:cs="宋体;SimSun" w:hint="eastAsia"/>
          <w:color w:val="000000"/>
        </w:rPr>
        <w:t>公建筑节能</w:t>
      </w:r>
      <w:r>
        <w:rPr>
          <w:rFonts w:hint="eastAsia"/>
          <w:color w:val="000000"/>
        </w:rPr>
        <w:t>改造费用纳入同级财政预算。</w:t>
      </w:r>
    </w:p>
    <w:p>
      <w:pPr>
        <w:pStyle w:val="Normal"/>
        <w:ind w:firstLineChars="200" w:startChars="0" w:start="0" w:endChars="0" w:end="0"/>
        <w:rPr>
          <w:color w:val="000000"/>
        </w:rPr>
      </w:pPr>
      <w:r>
        <w:rPr>
          <w:rFonts w:hint="eastAsia"/>
          <w:color w:val="000000"/>
        </w:rPr>
        <w:t>教育、科技、文化、卫生、体育等公益事业使用的公共建筑节能改造费用，由市、县（市）区人民政府和建筑物所有权人共同承担。</w:t>
      </w:r>
    </w:p>
    <w:p>
      <w:pPr>
        <w:pStyle w:val="Normal"/>
        <w:ind w:firstLineChars="200" w:startChars="0" w:start="0" w:endChars="0" w:end="0"/>
        <w:rPr>
          <w:color w:val="000000"/>
        </w:rPr>
      </w:pPr>
      <w:r>
        <w:rPr>
          <w:rFonts w:hint="eastAsia"/>
          <w:color w:val="000000"/>
        </w:rPr>
        <w:t>其他民用建筑的节能改</w:t>
      </w:r>
      <w:r>
        <w:rPr>
          <w:rFonts w:cs="宋体;SimSun" w:hint="eastAsia"/>
          <w:color w:val="000000"/>
        </w:rPr>
        <w:t>造应当征得业主同意，其费用由所有权人承担，市、县（市）区人民政府</w:t>
      </w:r>
      <w:r>
        <w:rPr>
          <w:rFonts w:hint="eastAsia"/>
          <w:color w:val="000000"/>
        </w:rPr>
        <w:t>应当给予适当补贴。</w:t>
      </w:r>
    </w:p>
    <w:p>
      <w:pPr>
        <w:pStyle w:val="Normal"/>
        <w:tabs>
          <w:tab w:val="clear" w:pos="420"/>
          <w:tab w:val="center" w:pos="5154" w:leader="none"/>
        </w:tabs>
        <w:ind w:firstLineChars="200" w:startChars="0" w:start="0" w:endChars="0" w:end="0"/>
        <w:rPr>
          <w:color w:val="000000"/>
        </w:rPr>
      </w:pPr>
      <w:r>
        <w:rPr>
          <w:rFonts w:hint="eastAsia" w:eastAsia="黑体;SimHei"/>
          <w:color w:val="000000"/>
        </w:rPr>
        <w:t>第二十九条　</w:t>
      </w:r>
      <w:r>
        <w:rPr>
          <w:rFonts w:hint="eastAsia"/>
          <w:color w:val="000000"/>
        </w:rPr>
        <w:t>既有民用建筑节能改造应当优先改善门窗、屋面、遮阳和外墙等保温隔热性能，不得影响建筑结构安全和使用功能。</w:t>
      </w:r>
    </w:p>
    <w:p>
      <w:pPr>
        <w:pStyle w:val="Normal"/>
        <w:ind w:firstLineChars="200" w:startChars="0" w:start="0" w:endChars="0" w:end="0"/>
        <w:rPr>
          <w:color w:val="000000"/>
        </w:rPr>
      </w:pPr>
      <w:r>
        <w:rPr>
          <w:rFonts w:hint="eastAsia"/>
          <w:color w:val="000000"/>
        </w:rPr>
        <w:t>鼓励既有民用建筑节能改造时采用绿色建筑技术措施，设计安装太阳能、浅层地热能、空气能等可再生能源利用系统，对屋顶、外墙面等部位实施立体绿化。</w:t>
      </w:r>
    </w:p>
    <w:p>
      <w:pPr>
        <w:pStyle w:val="Normal"/>
        <w:ind w:firstLineChars="200" w:startChars="0" w:start="0" w:endChars="0" w:end="0"/>
        <w:rPr/>
      </w:pPr>
      <w:r>
        <w:rPr>
          <w:rFonts w:hint="eastAsia" w:eastAsia="黑体;SimHei"/>
          <w:color w:val="000000"/>
        </w:rPr>
        <w:t>第三十条</w:t>
      </w:r>
      <w:r>
        <w:rPr>
          <w:rFonts w:hint="eastAsia"/>
          <w:color w:val="000000"/>
        </w:rPr>
        <w:t>　</w:t>
      </w:r>
      <w:r>
        <w:rPr>
          <w:rFonts w:hint="eastAsia"/>
          <w:color w:val="000000"/>
          <w:spacing w:val="-4"/>
        </w:rPr>
        <w:t>大</w:t>
      </w:r>
      <w:r>
        <w:rPr>
          <w:rFonts w:cs="宋体;SimSun" w:hint="eastAsia"/>
          <w:color w:val="000000"/>
          <w:spacing w:val="-4"/>
        </w:rPr>
        <w:t>型公共建筑未达到设计使用年限需要提前拆除的，应当经过论证并向社会公开征求意见，报市、县（市）区人民政府批准后实施，县（市）区人民政府应当报市人民政府备案。</w:t>
      </w:r>
    </w:p>
    <w:p>
      <w:pPr>
        <w:pStyle w:val="Normal"/>
        <w:jc w:val="center"/>
        <w:rPr>
          <w:rFonts w:eastAsia="黑体;SimHei" w:cs="宋体;SimSun" w:hint="eastAsia"/>
          <w:color w:val="000000"/>
          <w:spacing w:val="-4"/>
        </w:rPr>
      </w:pPr>
      <w:r>
        <w:rPr>
          <w:rFonts w:eastAsia="黑体;SimHei" w:cs="宋体;SimSun" w:hint="eastAsia"/>
          <w:color w:val="000000"/>
          <w:spacing w:val="-4"/>
        </w:rPr>
      </w:r>
    </w:p>
    <w:p>
      <w:pPr>
        <w:pStyle w:val="Normal"/>
        <w:jc w:val="center"/>
        <w:rPr>
          <w:rFonts w:eastAsia="黑体;SimHei"/>
          <w:color w:val="000000"/>
        </w:rPr>
      </w:pPr>
      <w:r>
        <w:rPr>
          <w:rFonts w:hint="eastAsia" w:eastAsia="黑体;SimHei"/>
          <w:color w:val="000000"/>
        </w:rPr>
        <w:t>第四章</w:t>
      </w:r>
      <w:r>
        <w:rPr>
          <w:rFonts w:eastAsia="黑体;SimHei"/>
          <w:color w:val="000000"/>
        </w:rPr>
        <w:t xml:space="preserve">  </w:t>
      </w:r>
      <w:r>
        <w:rPr>
          <w:rFonts w:hint="eastAsia" w:eastAsia="黑体;SimHei"/>
          <w:color w:val="000000"/>
        </w:rPr>
        <w:t>技术与应用</w:t>
      </w:r>
    </w:p>
    <w:p>
      <w:pPr>
        <w:pStyle w:val="Normal"/>
        <w:ind w:firstLineChars="200" w:startChars="0" w:start="0" w:endChars="0" w:end="0"/>
        <w:rPr>
          <w:rFonts w:eastAsia="黑体;SimHei" w:hint="eastAsia"/>
          <w:color w:val="000000"/>
        </w:rPr>
      </w:pPr>
      <w:r>
        <w:rPr>
          <w:rFonts w:eastAsia="黑体;SimHei" w:hint="eastAsia"/>
          <w:color w:val="000000"/>
        </w:rPr>
      </w:r>
    </w:p>
    <w:p>
      <w:pPr>
        <w:pStyle w:val="Normal"/>
        <w:ind w:firstLineChars="200" w:startChars="0" w:start="0" w:endChars="0" w:end="0"/>
        <w:rPr>
          <w:color w:val="000000"/>
        </w:rPr>
      </w:pPr>
      <w:r>
        <w:rPr>
          <w:rFonts w:hint="eastAsia" w:eastAsia="黑体;SimHei"/>
          <w:color w:val="000000"/>
        </w:rPr>
        <w:t>第三十一条</w:t>
      </w:r>
      <w:r>
        <w:rPr>
          <w:rFonts w:hint="eastAsia"/>
          <w:color w:val="000000"/>
        </w:rPr>
        <w:t>　绿色建筑应当推广应用自然通风、自然采光、外遮阳、雨水渗透与收集、中水处理回用、透水地面、建筑废弃物资源化利用、装配式建筑、隔音、智能控制和太阳能、浅层地热能、空气能、余热废热利用等先进、适用技术，选用本土植物、普及高能效设备及节水型产品。</w:t>
      </w:r>
    </w:p>
    <w:p>
      <w:pPr>
        <w:pStyle w:val="Normal"/>
        <w:ind w:firstLineChars="200" w:startChars="0" w:start="0" w:endChars="0" w:end="0"/>
        <w:rPr>
          <w:color w:val="000000"/>
        </w:rPr>
      </w:pPr>
      <w:r>
        <w:rPr>
          <w:rFonts w:hint="eastAsia" w:eastAsia="黑体;SimHei"/>
          <w:color w:val="000000"/>
        </w:rPr>
        <w:t>第三十二条</w:t>
      </w:r>
      <w:r>
        <w:rPr>
          <w:rFonts w:hint="eastAsia"/>
          <w:color w:val="000000"/>
        </w:rPr>
        <w:t>　市人民政府城乡建设行政主管部门应当积极推广绿色建筑适用技术，开展科技成果推广示范活动，按照有关规定编制和发布绿色建筑技术、工艺、材料、设备的推广、限制和禁止使用目录并适时更新。</w:t>
      </w:r>
    </w:p>
    <w:p>
      <w:pPr>
        <w:pStyle w:val="Normal"/>
        <w:ind w:firstLineChars="200" w:startChars="0" w:start="0" w:endChars="0" w:end="0"/>
        <w:rPr>
          <w:color w:val="000000"/>
        </w:rPr>
      </w:pPr>
      <w:r>
        <w:rPr>
          <w:rFonts w:hint="eastAsia" w:eastAsia="黑体;SimHei"/>
          <w:color w:val="000000"/>
        </w:rPr>
        <w:t>第三十三条</w:t>
      </w:r>
      <w:r>
        <w:rPr>
          <w:rFonts w:hint="eastAsia"/>
          <w:color w:val="000000"/>
        </w:rPr>
        <w:t>　新建公</w:t>
      </w:r>
      <w:bookmarkStart w:id="0" w:name="_GoBack"/>
      <w:bookmarkEnd w:id="0"/>
      <w:r>
        <w:rPr>
          <w:rFonts w:hint="eastAsia"/>
          <w:color w:val="000000"/>
        </w:rPr>
        <w:t>共机构办公建筑和建筑面积达到一万平方米以上的其他公共建筑应当统一设计并安装一种以上与建筑能耗水平相适应的可再生能源利用系统。</w:t>
      </w:r>
    </w:p>
    <w:p>
      <w:pPr>
        <w:pStyle w:val="Normal"/>
        <w:ind w:firstLineChars="200" w:startChars="0" w:start="0" w:endChars="0" w:end="0"/>
        <w:rPr>
          <w:color w:val="000000"/>
        </w:rPr>
      </w:pPr>
      <w:r>
        <w:rPr>
          <w:rFonts w:hint="eastAsia"/>
          <w:color w:val="000000"/>
        </w:rPr>
        <w:t>宾馆、医院等有热水系统设计要求的公共建筑和新建居住建筑，应当统一设计并安装太阳能、空气能等可再生能源热水系统，同步施工、同步验收。</w:t>
      </w:r>
    </w:p>
    <w:p>
      <w:pPr>
        <w:pStyle w:val="Normal"/>
        <w:ind w:firstLineChars="200" w:startChars="0" w:start="0" w:endChars="0" w:end="0"/>
        <w:rPr>
          <w:color w:val="000000"/>
        </w:rPr>
      </w:pPr>
      <w:r>
        <w:rPr>
          <w:rFonts w:hint="eastAsia"/>
          <w:color w:val="000000"/>
        </w:rPr>
        <w:t>民用建筑附属停车场或者停车库应当按照有关规定配建电动汽车充电设施。</w:t>
      </w:r>
    </w:p>
    <w:p>
      <w:pPr>
        <w:pStyle w:val="Normal"/>
        <w:ind w:firstLineChars="200" w:startChars="0" w:start="0" w:endChars="0" w:end="0"/>
        <w:rPr>
          <w:color w:val="000000"/>
        </w:rPr>
      </w:pPr>
      <w:r>
        <w:rPr>
          <w:rFonts w:hint="eastAsia"/>
          <w:color w:val="000000"/>
        </w:rPr>
        <w:t>新建民用建筑选用冷、热源时，应当优先采用已建成的区域分布式能源系统或者楼宇分布式能源系统。</w:t>
      </w:r>
    </w:p>
    <w:p>
      <w:pPr>
        <w:pStyle w:val="Normal"/>
        <w:ind w:firstLineChars="200" w:startChars="0" w:start="0" w:endChars="0" w:end="0"/>
        <w:rPr>
          <w:color w:val="000000"/>
          <w:spacing w:val="-4"/>
        </w:rPr>
      </w:pPr>
      <w:r>
        <w:rPr>
          <w:rFonts w:hint="eastAsia" w:eastAsia="黑体;SimHei"/>
          <w:color w:val="000000"/>
        </w:rPr>
        <w:t>第三十四条</w:t>
      </w:r>
      <w:r>
        <w:rPr>
          <w:rFonts w:hint="eastAsia"/>
          <w:color w:val="000000"/>
        </w:rPr>
        <w:t>　</w:t>
      </w:r>
      <w:r>
        <w:rPr>
          <w:rFonts w:hint="eastAsia"/>
          <w:color w:val="000000"/>
          <w:spacing w:val="-4"/>
        </w:rPr>
        <w:t>城镇开发建设应当推广海绵城市模式，实现雨水的自然积存、自然渗透和自然净化，提高水资源的综合利用水平。</w:t>
      </w:r>
    </w:p>
    <w:p>
      <w:pPr>
        <w:pStyle w:val="Normal"/>
        <w:ind w:firstLineChars="200" w:startChars="0" w:start="0" w:endChars="0" w:end="0"/>
        <w:rPr>
          <w:color w:val="000000"/>
        </w:rPr>
      </w:pPr>
      <w:r>
        <w:rPr>
          <w:rFonts w:hint="eastAsia"/>
          <w:color w:val="000000"/>
        </w:rPr>
        <w:t>建设用地面积达到二万平方米以上的新建民用建筑，应当按照有关规定同步建设雨水收集利用系统。</w:t>
      </w:r>
    </w:p>
    <w:p>
      <w:pPr>
        <w:pStyle w:val="Normal"/>
        <w:ind w:firstLineChars="200" w:startChars="0" w:start="0" w:endChars="0" w:end="0"/>
        <w:rPr>
          <w:color w:val="000000"/>
        </w:rPr>
      </w:pPr>
      <w:r>
        <w:rPr>
          <w:rFonts w:hint="eastAsia"/>
          <w:color w:val="000000"/>
        </w:rPr>
        <w:t>新建民用建筑的景观用水、绿化用水、道路冲洗用水应当优先采用雨水、再生水等非常规水源。</w:t>
      </w:r>
    </w:p>
    <w:p>
      <w:pPr>
        <w:pStyle w:val="Normal"/>
        <w:ind w:firstLineChars="200" w:startChars="0" w:start="0" w:endChars="0" w:end="0"/>
        <w:rPr>
          <w:color w:val="000000"/>
        </w:rPr>
      </w:pPr>
      <w:r>
        <w:rPr>
          <w:rFonts w:hint="eastAsia"/>
          <w:color w:val="000000"/>
        </w:rPr>
        <w:t>新建民用建筑应当使用节水器具，场地排水管网建设应当实行雨污分流。</w:t>
      </w:r>
    </w:p>
    <w:p>
      <w:pPr>
        <w:pStyle w:val="Normal"/>
        <w:ind w:firstLineChars="200" w:startChars="0" w:start="0" w:endChars="0" w:end="0"/>
        <w:rPr>
          <w:color w:val="000000"/>
        </w:rPr>
      </w:pPr>
      <w:r>
        <w:rPr>
          <w:rFonts w:hint="eastAsia" w:eastAsia="黑体;SimHei"/>
          <w:color w:val="000000"/>
        </w:rPr>
        <w:t>第三十五条</w:t>
      </w:r>
      <w:r>
        <w:rPr>
          <w:rFonts w:hint="eastAsia"/>
          <w:color w:val="000000"/>
        </w:rPr>
        <w:t>　鼓励发展绿色建筑材料，提高绿色建筑材料在绿色建筑中的使用比例，鼓励使用再生建筑材料产品，推进建筑废弃物资源化循环利用。</w:t>
      </w:r>
    </w:p>
    <w:p>
      <w:pPr>
        <w:pStyle w:val="Normal"/>
        <w:ind w:firstLineChars="200" w:startChars="0" w:start="0" w:endChars="0" w:end="0"/>
        <w:rPr>
          <w:color w:val="000000"/>
        </w:rPr>
      </w:pPr>
      <w:r>
        <w:rPr>
          <w:rFonts w:hint="eastAsia"/>
          <w:color w:val="000000"/>
        </w:rPr>
        <w:t>绿色建筑应当使用预拌砂浆、预拌混凝土、高强钢筋、新型墙体材料，推广应用高性能混凝土，鼓励就地取材，开发利用本地建材资源。</w:t>
      </w:r>
    </w:p>
    <w:p>
      <w:pPr>
        <w:pStyle w:val="Normal"/>
        <w:ind w:firstLineChars="200" w:startChars="0" w:start="0" w:endChars="0" w:end="0"/>
        <w:rPr>
          <w:color w:val="000000"/>
        </w:rPr>
      </w:pPr>
      <w:r>
        <w:rPr>
          <w:rFonts w:hint="eastAsia" w:eastAsia="黑体;SimHei"/>
          <w:color w:val="000000"/>
        </w:rPr>
        <w:t>第三十六条</w:t>
      </w:r>
      <w:r>
        <w:rPr>
          <w:rFonts w:hint="eastAsia"/>
          <w:color w:val="000000"/>
        </w:rPr>
        <w:t>　引导和鼓励农村民用建筑采用乡土材料和传统工艺，推广应用建筑墙体保温、节能门窗、节水器具、节能型家电和太阳能光热、光伏等绿色建筑技术和材料</w:t>
      </w:r>
      <w:r>
        <w:rPr>
          <w:color w:val="000000"/>
        </w:rPr>
        <w:t xml:space="preserve"> </w:t>
      </w:r>
      <w:r>
        <w:rPr>
          <w:rFonts w:hint="eastAsia"/>
          <w:color w:val="000000"/>
        </w:rPr>
        <w:t>。</w:t>
      </w:r>
    </w:p>
    <w:p>
      <w:pPr>
        <w:pStyle w:val="Normal"/>
        <w:ind w:firstLineChars="200" w:startChars="0" w:start="0" w:endChars="0" w:end="0"/>
        <w:rPr/>
      </w:pPr>
      <w:r>
        <w:rPr>
          <w:rFonts w:hint="eastAsia" w:eastAsia="黑体;SimHei"/>
          <w:color w:val="000000"/>
        </w:rPr>
        <w:t>第三十七条</w:t>
      </w:r>
      <w:r>
        <w:rPr>
          <w:rFonts w:hint="eastAsia"/>
          <w:color w:val="000000"/>
        </w:rPr>
        <w:t>　</w:t>
      </w:r>
      <w:r>
        <w:rPr>
          <w:rFonts w:cs="宋体;SimSun" w:hint="eastAsia"/>
          <w:color w:val="000000"/>
        </w:rPr>
        <w:t>民用</w:t>
      </w:r>
      <w:r>
        <w:rPr>
          <w:rFonts w:hint="eastAsia"/>
          <w:color w:val="000000"/>
        </w:rPr>
        <w:t>建设工程</w:t>
      </w:r>
      <w:r>
        <w:rPr>
          <w:rFonts w:cs="宋体;SimSun" w:hint="eastAsia"/>
          <w:color w:val="000000"/>
        </w:rPr>
        <w:t>中需要采用</w:t>
      </w:r>
      <w:r>
        <w:rPr>
          <w:rFonts w:hint="eastAsia"/>
          <w:color w:val="000000"/>
        </w:rPr>
        <w:t>尚无</w:t>
      </w:r>
      <w:r>
        <w:rPr>
          <w:rFonts w:cs="宋体;SimSun" w:hint="eastAsia"/>
          <w:color w:val="000000"/>
        </w:rPr>
        <w:t>相应标准的绿色建筑新技术</w:t>
      </w:r>
      <w:r>
        <w:rPr>
          <w:rFonts w:cs="Malgun Gothic Semilight" w:hint="eastAsia"/>
          <w:color w:val="000000"/>
        </w:rPr>
        <w:t>、</w:t>
      </w:r>
      <w:r>
        <w:rPr>
          <w:rFonts w:cs="宋体;SimSun" w:hint="eastAsia"/>
          <w:color w:val="000000"/>
        </w:rPr>
        <w:t>新工艺</w:t>
      </w:r>
      <w:r>
        <w:rPr>
          <w:rFonts w:cs="Malgun Gothic Semilight" w:hint="eastAsia"/>
          <w:color w:val="000000"/>
        </w:rPr>
        <w:t>、</w:t>
      </w:r>
      <w:r>
        <w:rPr>
          <w:rFonts w:cs="宋体;SimSun" w:hint="eastAsia"/>
          <w:color w:val="000000"/>
        </w:rPr>
        <w:t>新材料</w:t>
      </w:r>
      <w:r>
        <w:rPr>
          <w:rFonts w:cs="Malgun Gothic Semilight" w:hint="eastAsia"/>
          <w:color w:val="000000"/>
        </w:rPr>
        <w:t>、</w:t>
      </w:r>
      <w:r>
        <w:rPr>
          <w:rFonts w:cs="宋体;SimSun" w:hint="eastAsia"/>
          <w:color w:val="000000"/>
        </w:rPr>
        <w:t>新设备的</w:t>
      </w:r>
      <w:r>
        <w:rPr>
          <w:rFonts w:cs="Malgun Gothic Semilight" w:hint="eastAsia"/>
          <w:color w:val="000000"/>
        </w:rPr>
        <w:t>，</w:t>
      </w:r>
      <w:r>
        <w:rPr>
          <w:rFonts w:cs="宋体;SimSun" w:hint="eastAsia"/>
          <w:color w:val="000000"/>
        </w:rPr>
        <w:t>由市</w:t>
      </w:r>
      <w:r>
        <w:rPr>
          <w:rFonts w:hint="eastAsia"/>
          <w:color w:val="000000"/>
        </w:rPr>
        <w:t>人民政府</w:t>
      </w:r>
      <w:r>
        <w:rPr>
          <w:rFonts w:cs="宋体;SimSun" w:hint="eastAsia"/>
          <w:color w:val="000000"/>
        </w:rPr>
        <w:t>城乡建设行政主管部门组织有关专家或者委托有关专业机构进行技术论证</w:t>
      </w:r>
      <w:r>
        <w:rPr>
          <w:rFonts w:cs="Malgun Gothic Semilight" w:hint="eastAsia"/>
          <w:color w:val="000000"/>
        </w:rPr>
        <w:t>，</w:t>
      </w:r>
      <w:r>
        <w:rPr>
          <w:rFonts w:cs="宋体;SimSun" w:hint="eastAsia"/>
          <w:color w:val="000000"/>
        </w:rPr>
        <w:t>经论证符合绿色建筑和质量安全要求的</w:t>
      </w:r>
      <w:r>
        <w:rPr>
          <w:rFonts w:cs="Malgun Gothic Semilight" w:hint="eastAsia"/>
          <w:color w:val="000000"/>
        </w:rPr>
        <w:t>，</w:t>
      </w:r>
      <w:r>
        <w:rPr>
          <w:rFonts w:cs="宋体;SimSun" w:hint="eastAsia"/>
          <w:color w:val="000000"/>
        </w:rPr>
        <w:t>可以</w:t>
      </w:r>
      <w:r>
        <w:rPr>
          <w:rFonts w:hint="eastAsia"/>
          <w:color w:val="000000"/>
        </w:rPr>
        <w:t>在该建设工程</w:t>
      </w:r>
      <w:r>
        <w:rPr>
          <w:rFonts w:cs="宋体;SimSun" w:hint="eastAsia"/>
          <w:color w:val="000000"/>
        </w:rPr>
        <w:t>中使用</w:t>
      </w:r>
      <w:r>
        <w:rPr>
          <w:rFonts w:hint="eastAsia"/>
          <w:color w:val="000000"/>
        </w:rPr>
        <w:t>。</w:t>
      </w:r>
    </w:p>
    <w:p>
      <w:pPr>
        <w:pStyle w:val="Normal"/>
        <w:ind w:firstLineChars="200" w:startChars="0" w:start="0" w:endChars="0" w:end="0"/>
        <w:rPr>
          <w:rFonts w:hint="eastAsia"/>
          <w:color w:val="000000"/>
        </w:rPr>
      </w:pPr>
      <w:r>
        <w:rPr>
          <w:rFonts w:hint="eastAsia"/>
          <w:color w:val="000000"/>
        </w:rPr>
      </w:r>
    </w:p>
    <w:p>
      <w:pPr>
        <w:pStyle w:val="Normal"/>
        <w:jc w:val="center"/>
        <w:rPr/>
      </w:pPr>
      <w:r>
        <w:rPr>
          <w:rFonts w:hint="eastAsia" w:eastAsia="黑体;SimHei"/>
          <w:color w:val="000000"/>
        </w:rPr>
        <w:t>第五章</w:t>
      </w:r>
      <w:r>
        <w:rPr>
          <w:rFonts w:eastAsia="黑体;SimHei"/>
          <w:color w:val="000000"/>
        </w:rPr>
        <w:t xml:space="preserve">  </w:t>
      </w:r>
      <w:r>
        <w:rPr>
          <w:rFonts w:hint="eastAsia" w:eastAsia="黑体;SimHei"/>
          <w:color w:val="000000"/>
        </w:rPr>
        <w:t>引导与激励</w:t>
      </w:r>
    </w:p>
    <w:p>
      <w:pPr>
        <w:pStyle w:val="Normal"/>
        <w:jc w:val="center"/>
        <w:rPr>
          <w:rFonts w:eastAsia="黑体;SimHei" w:hint="eastAsia"/>
          <w:color w:val="FF00FF"/>
        </w:rPr>
      </w:pPr>
      <w:r>
        <w:rPr>
          <w:rFonts w:eastAsia="黑体;SimHei" w:hint="eastAsia"/>
          <w:color w:val="FF00FF"/>
        </w:rPr>
      </w:r>
    </w:p>
    <w:p>
      <w:pPr>
        <w:pStyle w:val="Normal"/>
        <w:ind w:firstLineChars="200" w:startChars="0" w:start="0" w:endChars="0" w:end="0"/>
        <w:rPr>
          <w:rFonts w:eastAsia="黑体;SimHei"/>
          <w:color w:val="000000"/>
        </w:rPr>
      </w:pPr>
      <w:r>
        <w:rPr>
          <w:rFonts w:hint="eastAsia" w:eastAsia="黑体;SimHei"/>
          <w:color w:val="000000"/>
        </w:rPr>
        <w:t>第三十八条</w:t>
      </w:r>
      <w:r>
        <w:rPr>
          <w:rFonts w:hint="eastAsia" w:eastAsia="仿宋;宋体"/>
          <w:color w:val="000000"/>
        </w:rPr>
        <w:t>　</w:t>
      </w:r>
      <w:r>
        <w:rPr>
          <w:rFonts w:hint="eastAsia"/>
          <w:color w:val="000000"/>
        </w:rPr>
        <w:t>市、县（市）区人民政府应当制定优惠政策，引导社会资金参与合同能源管理、可再生能源建筑应用、既有民用建筑绿色节能和绿色化改造等。</w:t>
      </w:r>
    </w:p>
    <w:p>
      <w:pPr>
        <w:pStyle w:val="Normal"/>
        <w:ind w:firstLineChars="200" w:startChars="0" w:start="0" w:endChars="0" w:end="0"/>
        <w:rPr>
          <w:color w:val="000000"/>
        </w:rPr>
      </w:pPr>
      <w:r>
        <w:rPr>
          <w:rFonts w:hint="eastAsia" w:eastAsia="黑体;SimHei"/>
          <w:color w:val="000000"/>
        </w:rPr>
        <w:t>第三十九条</w:t>
      </w:r>
      <w:r>
        <w:rPr>
          <w:rFonts w:hint="eastAsia"/>
          <w:color w:val="000000"/>
        </w:rPr>
        <w:t>　市、县（市）区人民政府应当积极开展绿色生态城区创建工作。</w:t>
      </w:r>
    </w:p>
    <w:p>
      <w:pPr>
        <w:pStyle w:val="Normal"/>
        <w:ind w:firstLineChars="200" w:startChars="0" w:start="0" w:endChars="0" w:end="0"/>
        <w:rPr>
          <w:color w:val="000000"/>
        </w:rPr>
      </w:pPr>
      <w:r>
        <w:rPr>
          <w:rFonts w:hint="eastAsia"/>
          <w:color w:val="000000"/>
        </w:rPr>
        <w:t>鼓励绿色生态示范城区、新区开发、重点功能区等区域按照绿色生态城区标准实施规划建设，健全绿色生态城区管理制度，保障绿色生态城区运营。</w:t>
      </w:r>
    </w:p>
    <w:p>
      <w:pPr>
        <w:pStyle w:val="Normal"/>
        <w:ind w:firstLineChars="200" w:startChars="0" w:start="0" w:endChars="0" w:end="0"/>
        <w:rPr>
          <w:color w:val="000000"/>
        </w:rPr>
      </w:pPr>
      <w:r>
        <w:rPr>
          <w:rFonts w:hint="eastAsia" w:eastAsia="黑体;SimHei"/>
          <w:color w:val="000000"/>
        </w:rPr>
        <w:t>第四十条</w:t>
      </w:r>
      <w:r>
        <w:rPr>
          <w:color w:val="000000"/>
        </w:rPr>
        <w:t xml:space="preserve">  </w:t>
      </w:r>
      <w:r>
        <w:rPr>
          <w:rFonts w:hint="eastAsia"/>
          <w:color w:val="000000"/>
        </w:rPr>
        <w:t>市、县（市）区人民政府应当安排资金，支持下列活动：</w:t>
      </w:r>
    </w:p>
    <w:p>
      <w:pPr>
        <w:pStyle w:val="Normal"/>
        <w:ind w:firstLineChars="200" w:startChars="0" w:start="0" w:endChars="0" w:end="0"/>
        <w:rPr>
          <w:color w:val="000000"/>
        </w:rPr>
      </w:pPr>
      <w:r>
        <w:rPr>
          <w:rFonts w:hint="eastAsia"/>
          <w:color w:val="000000"/>
        </w:rPr>
        <w:t>（一）绿色建筑技术、产品的研发与推广及其有关技术规范制定；</w:t>
      </w:r>
    </w:p>
    <w:p>
      <w:pPr>
        <w:pStyle w:val="Normal"/>
        <w:ind w:firstLineChars="200" w:startChars="0" w:start="0" w:endChars="0" w:end="0"/>
        <w:rPr>
          <w:color w:val="000000"/>
        </w:rPr>
      </w:pPr>
      <w:r>
        <w:rPr>
          <w:rFonts w:hint="eastAsia"/>
          <w:color w:val="000000"/>
        </w:rPr>
        <w:t>（二）绿色生态城区示范；</w:t>
      </w:r>
    </w:p>
    <w:p>
      <w:pPr>
        <w:pStyle w:val="Normal"/>
        <w:ind w:firstLineChars="200" w:startChars="0" w:start="0" w:endChars="0" w:end="0"/>
        <w:rPr>
          <w:color w:val="000000"/>
        </w:rPr>
      </w:pPr>
      <w:r>
        <w:rPr>
          <w:rFonts w:hint="eastAsia"/>
          <w:color w:val="000000"/>
        </w:rPr>
        <w:t>（三）建筑能效测评、合同能源管理、分布式能源建筑应用、可再生能源建筑应用、装配式建筑、既有民用建筑节能改造等项目示范；</w:t>
      </w:r>
    </w:p>
    <w:p>
      <w:pPr>
        <w:pStyle w:val="Normal"/>
        <w:ind w:firstLineChars="200" w:startChars="0" w:start="0" w:endChars="0" w:end="0"/>
        <w:rPr>
          <w:color w:val="000000"/>
        </w:rPr>
      </w:pPr>
      <w:r>
        <w:rPr>
          <w:rFonts w:hint="eastAsia"/>
          <w:color w:val="000000"/>
        </w:rPr>
        <w:t>（四）绿色建筑宣传培训和公共信息服务；</w:t>
      </w:r>
    </w:p>
    <w:p>
      <w:pPr>
        <w:pStyle w:val="Normal"/>
        <w:ind w:firstLineChars="200" w:startChars="0" w:start="0" w:endChars="0" w:end="0"/>
        <w:rPr>
          <w:color w:val="000000"/>
        </w:rPr>
      </w:pPr>
      <w:r>
        <w:rPr>
          <w:rFonts w:hint="eastAsia"/>
          <w:color w:val="000000"/>
        </w:rPr>
        <w:t>（五）绿色建筑监督管理信息化建设。</w:t>
      </w:r>
    </w:p>
    <w:p>
      <w:pPr>
        <w:pStyle w:val="Normal"/>
        <w:ind w:firstLineChars="200" w:startChars="0" w:start="0" w:endChars="0" w:end="0"/>
        <w:rPr>
          <w:color w:val="000000"/>
        </w:rPr>
      </w:pPr>
      <w:r>
        <w:rPr>
          <w:rFonts w:hint="eastAsia" w:eastAsia="黑体;SimHei"/>
          <w:color w:val="000000"/>
        </w:rPr>
        <w:t>第四十一条</w:t>
      </w:r>
      <w:r>
        <w:rPr>
          <w:color w:val="000000"/>
        </w:rPr>
        <w:t xml:space="preserve">  </w:t>
      </w:r>
      <w:r>
        <w:rPr>
          <w:rFonts w:hint="eastAsia"/>
          <w:color w:val="000000"/>
        </w:rPr>
        <w:t>市、县（市）区人民政府科技行政主管部门应当将绿色建筑关键技术列入科技研发的重点内容，支持企业、高等院校、科研机构、行业组织等研究开发绿色建筑新技术、新工艺、新材料和新设备，促进科技成果转化、推广和应用。</w:t>
      </w:r>
    </w:p>
    <w:p>
      <w:pPr>
        <w:pStyle w:val="Normal"/>
        <w:ind w:firstLineChars="200" w:startChars="0" w:start="0" w:endChars="0" w:end="0"/>
        <w:rPr>
          <w:color w:val="000000"/>
        </w:rPr>
      </w:pPr>
      <w:r>
        <w:rPr>
          <w:rFonts w:hint="eastAsia" w:eastAsia="黑体;SimHei"/>
          <w:color w:val="000000"/>
        </w:rPr>
        <w:t>第四十二条</w:t>
      </w:r>
      <w:r>
        <w:rPr>
          <w:rFonts w:hint="eastAsia"/>
          <w:color w:val="000000"/>
        </w:rPr>
        <w:t>　对绿色建筑发展实行下列扶持措施：</w:t>
      </w:r>
    </w:p>
    <w:p>
      <w:pPr>
        <w:pStyle w:val="Normal"/>
        <w:ind w:firstLineChars="200" w:startChars="0" w:start="0" w:endChars="0" w:end="0"/>
        <w:rPr>
          <w:color w:val="000000"/>
        </w:rPr>
      </w:pPr>
      <w:r>
        <w:rPr>
          <w:rFonts w:hint="eastAsia"/>
          <w:color w:val="000000"/>
        </w:rPr>
        <w:t>（一）建筑物外墙外侧保温隔热层的建筑面积不计入建筑容积率；</w:t>
      </w:r>
    </w:p>
    <w:p>
      <w:pPr>
        <w:pStyle w:val="Normal"/>
        <w:ind w:firstLineChars="200" w:startChars="0" w:start="0" w:endChars="0" w:end="0"/>
        <w:rPr>
          <w:color w:val="000000"/>
        </w:rPr>
      </w:pPr>
      <w:r>
        <w:rPr>
          <w:rFonts w:hint="eastAsia"/>
          <w:color w:val="000000"/>
        </w:rPr>
        <w:t>（二）地源热泵系统应用项目依法减征或者免征水资源费；</w:t>
      </w:r>
    </w:p>
    <w:p>
      <w:pPr>
        <w:pStyle w:val="Normal"/>
        <w:ind w:firstLineChars="200" w:startChars="0" w:start="0" w:endChars="0" w:end="0"/>
        <w:rPr>
          <w:color w:val="000000"/>
        </w:rPr>
      </w:pPr>
      <w:r>
        <w:rPr>
          <w:rFonts w:hint="eastAsia"/>
          <w:color w:val="000000"/>
        </w:rPr>
        <w:t>（三）应用太阳能、浅层地热能、生物质能、空气能等可再生能源的民用建筑，在核算建筑能耗时，其常规能源替代量抵扣相应的能耗量；</w:t>
      </w:r>
    </w:p>
    <w:p>
      <w:pPr>
        <w:pStyle w:val="Normal"/>
        <w:ind w:firstLineChars="200" w:startChars="0" w:start="0" w:endChars="0" w:end="0"/>
        <w:rPr>
          <w:color w:val="000000"/>
        </w:rPr>
      </w:pPr>
      <w:r>
        <w:rPr>
          <w:rFonts w:hint="eastAsia"/>
          <w:color w:val="000000"/>
        </w:rPr>
        <w:t>（四）新建民用建筑实施屋顶绿化、垂直绿化的，按照有关规定折算为附属绿地面积。</w:t>
      </w:r>
    </w:p>
    <w:p>
      <w:pPr>
        <w:pStyle w:val="Normal"/>
        <w:ind w:firstLineChars="200" w:startChars="0" w:start="0" w:endChars="0" w:end="0"/>
        <w:rPr>
          <w:color w:val="000000"/>
        </w:rPr>
      </w:pPr>
      <w:r>
        <w:rPr>
          <w:rFonts w:hint="eastAsia"/>
          <w:color w:val="000000"/>
        </w:rPr>
        <w:t>（五）满足装配式建筑要求的商品房项目，其外墙预制部分建筑面积不超过装配式建筑各单体地上规划建筑面积之和百分之三的，不计入成交地块的容积率计算。</w:t>
      </w:r>
    </w:p>
    <w:p>
      <w:pPr>
        <w:pStyle w:val="Normal"/>
        <w:ind w:firstLineChars="200" w:startChars="0" w:start="0" w:endChars="0" w:end="0"/>
        <w:rPr>
          <w:color w:val="000000"/>
        </w:rPr>
      </w:pPr>
      <w:r>
        <w:rPr>
          <w:rFonts w:hint="eastAsia" w:eastAsia="黑体;SimHei"/>
          <w:color w:val="000000"/>
        </w:rPr>
        <w:t>第四十三条</w:t>
      </w:r>
      <w:r>
        <w:rPr>
          <w:rFonts w:hint="eastAsia"/>
          <w:color w:val="000000"/>
        </w:rPr>
        <w:t>　符合条件的新建民用建筑应当按照装配式建筑实施建设，装配式建筑应当按照全装修成品房要求建设。</w:t>
      </w:r>
    </w:p>
    <w:p>
      <w:pPr>
        <w:pStyle w:val="Normal"/>
        <w:ind w:firstLineChars="200" w:startChars="0" w:start="0" w:endChars="0" w:end="0"/>
        <w:rPr>
          <w:color w:val="000000"/>
        </w:rPr>
      </w:pPr>
      <w:r>
        <w:rPr>
          <w:rFonts w:hint="eastAsia"/>
          <w:color w:val="000000"/>
        </w:rPr>
        <w:t>逐步推行全装修住房，并实施分户验收制度。</w:t>
      </w:r>
    </w:p>
    <w:p>
      <w:pPr>
        <w:pStyle w:val="Normal"/>
        <w:ind w:firstLineChars="200" w:startChars="0" w:start="0" w:endChars="0" w:end="0"/>
        <w:rPr>
          <w:color w:val="000000"/>
        </w:rPr>
      </w:pPr>
      <w:r>
        <w:rPr>
          <w:rFonts w:hint="eastAsia"/>
          <w:color w:val="000000"/>
        </w:rPr>
        <w:t>鼓励全装修住房设计与施工一体化、土建与内装一体化，推进适用材料及部品的应用，推广内装工业化生产方式，提高全装修住宅整体质量。</w:t>
      </w:r>
    </w:p>
    <w:p>
      <w:pPr>
        <w:pStyle w:val="Normal"/>
        <w:ind w:firstLineChars="200" w:startChars="0" w:start="0" w:endChars="0" w:end="0"/>
        <w:rPr>
          <w:rFonts w:eastAsia="仿宋;宋体"/>
          <w:color w:val="000000"/>
        </w:rPr>
      </w:pPr>
      <w:r>
        <w:rPr>
          <w:rFonts w:hint="eastAsia" w:eastAsia="黑体;SimHei"/>
          <w:color w:val="000000"/>
        </w:rPr>
        <w:t>第四十四条</w:t>
      </w:r>
      <w:r>
        <w:rPr>
          <w:rFonts w:hint="eastAsia"/>
          <w:color w:val="000000"/>
        </w:rPr>
        <w:t>　鼓励工业园区、旅游集中服务区、绿色生态城区、大型办公集中区、大型商业设施等能源负荷中心建设区域分布式能源系统或者楼宇分布式能源系统；条件具备的，可以结合太阳能、浅层地热能、生物质能、空气能等可再生能源以及余热、废热进行综合利用</w:t>
      </w:r>
      <w:r>
        <w:rPr>
          <w:rFonts w:hint="eastAsia" w:eastAsia="仿宋;宋体"/>
          <w:color w:val="000000"/>
        </w:rPr>
        <w:t>。</w:t>
      </w:r>
    </w:p>
    <w:p>
      <w:pPr>
        <w:pStyle w:val="Normal"/>
        <w:ind w:firstLineChars="200" w:startChars="0" w:start="0" w:endChars="0" w:end="0"/>
        <w:rPr/>
      </w:pPr>
      <w:r>
        <w:rPr>
          <w:rFonts w:hint="eastAsia" w:eastAsia="黑体;SimHei"/>
          <w:color w:val="000000"/>
        </w:rPr>
        <w:t>第四十五条</w:t>
      </w:r>
      <w:r>
        <w:rPr>
          <w:rFonts w:hint="eastAsia"/>
          <w:color w:val="000000"/>
        </w:rPr>
        <w:t>　鼓励行业组织、科研机构、高等院校等单位开展绿色建筑科技研发、技术推广、宣传培训、咨询服务、绿色建材评价和建筑能效评估等活动。</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color w:val="000000"/>
        </w:rPr>
      </w:pPr>
      <w:r>
        <w:rPr>
          <w:rFonts w:hint="eastAsia" w:eastAsia="黑体;SimHei"/>
          <w:color w:val="000000"/>
        </w:rPr>
        <w:t>第六章</w:t>
      </w:r>
      <w:r>
        <w:rPr>
          <w:rFonts w:eastAsia="黑体;SimHei"/>
          <w:color w:val="FF00FF"/>
        </w:rPr>
        <w:t xml:space="preserve"> </w:t>
      </w:r>
      <w:r>
        <w:rPr>
          <w:rFonts w:eastAsia="黑体;SimHei"/>
          <w:color w:val="000000"/>
        </w:rPr>
        <w:t xml:space="preserve"> </w:t>
      </w:r>
      <w:r>
        <w:rPr>
          <w:rFonts w:hint="eastAsia" w:eastAsia="黑体;SimHei"/>
          <w:color w:val="000000"/>
        </w:rPr>
        <w:t>法律责任</w:t>
      </w:r>
    </w:p>
    <w:p>
      <w:pPr>
        <w:pStyle w:val="Normal"/>
        <w:ind w:firstLineChars="200" w:startChars="0" w:start="0" w:endChars="0" w:end="0"/>
        <w:rPr>
          <w:rFonts w:eastAsia="黑体;SimHei" w:hint="eastAsia"/>
          <w:color w:val="000000"/>
        </w:rPr>
      </w:pPr>
      <w:r>
        <w:rPr>
          <w:rFonts w:eastAsia="黑体;SimHei" w:hint="eastAsia"/>
          <w:color w:val="000000"/>
        </w:rPr>
      </w:r>
    </w:p>
    <w:p>
      <w:pPr>
        <w:pStyle w:val="Normal"/>
        <w:ind w:firstLineChars="200" w:startChars="0" w:start="0" w:endChars="0" w:end="0"/>
        <w:rPr>
          <w:color w:val="000000"/>
        </w:rPr>
      </w:pPr>
      <w:r>
        <w:rPr>
          <w:rFonts w:hint="eastAsia" w:eastAsia="黑体;SimHei"/>
          <w:color w:val="000000"/>
        </w:rPr>
        <w:t>第四十六条</w:t>
      </w:r>
      <w:r>
        <w:rPr>
          <w:rFonts w:eastAsia="黑体;SimHei"/>
          <w:color w:val="000000"/>
        </w:rPr>
        <w:t xml:space="preserve">  </w:t>
      </w:r>
      <w:r>
        <w:rPr>
          <w:rFonts w:hint="eastAsia"/>
          <w:color w:val="000000"/>
        </w:rPr>
        <w:t>违反本条例规定，建设单位有下列情形之一的，由市、县（市）区人民政府城乡建设行政主管部门按照下列规定予以处罚：</w:t>
      </w:r>
    </w:p>
    <w:p>
      <w:pPr>
        <w:pStyle w:val="Normal"/>
        <w:ind w:firstLineChars="200" w:startChars="0" w:start="0" w:endChars="0" w:end="0"/>
        <w:rPr>
          <w:color w:val="000000"/>
        </w:rPr>
      </w:pPr>
      <w:r>
        <w:rPr>
          <w:rFonts w:hint="eastAsia"/>
          <w:color w:val="000000"/>
        </w:rPr>
        <w:t>（一）明示或者暗示设计、施工单位违反绿色建筑强制性标准进行设计、施工的，责令改正，并处以二十万元以上五十万元以下的罚款；</w:t>
      </w:r>
    </w:p>
    <w:p>
      <w:pPr>
        <w:pStyle w:val="Normal"/>
        <w:ind w:firstLineChars="200" w:startChars="0" w:start="0" w:endChars="0" w:end="0"/>
        <w:rPr>
          <w:color w:val="000000"/>
        </w:rPr>
      </w:pPr>
      <w:r>
        <w:rPr>
          <w:rFonts w:hint="eastAsia"/>
          <w:color w:val="000000"/>
        </w:rPr>
        <w:t>（二）绿色建筑专项查验不合格或者建筑能效测评不符合设计要求通过竣工验收并擅自交付使用的，责令改正，并处以项目合同价款百分之二以上百分之四以下的罚款；</w:t>
      </w:r>
    </w:p>
    <w:p>
      <w:pPr>
        <w:pStyle w:val="Normal"/>
        <w:ind w:firstLineChars="200" w:startChars="0" w:start="0" w:endChars="0" w:end="0"/>
        <w:rPr>
          <w:color w:val="000000"/>
        </w:rPr>
      </w:pPr>
      <w:r>
        <w:rPr>
          <w:rFonts w:hint="eastAsia"/>
          <w:color w:val="000000"/>
        </w:rPr>
        <w:t>（三）未按照规定在建设项目施工或者销售现场公示绿色建筑相关信息、未在质量保证书和使用说明书中载明绿色建筑相关内容的，责令限期改正；逾期不改正的，处以三万元的罚款；</w:t>
      </w:r>
    </w:p>
    <w:p>
      <w:pPr>
        <w:pStyle w:val="Normal"/>
        <w:ind w:firstLineChars="200" w:startChars="0" w:start="0" w:endChars="0" w:end="0"/>
        <w:rPr>
          <w:color w:val="000000"/>
        </w:rPr>
      </w:pPr>
      <w:r>
        <w:rPr>
          <w:rFonts w:hint="eastAsia"/>
          <w:color w:val="000000"/>
        </w:rPr>
        <w:t>违反建筑节能强制性标准的，按照有关法律、法规予以处罚。</w:t>
      </w:r>
    </w:p>
    <w:p>
      <w:pPr>
        <w:pStyle w:val="Normal"/>
        <w:spacing w:lineRule="exact" w:line="560"/>
        <w:ind w:firstLineChars="200" w:startChars="0" w:start="0" w:endChars="0" w:end="0"/>
        <w:rPr>
          <w:color w:val="000000"/>
        </w:rPr>
      </w:pPr>
      <w:r>
        <w:rPr>
          <w:rFonts w:hint="eastAsia" w:eastAsia="黑体;SimHei"/>
          <w:color w:val="000000"/>
        </w:rPr>
        <w:t>第四十七条</w:t>
      </w:r>
      <w:r>
        <w:rPr>
          <w:rFonts w:hint="eastAsia" w:eastAsia="仿宋;宋体"/>
          <w:color w:val="000000"/>
        </w:rPr>
        <w:t>　</w:t>
      </w:r>
      <w:r>
        <w:rPr>
          <w:rFonts w:hint="eastAsia"/>
          <w:color w:val="000000"/>
        </w:rPr>
        <w:t>违反本条例第十四条第一款规定，设计单位未按照绿色建筑强制性标准进行设计的，由市、县（市）区人民政府城乡建设行政主管部门责令改正，并处以十万元以上三十万元以下的罚款；方案设计、初步设计和施工图设计文件中无绿色建筑专篇的，由市、县（市）区人民政府城乡建设行政主管部门责令改正，逾期不改正的，处以一万元以上三万元以下的罚款。</w:t>
      </w:r>
    </w:p>
    <w:p>
      <w:pPr>
        <w:pStyle w:val="Normal"/>
        <w:spacing w:lineRule="exact" w:line="560"/>
        <w:ind w:firstLineChars="200" w:startChars="0" w:start="0" w:endChars="0" w:end="0"/>
        <w:rPr>
          <w:color w:val="000000"/>
        </w:rPr>
      </w:pPr>
      <w:r>
        <w:rPr>
          <w:rFonts w:hint="eastAsia" w:eastAsia="黑体;SimHei"/>
          <w:color w:val="000000"/>
        </w:rPr>
        <w:t>第四十八条</w:t>
      </w:r>
      <w:r>
        <w:rPr>
          <w:rFonts w:hint="eastAsia"/>
          <w:color w:val="000000"/>
        </w:rPr>
        <w:t>　违反本条例第十四条第二款规定，施工图设计文件审查机构对未达到绿色建筑强制性标准出具施工图审查合格证书的，由市、县（市）区人民政府城乡建设行政主管部门责令改正，没收违法所得，并处以三万元的罚款；情节严重的，由市城乡建设行政主管部门根据有关规定，提请有权机关撤销对审查机构的认定。</w:t>
      </w:r>
    </w:p>
    <w:p>
      <w:pPr>
        <w:pStyle w:val="Normal"/>
        <w:shd w:fill="FFFFFF" w:val="clear"/>
        <w:spacing w:lineRule="exact" w:line="560"/>
        <w:ind w:firstLineChars="200" w:startChars="0" w:start="0" w:endChars="0" w:end="0"/>
        <w:rPr>
          <w:color w:val="000000"/>
        </w:rPr>
      </w:pPr>
      <w:r>
        <w:rPr>
          <w:rFonts w:cs="宋体;SimSun" w:hint="eastAsia" w:eastAsia="黑体;SimHei"/>
          <w:color w:val="000000"/>
        </w:rPr>
        <w:t>第四十九条</w:t>
      </w:r>
      <w:r>
        <w:rPr>
          <w:rFonts w:cs="宋体;SimSun" w:eastAsia="仿宋;宋体"/>
          <w:color w:val="000000"/>
        </w:rPr>
        <w:t xml:space="preserve">  </w:t>
      </w:r>
      <w:r>
        <w:rPr>
          <w:rFonts w:cs="宋体;SimSun" w:hint="eastAsia"/>
          <w:color w:val="000000"/>
        </w:rPr>
        <w:t>违反本条例第十五条第一款规定，施工单位未按照绿色建筑强制性标准进行施工的，由市、县（市）区人民政府城乡建设行政主管部门责令改</w:t>
      </w:r>
      <w:r>
        <w:rPr>
          <w:rFonts w:hint="eastAsia"/>
          <w:color w:val="000000"/>
        </w:rPr>
        <w:t>正，并处以民用建筑项目合同价款百分之二以上百分之四以下的罚款；情节严重的，由颁发资质证书的部门责令停业整顿，降低资质等级或者吊销资质证书；造成损失的，依法承担赔偿责任。</w:t>
      </w:r>
    </w:p>
    <w:p>
      <w:pPr>
        <w:pStyle w:val="Normal"/>
        <w:spacing w:lineRule="exact" w:line="620"/>
        <w:ind w:firstLineChars="200" w:startChars="0" w:start="0" w:endChars="0" w:end="0"/>
        <w:rPr>
          <w:color w:val="000000"/>
        </w:rPr>
      </w:pPr>
      <w:r>
        <w:rPr>
          <w:rFonts w:hint="eastAsia" w:eastAsia="黑体;SimHei"/>
          <w:color w:val="000000"/>
        </w:rPr>
        <w:t>第五十条</w:t>
      </w:r>
      <w:r>
        <w:rPr>
          <w:rFonts w:eastAsia="仿宋;宋体"/>
          <w:color w:val="000000"/>
        </w:rPr>
        <w:t xml:space="preserve">  </w:t>
      </w:r>
      <w:r>
        <w:rPr>
          <w:rFonts w:hint="eastAsia"/>
          <w:color w:val="000000"/>
        </w:rPr>
        <w:t>违反本条例第十五条第四款规定，监理单位未按照绿色建筑强制性标准实施监理的，由市、县（市）区人民政府城乡建设行政主管部门责令改正；逾期未改正的，处以十万元以上三十万元以下的罚款。</w:t>
      </w:r>
    </w:p>
    <w:p>
      <w:pPr>
        <w:pStyle w:val="Normal"/>
        <w:spacing w:lineRule="exact" w:line="620"/>
        <w:ind w:firstLineChars="200" w:startChars="0" w:start="0" w:endChars="0" w:end="0"/>
        <w:rPr>
          <w:color w:val="000000"/>
        </w:rPr>
      </w:pPr>
      <w:r>
        <w:rPr>
          <w:rFonts w:hint="eastAsia" w:eastAsia="黑体;SimHei"/>
          <w:color w:val="000000"/>
        </w:rPr>
        <w:t>第五十一条</w:t>
      </w:r>
      <w:r>
        <w:rPr>
          <w:rFonts w:eastAsia="仿宋;宋体"/>
          <w:color w:val="000000"/>
        </w:rPr>
        <w:t xml:space="preserve">  </w:t>
      </w:r>
      <w:r>
        <w:rPr>
          <w:rFonts w:hint="eastAsia"/>
          <w:color w:val="000000"/>
        </w:rPr>
        <w:t>违反本条例第十七条第二款规定，从事节能检测和建筑能效测评的机构以及有关责任人员出具虚假或者严重失实的节能检测、建筑能效测评报告的，由市、县（市）区人民政府城乡建设行政主管部门责令改正，没收违法所得，并处以五万元以上十万元以下的罚款。</w:t>
      </w:r>
    </w:p>
    <w:p>
      <w:pPr>
        <w:pStyle w:val="Normal"/>
        <w:spacing w:lineRule="exact" w:line="620"/>
        <w:ind w:firstLineChars="200" w:startChars="0" w:start="0" w:endChars="0" w:end="0"/>
        <w:rPr>
          <w:rFonts w:eastAsia="仿宋;宋体" w:cs="宋体;SimSun"/>
          <w:color w:val="000000"/>
        </w:rPr>
      </w:pPr>
      <w:r>
        <w:rPr>
          <w:rFonts w:hint="eastAsia" w:eastAsia="黑体;SimHei"/>
          <w:color w:val="000000"/>
        </w:rPr>
        <w:t>第五十二条　</w:t>
      </w:r>
      <w:r>
        <w:rPr>
          <w:rFonts w:hint="eastAsia"/>
          <w:color w:val="000000"/>
        </w:rPr>
        <w:t>违反本条例第二十五条规定，建筑物所有权人、使用权人未按照规定传输、报送建筑能耗数据的，由市、县（市）区人民政府城乡建设行政主管部门责令改正；逾期未改正的，处以一万元以上五万元以下的罚款。</w:t>
      </w:r>
    </w:p>
    <w:p>
      <w:pPr>
        <w:pStyle w:val="Normal"/>
        <w:spacing w:lineRule="exact" w:line="620"/>
        <w:ind w:firstLineChars="200" w:startChars="0" w:start="0" w:endChars="0" w:end="0"/>
        <w:rPr>
          <w:color w:val="000000"/>
        </w:rPr>
      </w:pPr>
      <w:r>
        <w:rPr>
          <w:rFonts w:hint="eastAsia" w:eastAsia="黑体;SimHei"/>
          <w:color w:val="000000"/>
        </w:rPr>
        <w:t>第五十三条</w:t>
      </w:r>
      <w:r>
        <w:rPr>
          <w:rFonts w:eastAsia="仿宋;宋体"/>
          <w:color w:val="000000"/>
        </w:rPr>
        <w:t xml:space="preserve"> </w:t>
      </w:r>
      <w:r>
        <w:rPr>
          <w:color w:val="000000"/>
        </w:rPr>
        <w:t xml:space="preserve"> </w:t>
      </w:r>
      <w:r>
        <w:rPr>
          <w:rFonts w:hint="eastAsia"/>
          <w:color w:val="000000"/>
        </w:rPr>
        <w:t>市、县（市）区人民政府城乡建设行政主管部门和其他有关部门及其工作人员违反本办法规定，在绿色建筑监督管理工作中玩忽职守、滥用职权、徇私舞弊的，由有权机关对直接负责的主管人员和其他直接责任人员依法给予处分。</w:t>
      </w:r>
    </w:p>
    <w:p>
      <w:pPr>
        <w:pStyle w:val="Normal"/>
        <w:spacing w:lineRule="exact" w:line="620"/>
        <w:ind w:firstLineChars="200" w:startChars="0" w:start="0" w:endChars="0" w:end="0"/>
        <w:rPr>
          <w:color w:val="000000"/>
        </w:rPr>
      </w:pPr>
      <w:r>
        <w:rPr>
          <w:rFonts w:hint="eastAsia" w:eastAsia="黑体;SimHei"/>
          <w:color w:val="000000"/>
        </w:rPr>
        <w:t>第五十四条</w:t>
      </w:r>
      <w:r>
        <w:rPr>
          <w:rFonts w:eastAsia="仿宋;宋体"/>
          <w:color w:val="000000"/>
        </w:rPr>
        <w:t xml:space="preserve"> </w:t>
      </w:r>
      <w:r>
        <w:rPr>
          <w:color w:val="000000"/>
        </w:rPr>
        <w:t xml:space="preserve"> </w:t>
      </w:r>
      <w:r>
        <w:rPr>
          <w:rFonts w:hint="eastAsia"/>
          <w:color w:val="000000"/>
        </w:rPr>
        <w:t>违反本条例的行为，法律、法规已有处罚规定的，从其规定。</w:t>
      </w:r>
    </w:p>
    <w:p>
      <w:pPr>
        <w:pStyle w:val="Normal"/>
        <w:spacing w:lineRule="exact" w:line="620"/>
        <w:ind w:firstLineChars="200" w:startChars="0" w:start="0" w:endChars="0" w:end="0"/>
        <w:rPr>
          <w:rFonts w:hint="eastAsia"/>
          <w:color w:val="000000"/>
        </w:rPr>
      </w:pPr>
      <w:r>
        <w:rPr>
          <w:rFonts w:hint="eastAsia"/>
          <w:color w:val="000000"/>
        </w:rPr>
        <w:t>违反本条例规定予以处罚的，按照国家有关规定记入社会诚信档案。</w:t>
      </w:r>
    </w:p>
    <w:p>
      <w:pPr>
        <w:pStyle w:val="Normal"/>
        <w:spacing w:lineRule="exact" w:line="560"/>
        <w:ind w:firstLineChars="200" w:startChars="0" w:start="0" w:endChars="0" w:end="0"/>
        <w:rPr>
          <w:rFonts w:hint="eastAsia"/>
          <w:color w:val="000000"/>
        </w:rPr>
      </w:pPr>
      <w:r>
        <w:rPr>
          <w:rFonts w:hint="eastAsia"/>
          <w:color w:val="000000"/>
        </w:rPr>
      </w:r>
    </w:p>
    <w:p>
      <w:pPr>
        <w:pStyle w:val="Normal"/>
        <w:spacing w:lineRule="exact" w:line="560"/>
        <w:ind w:firstLineChars="200" w:startChars="0" w:start="0" w:endChars="0" w:end="0"/>
        <w:rPr>
          <w:rFonts w:hint="eastAsia"/>
          <w:color w:val="000000"/>
        </w:rPr>
      </w:pPr>
      <w:r>
        <w:rPr>
          <w:rFonts w:hint="eastAsia"/>
          <w:color w:val="000000"/>
        </w:rPr>
      </w:r>
    </w:p>
    <w:p>
      <w:pPr>
        <w:pStyle w:val="Normal"/>
        <w:spacing w:lineRule="exact" w:line="560"/>
        <w:jc w:val="center"/>
        <w:rPr>
          <w:rFonts w:eastAsia="黑体;SimHei"/>
          <w:color w:val="000000"/>
        </w:rPr>
      </w:pPr>
      <w:r>
        <w:rPr>
          <w:rFonts w:hint="eastAsia" w:eastAsia="黑体;SimHei"/>
          <w:color w:val="000000"/>
        </w:rPr>
        <w:t>第七章</w:t>
      </w:r>
      <w:r>
        <w:rPr>
          <w:rFonts w:eastAsia="黑体;SimHei"/>
          <w:color w:val="FF00FF"/>
        </w:rPr>
        <w:t xml:space="preserve"> </w:t>
      </w:r>
      <w:r>
        <w:rPr>
          <w:rFonts w:eastAsia="黑体;SimHei"/>
          <w:color w:val="000000"/>
        </w:rPr>
        <w:t xml:space="preserve"> </w:t>
      </w:r>
      <w:r>
        <w:rPr>
          <w:rFonts w:hint="eastAsia" w:eastAsia="黑体;SimHei"/>
          <w:color w:val="000000"/>
        </w:rPr>
        <w:t>附  则</w:t>
      </w:r>
    </w:p>
    <w:p>
      <w:pPr>
        <w:pStyle w:val="Normal"/>
        <w:spacing w:lineRule="exact" w:line="560"/>
        <w:ind w:firstLineChars="200" w:startChars="0" w:start="0" w:endChars="0" w:end="0"/>
        <w:rPr>
          <w:rFonts w:eastAsia="黑体;SimHei" w:hint="eastAsia"/>
          <w:color w:val="000000"/>
        </w:rPr>
      </w:pPr>
      <w:r>
        <w:rPr>
          <w:rFonts w:eastAsia="黑体;SimHei" w:hint="eastAsia"/>
          <w:color w:val="000000"/>
        </w:rPr>
      </w:r>
    </w:p>
    <w:p>
      <w:pPr>
        <w:pStyle w:val="Normal"/>
        <w:spacing w:lineRule="exact" w:line="560"/>
        <w:ind w:firstLineChars="200" w:startChars="0" w:start="0" w:endChars="0" w:end="0"/>
        <w:rPr>
          <w:color w:val="000000"/>
        </w:rPr>
      </w:pPr>
      <w:r>
        <w:rPr>
          <w:rFonts w:hint="eastAsia" w:eastAsia="黑体;SimHei"/>
          <w:color w:val="000000"/>
        </w:rPr>
        <w:t>第五十五条</w:t>
      </w:r>
      <w:r>
        <w:rPr>
          <w:rFonts w:eastAsia="仿宋;宋体"/>
          <w:color w:val="000000"/>
        </w:rPr>
        <w:t xml:space="preserve">  </w:t>
      </w:r>
      <w:r>
        <w:rPr>
          <w:rFonts w:hint="eastAsia"/>
          <w:color w:val="000000"/>
        </w:rPr>
        <w:t>市人民政府应当依据本条例制定相应的实施细则。</w:t>
      </w:r>
    </w:p>
    <w:p>
      <w:pPr>
        <w:pStyle w:val="Normal"/>
        <w:ind w:firstLineChars="200" w:startChars="0" w:start="0" w:endChars="0" w:end="0"/>
        <w:rPr>
          <w:color w:val="000000"/>
        </w:rPr>
      </w:pPr>
      <w:r>
        <w:rPr>
          <w:rFonts w:hint="eastAsia" w:eastAsia="黑体;SimHei"/>
          <w:color w:val="000000"/>
        </w:rPr>
        <w:t>第五十六条</w:t>
      </w:r>
      <w:r>
        <w:rPr>
          <w:rFonts w:eastAsia="仿宋;宋体"/>
          <w:color w:val="000000"/>
        </w:rPr>
        <w:t xml:space="preserve">  </w:t>
      </w:r>
      <w:r>
        <w:rPr>
          <w:rFonts w:hint="eastAsia"/>
          <w:color w:val="000000"/>
        </w:rPr>
        <w:t>本条例自</w:t>
      </w:r>
      <w:r>
        <w:rPr>
          <w:color w:val="000000"/>
        </w:rPr>
        <w:t>2017</w:t>
      </w:r>
      <w:r>
        <w:rPr>
          <w:rFonts w:hint="eastAsia"/>
          <w:color w:val="000000"/>
        </w:rPr>
        <w:t>年</w:t>
      </w:r>
      <w:r>
        <w:rPr>
          <w:color w:val="000000"/>
        </w:rPr>
        <w:t>10</w:t>
      </w:r>
      <w:r>
        <w:rPr>
          <w:rFonts w:hint="eastAsia"/>
          <w:color w:val="000000"/>
        </w:rPr>
        <w:t>月</w:t>
      </w:r>
      <w:r>
        <w:rPr>
          <w:color w:val="000000"/>
        </w:rPr>
        <w:t>1</w:t>
      </w:r>
      <w:r>
        <w:rPr>
          <w:rFonts w:hint="eastAsia"/>
          <w:color w:val="000000"/>
        </w:rPr>
        <w:t>日起施行。</w:t>
      </w:r>
    </w:p>
    <w:p>
      <w:pPr>
        <w:pStyle w:val="Normal"/>
        <w:rPr>
          <w:rFonts w:hint="eastAsia"/>
          <w:color w:val="000000"/>
          <w:szCs w:val="28"/>
        </w:rPr>
      </w:pPr>
      <w:r>
        <w:rPr>
          <w:rFonts w:hint="eastAsia"/>
          <w:color w:val="000000"/>
          <w:szCs w:val="28"/>
        </w:rPr>
      </w:r>
    </w:p>
    <w:sectPr>
      <w:footerReference w:type="default" r:id="rId2"/>
      <w:type w:val="nextPage"/>
      <w:pgSz w:w="11906" w:h="16838"/>
      <w:pgMar w:left="1531" w:right="1531" w:gutter="0" w:header="0" w:top="1871" w:footer="153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18</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18</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2017-08-03T08:46:00Z</dcterms:created>
  <dc:creator>ch</dc:creator>
  <dc:description/>
  <cp:keywords/>
  <dc:language>en-US</dc:language>
  <cp:lastModifiedBy>梁艳</cp:lastModifiedBy>
  <cp:lastPrinted>2017-05-27T13:00:00Z</cp:lastPrinted>
  <dcterms:modified xsi:type="dcterms:W3CDTF">2017-08-03T15:39:00Z</dcterms:modified>
  <cp:revision>12</cp:revision>
  <dc:subject/>
  <dc:title>板心</dc:title>
</cp:coreProperties>
</file>