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eastAsia="楷体_GB2312" w:hint="eastAsia"/>
          <w:color w:val="000000"/>
          <w:szCs w:val="30"/>
        </w:rPr>
      </w:pPr>
      <w:r>
        <w:rPr>
          <w:rFonts w:eastAsia="楷体_GB2312" w:hint="eastAsia"/>
          <w:color w:val="000000"/>
          <w:szCs w:val="30"/>
        </w:rPr>
      </w:r>
    </w:p>
    <w:p>
      <w:pPr>
        <w:pStyle w:val="Normal"/>
        <w:spacing w:lineRule="exact" w:line="680"/>
        <w:jc w:val="center"/>
        <w:rPr>
          <w:rFonts w:ascii="方正小标宋简体" w:hAnsi="方正小标宋简体" w:eastAsia="方正小标宋简体" w:cs="宋体;SimSun" w:hint="eastAsia"/>
          <w:color w:val="000000"/>
          <w:sz w:val="44"/>
          <w:szCs w:val="36"/>
        </w:rPr>
      </w:pPr>
      <w:r>
        <w:rPr>
          <w:rFonts w:ascii="方正小标宋简体" w:hAnsi="方正小标宋简体" w:cs="宋体;SimSun" w:hint="eastAsia" w:eastAsia="方正小标宋简体"/>
          <w:color w:val="000000"/>
          <w:sz w:val="44"/>
          <w:szCs w:val="36"/>
        </w:rPr>
        <w:t>安徽省人民代表大会常务委员会关于批准</w:t>
      </w:r>
    </w:p>
    <w:p>
      <w:pPr>
        <w:pStyle w:val="Normal"/>
        <w:spacing w:lineRule="exact" w:line="680"/>
        <w:jc w:val="center"/>
        <w:rPr>
          <w:rFonts w:ascii="方正小标宋简体" w:hAnsi="方正小标宋简体" w:eastAsia="方正小标宋简体" w:cs="宋体;SimSun" w:hint="eastAsia"/>
          <w:color w:val="000000"/>
          <w:sz w:val="44"/>
          <w:szCs w:val="36"/>
        </w:rPr>
      </w:pPr>
      <w:r>
        <w:rPr>
          <w:rFonts w:ascii="方正小标宋简体" w:hAnsi="方正小标宋简体" w:hint="eastAsia" w:eastAsia="方正小标宋简体"/>
          <w:color w:val="000000"/>
          <w:sz w:val="44"/>
        </w:rPr>
        <w:t>《</w:t>
      </w:r>
      <w:r>
        <w:rPr>
          <w:rFonts w:ascii="方正小标宋简体" w:hAnsi="方正小标宋简体" w:hint="eastAsia" w:eastAsia="方正小标宋简体"/>
          <w:sz w:val="44"/>
          <w:szCs w:val="44"/>
        </w:rPr>
        <w:t>马鞍山市燃放烟花爆竹管理条例</w:t>
      </w:r>
      <w:r>
        <w:rPr>
          <w:rFonts w:ascii="方正小标宋简体" w:hAnsi="方正小标宋简体" w:hint="eastAsia" w:eastAsia="方正小标宋简体"/>
          <w:color w:val="000000"/>
          <w:sz w:val="44"/>
        </w:rPr>
        <w:t>》</w:t>
      </w:r>
      <w:r>
        <w:rPr>
          <w:rFonts w:ascii="方正小标宋简体" w:hAnsi="方正小标宋简体" w:cs="宋体;SimSun" w:hint="eastAsia" w:eastAsia="方正小标宋简体"/>
          <w:color w:val="000000"/>
          <w:sz w:val="44"/>
          <w:szCs w:val="36"/>
        </w:rPr>
        <w:t>的决议</w:t>
      </w:r>
    </w:p>
    <w:p>
      <w:pPr>
        <w:pStyle w:val="Normal"/>
        <w:spacing w:lineRule="exact" w:line="680"/>
        <w:jc w:val="center"/>
        <w:rPr>
          <w:rFonts w:ascii="方正小标宋简体" w:hAnsi="方正小标宋简体" w:eastAsia="方正小标宋简体" w:cs="宋体;SimSun" w:hint="eastAsia"/>
          <w:color w:val="000000"/>
          <w:sz w:val="44"/>
          <w:szCs w:val="36"/>
        </w:rPr>
      </w:pPr>
      <w:r>
        <w:rPr>
          <w:rFonts w:eastAsia="方正小标宋简体" w:cs="宋体;SimSun" w:hint="eastAsia" w:ascii="方正小标宋简体" w:hAnsi="方正小标宋简体"/>
          <w:color w:val="000000"/>
          <w:sz w:val="44"/>
          <w:szCs w:val="36"/>
        </w:rPr>
      </w:r>
    </w:p>
    <w:p>
      <w:pPr>
        <w:pStyle w:val="Normal"/>
        <w:jc w:val="center"/>
        <w:rPr/>
      </w:pPr>
      <w:r>
        <w:rPr>
          <w:rFonts w:eastAsia="楷体_GB2312"/>
          <w:color w:val="000000"/>
          <w:szCs w:val="30"/>
        </w:rPr>
        <w:t>（</w:t>
      </w:r>
      <w:r>
        <w:rPr>
          <w:rFonts w:eastAsia="楷体_GB2312"/>
          <w:color w:val="000000"/>
          <w:szCs w:val="30"/>
        </w:rPr>
        <w:t>201</w:t>
      </w:r>
      <w:r>
        <w:rPr>
          <w:rFonts w:eastAsia="楷体_GB2312" w:hint="eastAsia"/>
          <w:color w:val="000000"/>
          <w:szCs w:val="30"/>
        </w:rPr>
        <w:t>8</w:t>
      </w:r>
      <w:r>
        <w:rPr>
          <w:rFonts w:eastAsia="楷体_GB2312"/>
          <w:color w:val="000000"/>
          <w:szCs w:val="30"/>
        </w:rPr>
        <w:t>年</w:t>
      </w:r>
      <w:r>
        <w:rPr>
          <w:rFonts w:eastAsia="楷体_GB2312" w:hint="eastAsia"/>
          <w:color w:val="000000"/>
          <w:szCs w:val="30"/>
        </w:rPr>
        <w:t>12</w:t>
      </w:r>
      <w:r>
        <w:rPr>
          <w:rFonts w:eastAsia="楷体_GB2312"/>
          <w:color w:val="000000"/>
          <w:szCs w:val="30"/>
        </w:rPr>
        <w:t>月</w:t>
      </w:r>
      <w:r>
        <w:rPr>
          <w:rFonts w:eastAsia="楷体_GB2312" w:hint="eastAsia"/>
          <w:color w:val="000000"/>
          <w:szCs w:val="30"/>
        </w:rPr>
        <w:t>21</w:t>
      </w:r>
      <w:r>
        <w:rPr>
          <w:rFonts w:eastAsia="楷体_GB2312"/>
          <w:color w:val="000000"/>
          <w:szCs w:val="30"/>
        </w:rPr>
        <w:t>日安徽省第十</w:t>
      </w:r>
      <w:r>
        <w:rPr>
          <w:rFonts w:hint="eastAsia" w:eastAsia="楷体_GB2312"/>
          <w:color w:val="000000"/>
          <w:szCs w:val="30"/>
        </w:rPr>
        <w:t>三</w:t>
      </w:r>
      <w:r>
        <w:rPr>
          <w:rFonts w:eastAsia="楷体_GB2312"/>
          <w:color w:val="000000"/>
          <w:szCs w:val="30"/>
        </w:rPr>
        <w:t>届人民代表大会</w:t>
      </w:r>
    </w:p>
    <w:p>
      <w:pPr>
        <w:pStyle w:val="Normal"/>
        <w:jc w:val="center"/>
        <w:rPr>
          <w:rFonts w:eastAsia="楷体_GB2312"/>
          <w:color w:val="000000"/>
          <w:szCs w:val="30"/>
        </w:rPr>
      </w:pPr>
      <w:r>
        <w:rPr>
          <w:rFonts w:hint="eastAsia" w:eastAsia="楷体_GB2312"/>
          <w:color w:val="000000"/>
          <w:szCs w:val="30"/>
        </w:rPr>
        <w:t>常务委员会第七次会议通过）</w:t>
      </w:r>
    </w:p>
    <w:p>
      <w:pPr>
        <w:pStyle w:val="Normal"/>
        <w:jc w:val="center"/>
        <w:rPr>
          <w:rFonts w:eastAsia="楷体_GB2312" w:hint="eastAsia"/>
          <w:color w:val="000000"/>
          <w:szCs w:val="30"/>
        </w:rPr>
      </w:pPr>
      <w:r>
        <w:rPr>
          <w:rFonts w:eastAsia="楷体_GB2312" w:hint="eastAsia"/>
          <w:color w:val="000000"/>
          <w:szCs w:val="30"/>
        </w:rPr>
      </w:r>
    </w:p>
    <w:p>
      <w:pPr>
        <w:pStyle w:val="Normal"/>
        <w:ind w:firstLineChars="200" w:startChars="0" w:start="0" w:endChars="0" w:end="0"/>
        <w:rPr>
          <w:rFonts w:ascii="仿宋_GB2312" w:hAnsi="仿宋_GB2312"/>
          <w:color w:val="000000"/>
        </w:rPr>
      </w:pPr>
      <w:r>
        <w:rPr>
          <w:rFonts w:ascii="仿宋_GB2312" w:hAnsi="仿宋_GB2312"/>
          <w:color w:val="000000"/>
        </w:rPr>
        <w:t>安徽省第十</w:t>
      </w:r>
      <w:r>
        <w:rPr>
          <w:rFonts w:ascii="仿宋_GB2312" w:hAnsi="仿宋_GB2312" w:hint="eastAsia"/>
          <w:color w:val="000000"/>
        </w:rPr>
        <w:t>三</w:t>
      </w:r>
      <w:r>
        <w:rPr>
          <w:rFonts w:ascii="仿宋_GB2312" w:hAnsi="仿宋_GB2312"/>
          <w:color w:val="000000"/>
        </w:rPr>
        <w:t>届人民代表大会常务委员会第</w:t>
      </w:r>
      <w:r>
        <w:rPr>
          <w:rFonts w:ascii="仿宋_GB2312" w:hAnsi="仿宋_GB2312" w:hint="eastAsia"/>
          <w:color w:val="000000"/>
        </w:rPr>
        <w:t>七</w:t>
      </w:r>
      <w:r>
        <w:rPr>
          <w:rFonts w:ascii="仿宋_GB2312" w:hAnsi="仿宋_GB2312"/>
          <w:color w:val="000000"/>
        </w:rPr>
        <w:t>次会议审查了</w:t>
      </w:r>
      <w:r>
        <w:rPr>
          <w:rFonts w:ascii="仿宋_GB2312" w:hAnsi="仿宋_GB2312" w:hint="eastAsia"/>
          <w:color w:val="000000"/>
        </w:rPr>
        <w:t>《</w:t>
      </w:r>
      <w:r>
        <w:rPr>
          <w:rFonts w:ascii="仿宋_GB2312" w:hAnsi="仿宋_GB2312" w:cs="仿宋" w:hint="eastAsia"/>
        </w:rPr>
        <w:t>马鞍山市燃放烟花爆竹管理条例</w:t>
      </w:r>
      <w:r>
        <w:rPr>
          <w:rFonts w:ascii="仿宋_GB2312" w:hAnsi="仿宋_GB2312" w:hint="eastAsia"/>
          <w:color w:val="000000"/>
        </w:rPr>
        <w:t>》</w:t>
      </w:r>
      <w:r>
        <w:rPr>
          <w:rFonts w:ascii="仿宋_GB2312" w:hAnsi="仿宋_GB2312"/>
          <w:color w:val="000000"/>
        </w:rPr>
        <w:t>，决定予以批准，由</w:t>
      </w:r>
      <w:r>
        <w:rPr>
          <w:rFonts w:ascii="仿宋_GB2312" w:hAnsi="仿宋_GB2312" w:cs="仿宋" w:hint="eastAsia"/>
        </w:rPr>
        <w:t>马鞍山</w:t>
      </w:r>
      <w:r>
        <w:rPr>
          <w:rFonts w:ascii="仿宋_GB2312" w:hAnsi="仿宋_GB2312"/>
          <w:color w:val="000000"/>
        </w:rPr>
        <w:t>市人民代表大会常务委员会公布</w:t>
      </w:r>
      <w:r>
        <w:rPr>
          <w:rFonts w:ascii="仿宋_GB2312" w:hAnsi="仿宋_GB2312" w:hint="eastAsia"/>
          <w:color w:val="000000"/>
        </w:rPr>
        <w:t>施行</w:t>
      </w:r>
      <w:r>
        <w:rPr>
          <w:rFonts w:ascii="仿宋_GB2312" w:hAnsi="仿宋_GB2312"/>
          <w:color w:val="000000"/>
        </w:rPr>
        <w:t>。</w:t>
      </w:r>
      <w:r>
        <w:br w:type="page"/>
      </w:r>
    </w:p>
    <w:p>
      <w:pPr>
        <w:pStyle w:val="Normal"/>
        <w:ind w:firstLineChars="200" w:startChars="0" w:start="0" w:endChars="0" w:end="0"/>
        <w:rPr>
          <w:rFonts w:ascii="仿宋_GB2312" w:hAnsi="仿宋_GB2312"/>
          <w:color w:val="000000"/>
        </w:rPr>
      </w:pPr>
      <w:r>
        <w:rPr>
          <w:rFonts w:ascii="仿宋_GB2312" w:hAnsi="仿宋_GB2312"/>
          <w:color w:val="000000"/>
        </w:rPr>
      </w:r>
    </w:p>
    <w:p>
      <w:pPr>
        <w:pStyle w:val="Normal"/>
        <w:spacing w:lineRule="exact" w:line="640"/>
        <w:jc w:val="center"/>
        <w:rPr>
          <w:rFonts w:ascii="方正小标宋简体" w:hAnsi="方正小标宋简体" w:eastAsia="方正小标宋简体" w:hint="eastAsia"/>
          <w:sz w:val="44"/>
          <w:szCs w:val="44"/>
        </w:rPr>
      </w:pPr>
      <w:r>
        <w:rPr>
          <w:rFonts w:ascii="方正小标宋简体" w:hAnsi="方正小标宋简体" w:hint="eastAsia" w:eastAsia="方正小标宋简体"/>
          <w:sz w:val="44"/>
          <w:szCs w:val="44"/>
        </w:rPr>
        <w:t>马鞍山市燃放烟花爆竹管理条例</w:t>
      </w:r>
    </w:p>
    <w:p>
      <w:pPr>
        <w:pStyle w:val="Normal"/>
        <w:jc w:val="center"/>
        <w:rPr>
          <w:rFonts w:ascii="方正小标宋简体" w:hAnsi="方正小标宋简体" w:eastAsia="方正小标宋简体" w:hint="eastAsia"/>
          <w:sz w:val="44"/>
          <w:szCs w:val="44"/>
        </w:rPr>
      </w:pPr>
      <w:r>
        <w:rPr>
          <w:rFonts w:eastAsia="方正小标宋简体" w:hint="eastAsia" w:ascii="方正小标宋简体" w:hAnsi="方正小标宋简体"/>
          <w:sz w:val="44"/>
          <w:szCs w:val="44"/>
        </w:rPr>
      </w:r>
    </w:p>
    <w:p>
      <w:pPr>
        <w:pStyle w:val="Normal"/>
        <w:ind w:firstLineChars="200" w:startChars="0" w:start="0" w:endChars="0" w:end="0"/>
        <w:rPr/>
      </w:pPr>
      <w:r>
        <w:rPr>
          <w:rFonts w:eastAsia="楷体_GB2312"/>
        </w:rPr>
        <w:t>（</w:t>
      </w:r>
      <w:r>
        <w:rPr>
          <w:rFonts w:eastAsia="楷体_GB2312"/>
        </w:rPr>
        <w:t>2018</w:t>
      </w:r>
      <w:r>
        <w:rPr>
          <w:rFonts w:eastAsia="楷体_GB2312"/>
        </w:rPr>
        <w:t>年</w:t>
      </w:r>
      <w:r>
        <w:rPr>
          <w:rFonts w:eastAsia="楷体_GB2312"/>
        </w:rPr>
        <w:t>12</w:t>
      </w:r>
      <w:r>
        <w:rPr>
          <w:rFonts w:eastAsia="楷体_GB2312"/>
        </w:rPr>
        <w:t>月</w:t>
      </w:r>
      <w:r>
        <w:rPr>
          <w:rFonts w:eastAsia="楷体_GB2312"/>
        </w:rPr>
        <w:t>7</w:t>
      </w:r>
      <w:r>
        <w:rPr>
          <w:rFonts w:eastAsia="楷体_GB2312"/>
        </w:rPr>
        <w:t>日马鞍山市第十六届人民代表大会常务委员会第七次会议通过</w:t>
      </w:r>
      <w:r>
        <w:rPr>
          <w:rFonts w:hint="eastAsia" w:eastAsia="楷体_GB2312"/>
        </w:rPr>
        <w:t xml:space="preserve">  </w:t>
      </w:r>
      <w:r>
        <w:rPr>
          <w:rFonts w:eastAsia="楷体_GB2312"/>
          <w:bCs/>
          <w:color w:val="000000"/>
        </w:rPr>
        <w:t>2018</w:t>
      </w:r>
      <w:r>
        <w:rPr>
          <w:rFonts w:eastAsia="楷体_GB2312"/>
          <w:bCs/>
          <w:color w:val="000000"/>
        </w:rPr>
        <w:t>年</w:t>
      </w:r>
      <w:r>
        <w:rPr>
          <w:rFonts w:eastAsia="楷体_GB2312"/>
          <w:bCs/>
          <w:color w:val="000000"/>
        </w:rPr>
        <w:t>1</w:t>
      </w:r>
      <w:r>
        <w:rPr>
          <w:rFonts w:eastAsia="楷体_GB2312" w:hint="eastAsia"/>
          <w:bCs/>
          <w:color w:val="000000"/>
        </w:rPr>
        <w:t>2</w:t>
      </w:r>
      <w:r>
        <w:rPr>
          <w:rFonts w:eastAsia="楷体_GB2312"/>
          <w:bCs/>
          <w:color w:val="000000"/>
        </w:rPr>
        <w:t>月</w:t>
      </w:r>
      <w:r>
        <w:rPr>
          <w:rFonts w:eastAsia="楷体_GB2312" w:hint="eastAsia"/>
          <w:bCs/>
          <w:color w:val="000000"/>
        </w:rPr>
        <w:t>21</w:t>
      </w:r>
      <w:r>
        <w:rPr>
          <w:rFonts w:ascii="楷体_GB2312" w:hAnsi="楷体_GB2312" w:hint="eastAsia" w:eastAsia="楷体_GB2312"/>
          <w:bCs/>
          <w:color w:val="000000"/>
        </w:rPr>
        <w:t>日安徽省第十三届人民代表大会常务委员会第七次会议批准</w:t>
      </w:r>
      <w:r>
        <w:rPr>
          <w:rFonts w:eastAsia="楷体_GB2312"/>
        </w:rPr>
        <w:t>）</w:t>
      </w:r>
    </w:p>
    <w:p>
      <w:pPr>
        <w:pStyle w:val="Normal"/>
        <w:ind w:firstLineChars="200" w:startChars="0" w:start="0" w:endChars="0" w:end="0"/>
        <w:rPr>
          <w:rFonts w:eastAsia="楷体_GB2312"/>
        </w:rPr>
      </w:pPr>
      <w:r>
        <w:rPr>
          <w:rFonts w:eastAsia="楷体_GB2312"/>
        </w:rPr>
      </w:r>
    </w:p>
    <w:p>
      <w:pPr>
        <w:pStyle w:val="Normal"/>
        <w:ind w:firstLineChars="200" w:startChars="0" w:start="0" w:endChars="0" w:end="0"/>
        <w:rPr/>
      </w:pPr>
      <w:r>
        <w:rPr>
          <w:rFonts w:ascii="黑体;SimHei" w:hAnsi="黑体;SimHei" w:hint="eastAsia" w:eastAsia="黑体;SimHei"/>
        </w:rPr>
        <w:t>第一条</w:t>
      </w:r>
      <w:r>
        <w:rPr>
          <w:rFonts w:hint="eastAsia"/>
        </w:rPr>
        <w:t xml:space="preserve">  为了保障公共安全和人身、财产安全，维护社会秩序，减少环境污染，根据国务院《烟花爆竹安全管理条例》和有关法律、行政法规，结合本市实际，制定本条例。</w:t>
      </w:r>
    </w:p>
    <w:p>
      <w:pPr>
        <w:pStyle w:val="Normal"/>
        <w:ind w:firstLineChars="200" w:startChars="0" w:start="0" w:endChars="0" w:end="0"/>
        <w:rPr/>
      </w:pPr>
      <w:r>
        <w:rPr>
          <w:rFonts w:ascii="黑体;SimHei" w:hAnsi="黑体;SimHei" w:hint="eastAsia" w:eastAsia="黑体;SimHei"/>
        </w:rPr>
        <w:t>第二条</w:t>
      </w:r>
      <w:r>
        <w:rPr>
          <w:rFonts w:hint="eastAsia"/>
        </w:rPr>
        <w:t xml:space="preserve">  本条例适用于本市行政区域内烟花爆竹的禁止燃放及其相关监督管理工作。</w:t>
      </w:r>
    </w:p>
    <w:p>
      <w:pPr>
        <w:pStyle w:val="Normal"/>
        <w:ind w:firstLineChars="200" w:startChars="0" w:start="0" w:endChars="0" w:end="0"/>
        <w:rPr/>
      </w:pPr>
      <w:r>
        <w:rPr>
          <w:rFonts w:ascii="黑体;SimHei" w:hAnsi="黑体;SimHei" w:hint="eastAsia" w:eastAsia="黑体;SimHei"/>
        </w:rPr>
        <w:t>第三条</w:t>
      </w:r>
      <w:r>
        <w:rPr>
          <w:rFonts w:hint="eastAsia"/>
        </w:rPr>
        <w:t xml:space="preserve">  本条例所称烟花爆竹，是指烟花爆竹制品和用于生产烟花爆竹的民用黑火药、烟火药、引火药等物品。</w:t>
      </w:r>
    </w:p>
    <w:p>
      <w:pPr>
        <w:pStyle w:val="Normal"/>
        <w:ind w:firstLineChars="200" w:startChars="0" w:start="0" w:endChars="0" w:end="0"/>
        <w:rPr/>
      </w:pPr>
      <w:r>
        <w:rPr>
          <w:rFonts w:ascii="黑体;SimHei" w:hAnsi="黑体;SimHei" w:hint="eastAsia" w:eastAsia="黑体;SimHei"/>
          <w:spacing w:val="-4"/>
        </w:rPr>
        <w:t>第四条</w:t>
      </w:r>
      <w:r>
        <w:rPr>
          <w:rFonts w:hint="eastAsia"/>
          <w:spacing w:val="-4"/>
        </w:rPr>
        <w:t xml:space="preserve">  本市花山区、雨山区行政区域内禁止燃放烟花爆竹。</w:t>
      </w:r>
    </w:p>
    <w:p>
      <w:pPr>
        <w:pStyle w:val="Normal"/>
        <w:ind w:firstLineChars="200" w:startChars="0" w:start="0" w:endChars="0" w:end="0"/>
        <w:rPr>
          <w:rFonts w:hint="eastAsia"/>
        </w:rPr>
      </w:pPr>
      <w:r>
        <w:rPr>
          <w:rFonts w:hint="eastAsia"/>
        </w:rPr>
        <w:t>含山县、和县、当涂县、博望区人民政府在本行政区域内，依法确定禁止燃放烟花爆竹的时段、场所、区域。</w:t>
      </w:r>
    </w:p>
    <w:p>
      <w:pPr>
        <w:pStyle w:val="Normal"/>
        <w:ind w:firstLineChars="200" w:startChars="0" w:start="0" w:endChars="0" w:end="0"/>
        <w:rPr/>
      </w:pPr>
      <w:r>
        <w:rPr>
          <w:rFonts w:ascii="黑体;SimHei" w:hAnsi="黑体;SimHei" w:hint="eastAsia" w:eastAsia="黑体;SimHei"/>
        </w:rPr>
        <w:t>第五条</w:t>
      </w:r>
      <w:r>
        <w:rPr>
          <w:rFonts w:hint="eastAsia"/>
        </w:rPr>
        <w:t xml:space="preserve">  黄色及以上等级重污染天气预警期间，本市行政区域全面禁止燃放烟花爆竹。重污染天气预警信息由市人民政府按照规定程序向社会公布。</w:t>
      </w:r>
    </w:p>
    <w:p>
      <w:pPr>
        <w:pStyle w:val="Normal"/>
        <w:ind w:firstLineChars="200" w:startChars="0" w:start="0" w:endChars="0" w:end="0"/>
        <w:rPr>
          <w:rFonts w:hint="eastAsia"/>
        </w:rPr>
      </w:pPr>
      <w:r>
        <w:rPr>
          <w:rFonts w:ascii="黑体;SimHei" w:hAnsi="黑体;SimHei" w:hint="eastAsia" w:eastAsia="黑体;SimHei"/>
        </w:rPr>
        <w:t>第六条</w:t>
      </w:r>
      <w:r>
        <w:rPr>
          <w:rFonts w:hint="eastAsia"/>
        </w:rPr>
        <w:t xml:space="preserve">  </w:t>
      </w:r>
      <w:r>
        <w:rPr>
          <w:rFonts w:hint="eastAsia"/>
          <w:spacing w:val="4"/>
        </w:rPr>
        <w:t>在禁止燃放烟花爆竹区域和场所，禁止销售烟花爆竹。</w:t>
      </w:r>
    </w:p>
    <w:p>
      <w:pPr>
        <w:pStyle w:val="Normal"/>
        <w:ind w:firstLineChars="200" w:startChars="0" w:start="0" w:endChars="0" w:end="0"/>
        <w:rPr/>
      </w:pPr>
      <w:r>
        <w:rPr>
          <w:rFonts w:ascii="黑体;SimHei" w:hAnsi="黑体;SimHei" w:hint="eastAsia" w:eastAsia="黑体;SimHei"/>
        </w:rPr>
        <w:t>第七条</w:t>
      </w:r>
      <w:r>
        <w:rPr>
          <w:rFonts w:hint="eastAsia"/>
        </w:rPr>
        <w:t xml:space="preserve">  禁止携带烟花爆竹搭乘公共交通工具。</w:t>
      </w:r>
    </w:p>
    <w:p>
      <w:pPr>
        <w:pStyle w:val="Normal"/>
        <w:ind w:firstLineChars="200" w:startChars="0" w:start="0" w:endChars="0" w:end="0"/>
        <w:rPr>
          <w:rFonts w:hint="eastAsia"/>
        </w:rPr>
      </w:pPr>
      <w:r>
        <w:rPr>
          <w:rFonts w:hint="eastAsia"/>
        </w:rPr>
        <w:t>禁止邮寄烟花爆竹，禁止在托运的行李、包裹、邮件中夹带烟花爆竹。</w:t>
      </w:r>
    </w:p>
    <w:p>
      <w:pPr>
        <w:pStyle w:val="Normal"/>
        <w:ind w:firstLineChars="200" w:startChars="0" w:start="0" w:endChars="0" w:end="0"/>
        <w:rPr/>
      </w:pPr>
      <w:r>
        <w:rPr>
          <w:rFonts w:ascii="黑体;SimHei" w:hAnsi="黑体;SimHei" w:hint="eastAsia" w:eastAsia="黑体;SimHei"/>
        </w:rPr>
        <w:t>第八条</w:t>
      </w:r>
      <w:r>
        <w:rPr>
          <w:rFonts w:hint="eastAsia"/>
        </w:rPr>
        <w:t xml:space="preserve">  本条例由市、县（区）人民政府组织实施。市、县（区）人民政府应当建立综合协调机制，将禁止燃放烟花爆竹管理工作作为文明创建和社会治安综合治理的内容。</w:t>
      </w:r>
    </w:p>
    <w:p>
      <w:pPr>
        <w:pStyle w:val="Normal"/>
        <w:ind w:firstLineChars="200" w:startChars="0" w:start="0" w:endChars="0" w:end="0"/>
        <w:rPr>
          <w:rFonts w:hint="eastAsia"/>
        </w:rPr>
      </w:pPr>
      <w:r>
        <w:rPr>
          <w:rFonts w:hint="eastAsia"/>
        </w:rPr>
        <w:t>乡（镇）人民政府、街道办事处应当落实属地管理职责，做好禁止燃放烟花爆竹的管理工作。</w:t>
      </w:r>
    </w:p>
    <w:p>
      <w:pPr>
        <w:pStyle w:val="Normal"/>
        <w:ind w:firstLineChars="200" w:startChars="0" w:start="0" w:endChars="0" w:end="0"/>
        <w:rPr>
          <w:rFonts w:hint="eastAsia"/>
        </w:rPr>
      </w:pPr>
      <w:r>
        <w:rPr>
          <w:rFonts w:hint="eastAsia"/>
        </w:rPr>
        <w:t>开发区管委会应当按照市人民政府的要求，做好本区域禁止燃放烟花爆竹的管理工作。</w:t>
      </w:r>
    </w:p>
    <w:p>
      <w:pPr>
        <w:pStyle w:val="Normal"/>
        <w:ind w:firstLineChars="200" w:startChars="0" w:start="0" w:endChars="0" w:end="0"/>
        <w:rPr/>
      </w:pPr>
      <w:r>
        <w:rPr>
          <w:rFonts w:ascii="黑体;SimHei" w:hAnsi="黑体;SimHei" w:hint="eastAsia" w:eastAsia="黑体;SimHei"/>
        </w:rPr>
        <w:t>第九条</w:t>
      </w:r>
      <w:r>
        <w:rPr>
          <w:rFonts w:hint="eastAsia"/>
        </w:rPr>
        <w:t xml:space="preserve">  公安部门负责烟花爆竹的公共安全管理，依法查处违法燃放烟花爆竹的行为。</w:t>
      </w:r>
    </w:p>
    <w:p>
      <w:pPr>
        <w:pStyle w:val="Normal"/>
        <w:ind w:firstLineChars="200" w:startChars="0" w:start="0" w:endChars="0" w:end="0"/>
        <w:rPr>
          <w:rFonts w:hint="eastAsia"/>
        </w:rPr>
      </w:pPr>
      <w:r>
        <w:rPr>
          <w:rFonts w:hint="eastAsia"/>
        </w:rPr>
        <w:t>安全生产监督管理部门负责烟花爆竹的安全生产监督管理，依法查处非法生产、经营烟花爆竹的行为。</w:t>
      </w:r>
    </w:p>
    <w:p>
      <w:pPr>
        <w:pStyle w:val="Normal"/>
        <w:ind w:firstLineChars="200" w:startChars="0" w:start="0" w:endChars="0" w:end="0"/>
        <w:rPr>
          <w:rFonts w:hint="eastAsia"/>
        </w:rPr>
      </w:pPr>
      <w:r>
        <w:rPr>
          <w:rFonts w:hint="eastAsia"/>
        </w:rPr>
        <w:t>城市管理行政执法部门负责依法查处燃放烟花爆竹影响环境卫生、毁坏城市绿化和市政设施等行为。</w:t>
      </w:r>
    </w:p>
    <w:p>
      <w:pPr>
        <w:pStyle w:val="Normal"/>
        <w:ind w:firstLineChars="200" w:startChars="0" w:start="0" w:endChars="0" w:end="0"/>
        <w:rPr>
          <w:rFonts w:hint="eastAsia"/>
        </w:rPr>
      </w:pPr>
      <w:r>
        <w:rPr>
          <w:rFonts w:hint="eastAsia"/>
        </w:rPr>
        <w:t>住房城乡建设部门负责督促建设、施工、监理等单位遵守禁止燃放烟花爆竹的管理规定；督促物业服务企业做好物业管理区域内禁止燃放烟花爆竹的工作，对违反禁止燃放烟花爆竹管理规定的行为进行劝阻和举报。</w:t>
      </w:r>
    </w:p>
    <w:p>
      <w:pPr>
        <w:pStyle w:val="Normal"/>
        <w:ind w:firstLineChars="200" w:startChars="0" w:start="0" w:endChars="0" w:end="0"/>
        <w:rPr>
          <w:rFonts w:hint="eastAsia"/>
        </w:rPr>
      </w:pPr>
      <w:r>
        <w:rPr>
          <w:rFonts w:hint="eastAsia"/>
        </w:rPr>
        <w:t>民政部门负责指导婚姻登记机关、殡仪馆、陵园等单位以及社会组织开展禁止燃放烟花爆竹的宣传教育工作，引导婚丧嫁娶活动遵守禁止燃放烟花爆竹管理规定。</w:t>
      </w:r>
    </w:p>
    <w:p>
      <w:pPr>
        <w:pStyle w:val="Normal"/>
        <w:ind w:firstLineChars="200" w:startChars="0" w:start="0" w:endChars="0" w:end="0"/>
        <w:rPr>
          <w:rFonts w:hint="eastAsia"/>
        </w:rPr>
      </w:pPr>
      <w:r>
        <w:rPr>
          <w:rFonts w:hint="eastAsia"/>
        </w:rPr>
        <w:t>市场监管、交通运输、环境保护、文化和旅游、教育、卫生、经济和信息化等行政管理部门按照各自职责，依法做好禁止燃放烟花爆竹管理的相关工作。</w:t>
      </w:r>
    </w:p>
    <w:p>
      <w:pPr>
        <w:pStyle w:val="Normal"/>
        <w:ind w:firstLineChars="200" w:startChars="0" w:start="0" w:endChars="0" w:end="0"/>
        <w:rPr>
          <w:rFonts w:hint="eastAsia"/>
        </w:rPr>
      </w:pPr>
      <w:r>
        <w:rPr>
          <w:rFonts w:hint="eastAsia"/>
        </w:rPr>
        <w:t>各职能部门应当相互配合，建立婚庆、殡葬、开工开业等重要信息线索的推送及互通共享机制。</w:t>
      </w:r>
    </w:p>
    <w:p>
      <w:pPr>
        <w:pStyle w:val="Normal"/>
        <w:ind w:firstLineChars="200" w:startChars="0" w:start="0" w:endChars="0" w:end="0"/>
        <w:rPr/>
      </w:pPr>
      <w:r>
        <w:rPr>
          <w:rFonts w:ascii="黑体;SimHei" w:hAnsi="黑体;SimHei" w:hint="eastAsia" w:eastAsia="黑体;SimHei"/>
        </w:rPr>
        <w:t>第十条</w:t>
      </w:r>
      <w:r>
        <w:rPr>
          <w:rFonts w:hint="eastAsia"/>
        </w:rPr>
        <w:t xml:space="preserve">  各级人民政府及其有关部门、街道办事处、村（居）民委员会，以及企事业单位、社会团体、学校应当开展禁止燃放烟花爆竹的宣传教育活动。</w:t>
      </w:r>
    </w:p>
    <w:p>
      <w:pPr>
        <w:pStyle w:val="Normal"/>
        <w:ind w:firstLineChars="200" w:startChars="0" w:start="0" w:endChars="0" w:end="0"/>
        <w:rPr>
          <w:rFonts w:hint="eastAsia"/>
        </w:rPr>
      </w:pPr>
      <w:r>
        <w:rPr>
          <w:rFonts w:hint="eastAsia"/>
        </w:rPr>
        <w:t>广播、电视、报刊、互联网等媒体，应当开展禁止燃放烟花爆竹的公益性宣传工作。</w:t>
      </w:r>
    </w:p>
    <w:p>
      <w:pPr>
        <w:pStyle w:val="Normal"/>
        <w:ind w:firstLineChars="200" w:startChars="0" w:start="0" w:endChars="0" w:end="0"/>
        <w:rPr>
          <w:rFonts w:hint="eastAsia"/>
        </w:rPr>
      </w:pPr>
      <w:r>
        <w:rPr>
          <w:rFonts w:hint="eastAsia"/>
        </w:rPr>
        <w:t>未成年人的监护人应当对未成年人进行禁止燃放烟花爆竹的教育和监管。</w:t>
      </w:r>
    </w:p>
    <w:p>
      <w:pPr>
        <w:pStyle w:val="Normal"/>
        <w:ind w:firstLineChars="200" w:startChars="0" w:start="0" w:endChars="0" w:end="0"/>
        <w:rPr/>
      </w:pPr>
      <w:r>
        <w:rPr>
          <w:rFonts w:ascii="黑体;SimHei" w:hAnsi="黑体;SimHei" w:hint="eastAsia" w:eastAsia="黑体;SimHei"/>
        </w:rPr>
        <w:t>第十一条</w:t>
      </w:r>
      <w:r>
        <w:rPr>
          <w:rFonts w:hint="eastAsia"/>
        </w:rPr>
        <w:t xml:space="preserve">  村（居）民委员会，从事物业服务、婚丧喜庆服务以及宾馆、酒店的经营者，对服务对象或者服务区域违法燃放烟花爆竹的行为，应当及时予以劝阻，劝阻无效的应当及时向公安部门举报。</w:t>
      </w:r>
    </w:p>
    <w:p>
      <w:pPr>
        <w:pStyle w:val="Normal"/>
        <w:ind w:firstLineChars="200" w:startChars="0" w:start="0" w:endChars="0" w:end="0"/>
        <w:rPr/>
      </w:pPr>
      <w:r>
        <w:rPr>
          <w:rFonts w:ascii="黑体;SimHei" w:hAnsi="黑体;SimHei" w:hint="eastAsia" w:eastAsia="黑体;SimHei"/>
        </w:rPr>
        <w:t>第十二条</w:t>
      </w:r>
      <w:r>
        <w:rPr>
          <w:rFonts w:hint="eastAsia"/>
        </w:rPr>
        <w:t xml:space="preserve">  鼓励创新各种形式的禁止燃放烟花爆竹管理工作模式。</w:t>
      </w:r>
    </w:p>
    <w:p>
      <w:pPr>
        <w:pStyle w:val="Normal"/>
        <w:ind w:firstLineChars="200" w:startChars="0" w:start="0" w:endChars="0" w:end="0"/>
        <w:rPr>
          <w:rFonts w:hint="eastAsia"/>
        </w:rPr>
      </w:pPr>
      <w:r>
        <w:rPr>
          <w:rFonts w:hint="eastAsia"/>
        </w:rPr>
        <w:t>鼓励社会各方面力量参与禁止燃放烟花爆竹管理活动。</w:t>
      </w:r>
    </w:p>
    <w:p>
      <w:pPr>
        <w:pStyle w:val="Normal"/>
        <w:ind w:firstLineChars="200" w:startChars="0" w:start="0" w:endChars="0" w:end="0"/>
        <w:rPr>
          <w:rFonts w:hint="eastAsia"/>
        </w:rPr>
      </w:pPr>
      <w:r>
        <w:rPr>
          <w:rFonts w:hint="eastAsia"/>
        </w:rPr>
        <w:t>鼓励单位和个人对违反本条例的行为进行劝阻、举报。公安、安全生产监督管理等部门接到举报后，应当及时查处。对查证属实的，给予举报人奖励，奖励办法由市人民政府规定。</w:t>
      </w:r>
    </w:p>
    <w:p>
      <w:pPr>
        <w:pStyle w:val="Normal"/>
        <w:ind w:firstLineChars="200" w:startChars="0" w:start="0" w:endChars="0" w:end="0"/>
        <w:rPr/>
      </w:pPr>
      <w:r>
        <w:rPr>
          <w:rFonts w:ascii="黑体;SimHei" w:hAnsi="黑体;SimHei" w:hint="eastAsia" w:eastAsia="黑体;SimHei"/>
        </w:rPr>
        <w:t>第十三条</w:t>
      </w:r>
      <w:r>
        <w:rPr>
          <w:rFonts w:hint="eastAsia"/>
        </w:rPr>
        <w:t xml:space="preserve">  逢重大公共活动，确需在花山区、雨山区行政区域内举办焰火晚会或者其他大型焰火燃放活动的，应当经市人民政府同意后，由主办单位依照法律、法规的规定申请许可；属于县（区）人民政府确定的禁止燃放烟花爆竹区域、场所、时段的，应当经县（区）人民政府同意后，由主办单位依照法律、法规的规定申请许可。</w:t>
      </w:r>
    </w:p>
    <w:p>
      <w:pPr>
        <w:pStyle w:val="Normal"/>
        <w:ind w:firstLineChars="200" w:startChars="0" w:start="0" w:endChars="0" w:end="0"/>
        <w:rPr/>
      </w:pPr>
      <w:r>
        <w:rPr>
          <w:rFonts w:ascii="黑体;SimHei" w:hAnsi="黑体;SimHei" w:hint="eastAsia" w:eastAsia="黑体;SimHei"/>
        </w:rPr>
        <w:t>第十四条</w:t>
      </w:r>
      <w:r>
        <w:rPr>
          <w:rFonts w:hint="eastAsia"/>
        </w:rPr>
        <w:t xml:space="preserve">  违反本条例第四条、第五条规定，在禁止燃放烟花爆竹区域、场所、时段燃放烟花爆竹的，由公安部门责令停止燃放，处一百元以上五百元以下罚款。</w:t>
      </w:r>
    </w:p>
    <w:p>
      <w:pPr>
        <w:pStyle w:val="Normal"/>
        <w:ind w:firstLineChars="200" w:startChars="0" w:start="0" w:endChars="0" w:end="0"/>
        <w:rPr/>
      </w:pPr>
      <w:r>
        <w:rPr>
          <w:rFonts w:ascii="黑体;SimHei" w:hAnsi="黑体;SimHei" w:hint="eastAsia" w:eastAsia="黑体;SimHei"/>
        </w:rPr>
        <w:t>第十五条</w:t>
      </w:r>
      <w:r>
        <w:rPr>
          <w:rFonts w:hint="eastAsia"/>
        </w:rPr>
        <w:t xml:space="preserve">  违反本条例第六条规定，在禁止燃放烟花爆竹区域和场所销售烟花爆竹的，由安全生产监督管理部门责令停止违法行为，处二万元以上十万元以下罚款，并没收烟花爆竹及违法所得。</w:t>
      </w:r>
    </w:p>
    <w:p>
      <w:pPr>
        <w:pStyle w:val="Normal"/>
        <w:ind w:firstLineChars="200" w:startChars="0" w:start="0" w:endChars="0" w:end="0"/>
        <w:rPr/>
      </w:pPr>
      <w:r>
        <w:rPr>
          <w:rFonts w:ascii="黑体;SimHei" w:hAnsi="黑体;SimHei" w:hint="eastAsia" w:eastAsia="黑体;SimHei"/>
        </w:rPr>
        <w:t>第十六条</w:t>
      </w:r>
      <w:r>
        <w:rPr>
          <w:rFonts w:hint="eastAsia"/>
        </w:rPr>
        <w:t xml:space="preserve">  违反本条例第七条规定，携带烟花爆竹搭乘公共交通工具，或者邮寄烟花爆竹以及在托运的行李、包裹、邮件中夹带烟花爆竹的，由公安部门没收非法携带、邮寄、夹带的烟花爆竹，可以并处二百元以上一千元以下罚款。</w:t>
      </w:r>
    </w:p>
    <w:p>
      <w:pPr>
        <w:pStyle w:val="Normal"/>
        <w:ind w:firstLineChars="200" w:startChars="0" w:start="0" w:endChars="0" w:end="0"/>
        <w:rPr/>
      </w:pPr>
      <w:r>
        <w:rPr>
          <w:rFonts w:ascii="黑体;SimHei" w:hAnsi="黑体;SimHei" w:hint="eastAsia" w:eastAsia="黑体;SimHei"/>
        </w:rPr>
        <w:t>第十七条</w:t>
      </w:r>
      <w:r>
        <w:rPr>
          <w:rFonts w:hint="eastAsia"/>
        </w:rPr>
        <w:t xml:space="preserve">  违反本条例第十一条规定，从事物业服务、婚丧喜庆服务以及宾馆、酒店的经营者，对服务对象或者服务区域范围内违法燃放烟花爆竹行为不劝阻或劝阻无效不举报的，由公安部门处一千元以上二千元以下罚款。</w:t>
      </w:r>
    </w:p>
    <w:p>
      <w:pPr>
        <w:pStyle w:val="Normal"/>
        <w:ind w:firstLineChars="200" w:startChars="0" w:start="0" w:endChars="0" w:end="0"/>
        <w:rPr/>
      </w:pPr>
      <w:r>
        <w:rPr>
          <w:rFonts w:ascii="黑体;SimHei" w:hAnsi="黑体;SimHei" w:hint="eastAsia" w:eastAsia="黑体;SimHei"/>
        </w:rPr>
        <w:t>第十八条</w:t>
      </w:r>
      <w:r>
        <w:rPr>
          <w:rFonts w:hint="eastAsia"/>
        </w:rPr>
        <w:t xml:space="preserve">  违反本条例第十三条规定，未经许可举办焰火晚会以及其他大型焰火燃放活动的，由公安部门责令停止燃放，对责任单位处一万元以上五万元以下罚款。</w:t>
      </w:r>
    </w:p>
    <w:p>
      <w:pPr>
        <w:pStyle w:val="Normal"/>
        <w:ind w:firstLineChars="200" w:startChars="0" w:start="0" w:endChars="0" w:end="0"/>
        <w:rPr/>
      </w:pPr>
      <w:r>
        <w:rPr>
          <w:rFonts w:ascii="黑体;SimHei" w:hAnsi="黑体;SimHei" w:hint="eastAsia" w:eastAsia="黑体;SimHei"/>
        </w:rPr>
        <w:t>第十九条</w:t>
      </w:r>
      <w:r>
        <w:rPr>
          <w:rFonts w:hint="eastAsia"/>
        </w:rPr>
        <w:t xml:space="preserve">  在禁止燃放烟花爆竹管理工作中负有责任的单位及其工作人员，有下列行为之一的，由有关部门对主要负责人、直接责任人，依法给予处分。</w:t>
      </w:r>
    </w:p>
    <w:p>
      <w:pPr>
        <w:pStyle w:val="Normal"/>
        <w:ind w:firstLineChars="200" w:startChars="0" w:start="0" w:endChars="0" w:end="0"/>
        <w:rPr>
          <w:rFonts w:hint="eastAsia"/>
        </w:rPr>
      </w:pPr>
      <w:r>
        <w:rPr>
          <w:rFonts w:hint="eastAsia"/>
        </w:rPr>
        <w:t>（一）不履行禁止燃放烟花爆竹管理职责的；</w:t>
      </w:r>
    </w:p>
    <w:p>
      <w:pPr>
        <w:pStyle w:val="Normal"/>
        <w:ind w:firstLineChars="200" w:startChars="0" w:start="0" w:endChars="0" w:end="0"/>
        <w:rPr>
          <w:rFonts w:hint="eastAsia"/>
        </w:rPr>
      </w:pPr>
      <w:r>
        <w:rPr>
          <w:rFonts w:hint="eastAsia"/>
        </w:rPr>
        <w:t>（二）对举报人的举报不受理、不及时调查处理的；</w:t>
      </w:r>
    </w:p>
    <w:p>
      <w:pPr>
        <w:pStyle w:val="Normal"/>
        <w:ind w:firstLineChars="200" w:startChars="0" w:start="0" w:endChars="0" w:end="0"/>
        <w:rPr>
          <w:rFonts w:hint="eastAsia"/>
        </w:rPr>
      </w:pPr>
      <w:r>
        <w:rPr>
          <w:rFonts w:hint="eastAsia"/>
        </w:rPr>
        <w:t>（三）对不符合法定条件的许可申请予以许可的；</w:t>
      </w:r>
    </w:p>
    <w:p>
      <w:pPr>
        <w:pStyle w:val="Normal"/>
        <w:ind w:firstLineChars="200" w:startChars="0" w:start="0" w:endChars="0" w:end="0"/>
        <w:rPr>
          <w:rFonts w:hint="eastAsia"/>
        </w:rPr>
      </w:pPr>
      <w:r>
        <w:rPr>
          <w:rFonts w:hint="eastAsia"/>
        </w:rPr>
        <w:t>（四）对违反本条例规定应予处罚的违法行为不处罚的；</w:t>
      </w:r>
    </w:p>
    <w:p>
      <w:pPr>
        <w:pStyle w:val="Normal"/>
        <w:ind w:firstLineChars="200" w:startChars="0" w:start="0" w:endChars="0" w:end="0"/>
        <w:rPr>
          <w:rFonts w:hint="eastAsia"/>
        </w:rPr>
      </w:pPr>
      <w:r>
        <w:rPr>
          <w:rFonts w:hint="eastAsia"/>
        </w:rPr>
        <w:t>（五）违法实施行政处罚的；</w:t>
      </w:r>
    </w:p>
    <w:p>
      <w:pPr>
        <w:pStyle w:val="Normal"/>
        <w:ind w:firstLineChars="200" w:startChars="0" w:start="0" w:endChars="0" w:end="0"/>
        <w:rPr>
          <w:rFonts w:hint="eastAsia"/>
        </w:rPr>
      </w:pPr>
      <w:r>
        <w:rPr>
          <w:rFonts w:hint="eastAsia"/>
        </w:rPr>
        <w:t>（六）其他违法行为。</w:t>
      </w:r>
    </w:p>
    <w:p>
      <w:pPr>
        <w:pStyle w:val="Normal"/>
        <w:ind w:firstLineChars="200" w:startChars="0" w:start="0" w:endChars="0" w:end="0"/>
        <w:rPr/>
      </w:pPr>
      <w:r>
        <w:rPr>
          <w:rFonts w:ascii="黑体;SimHei" w:hAnsi="黑体;SimHei" w:hint="eastAsia" w:eastAsia="黑体;SimHei"/>
        </w:rPr>
        <w:t>第二十条</w:t>
      </w:r>
      <w:r>
        <w:rPr>
          <w:rFonts w:hint="eastAsia"/>
        </w:rPr>
        <w:t xml:space="preserve">  违反本条例规定，造成财产损失或者人身伤害的，依法承担民事责任；构成违反治安管理行为的，依法给予治安管理处罚；构成犯罪的，依法追究刑事责任。</w:t>
      </w:r>
    </w:p>
    <w:p>
      <w:pPr>
        <w:pStyle w:val="Normal"/>
        <w:ind w:firstLineChars="200" w:startChars="0" w:start="0" w:endChars="0" w:end="0"/>
        <w:rPr/>
      </w:pPr>
      <w:r>
        <w:rPr>
          <w:rFonts w:ascii="黑体;SimHei" w:hAnsi="黑体;SimHei" w:hint="eastAsia" w:eastAsia="黑体;SimHei"/>
        </w:rPr>
        <w:t>第二十一条</w:t>
      </w:r>
      <w:r>
        <w:rPr>
          <w:rFonts w:hint="eastAsia"/>
        </w:rPr>
        <w:t xml:space="preserve">  在禁止燃放烟花爆竹的区域、场所、时段内，施放电子礼炮等烟花爆竹替代物品，造成环境污染的，依照有关法律、法规的规定处罚。</w:t>
      </w:r>
    </w:p>
    <w:p>
      <w:pPr>
        <w:pStyle w:val="Normal"/>
        <w:ind w:firstLineChars="200" w:startChars="0" w:start="0" w:endChars="0" w:end="0"/>
        <w:rPr/>
      </w:pPr>
      <w:r>
        <w:rPr>
          <w:rFonts w:ascii="黑体;SimHei" w:hAnsi="黑体;SimHei" w:hint="eastAsia" w:eastAsia="黑体;SimHei"/>
        </w:rPr>
        <w:t>第二十二条</w:t>
      </w:r>
      <w:r>
        <w:rPr>
          <w:rFonts w:hint="eastAsia"/>
        </w:rPr>
        <w:t xml:space="preserve">  本条例自</w:t>
      </w:r>
      <w:r>
        <w:rPr>
          <w:rFonts w:hint="eastAsia"/>
        </w:rPr>
        <w:t>2019</w:t>
      </w:r>
      <w:r>
        <w:rPr>
          <w:rFonts w:hint="eastAsia"/>
        </w:rPr>
        <w:t>年</w:t>
      </w:r>
      <w:r>
        <w:rPr>
          <w:rFonts w:hint="eastAsia"/>
        </w:rPr>
        <w:t>2</w:t>
      </w:r>
      <w:r>
        <w:rPr>
          <w:rFonts w:hint="eastAsia"/>
        </w:rPr>
        <w:t>月</w:t>
      </w:r>
      <w:r>
        <w:rPr>
          <w:rFonts w:hint="eastAsia"/>
        </w:rPr>
        <w:t>1</w:t>
      </w:r>
      <w:r>
        <w:rPr>
          <w:rFonts w:hint="eastAsia"/>
        </w:rPr>
        <w:t>日起施行。</w:t>
      </w:r>
    </w:p>
    <w:sectPr>
      <w:footerReference w:type="default" r:id="rId2"/>
      <w:type w:val="nextPage"/>
      <w:pgSz w:w="11906" w:h="16838"/>
      <w:pgMar w:left="1531" w:right="1531" w:gutter="0" w:header="0" w:top="1928" w:footer="1588" w:bottom="1928"/>
      <w:pgNumType w:start="1"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
    <w:charset w:val="86"/>
    <w:family w:val="modern"/>
    <w:pitch w:val="default"/>
  </w:font>
  <w:font w:name="宋体">
    <w:altName w:val="SimSun"/>
    <w:charset w:val="86"/>
    <w:family w:val="auto"/>
    <w:pitch w:val="variable"/>
  </w:font>
  <w:font w:name="Liberation Sans">
    <w:altName w:val="Arial"/>
    <w:charset w:val="01" w:characterSet="utf-8"/>
    <w:family w:val="swiss"/>
    <w:pitch w:val="variable"/>
  </w:font>
  <w:font w:name="Tahoma">
    <w:charset w:val="00" w:characterSet="windows-1252"/>
    <w:family w:val="swiss"/>
    <w:pitch w:val="variable"/>
  </w:font>
  <w:font w:name="Calibri">
    <w:charset w:val="00" w:characterSet="windows-1252"/>
    <w:family w:val="swiss"/>
    <w:pitch w:val="variable"/>
  </w:font>
  <w:font w:name="方正小标宋简体">
    <w:charset w:val="86"/>
    <w:family w:val="auto"/>
    <w:pitch w:val="variable"/>
  </w:font>
  <w:font w:name="仿宋_GB2312">
    <w:charset w:val="86"/>
    <w:family w:val="modern"/>
    <w:pitch w:val="default"/>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552450" cy="906780"/>
              <wp:effectExtent l="0" t="0" r="0" b="0"/>
              <wp:wrapSquare wrapText="bothSides"/>
              <wp:docPr id="1" name="Frame1"/>
              <a:graphic xmlns:a="http://schemas.openxmlformats.org/drawingml/2006/main">
                <a:graphicData uri="http://schemas.microsoft.com/office/word/2010/wordprocessingShape">
                  <wps:wsp>
                    <wps:cNvSpPr txBox="1"/>
                    <wps:spPr>
                      <a:xfrm>
                        <a:off x="0" y="0"/>
                        <a:ext cx="552450" cy="906780"/>
                      </a:xfrm>
                      <a:prstGeom prst="rect"/>
                      <a:solidFill>
                        <a:srgbClr val="FFFFFF">
                          <a:alpha val="0"/>
                        </a:srgbClr>
                      </a:solidFill>
                    </wps:spPr>
                    <wps:txbx>
                      <w:txbxContent>
                        <w:p>
                          <w:pPr>
                            <w:pStyle w:val="Footer"/>
                            <w:ind w:firstLineChars="0" w:firstLine="0" w:startChars="100" w:endChars="100"/>
                            <w:rPr>
                              <w:rStyle w:val="PageNumber"/>
                              <w:rFonts w:ascii="宋体;SimSun" w:hAnsi="宋体;SimSun" w:eastAsia="宋体;SimSun" w:cs="宋体;SimSun" w:hint="eastAsia"/>
                              <w:sz w:val="28"/>
                              <w:szCs w:val="28"/>
                            </w:rPr>
                          </w:pPr>
                          <w:r>
                            <w:rPr>
                              <w:rStyle w:val="PageNumber"/>
                              <w:rFonts w:eastAsia="宋体;SimSun" w:cs="宋体;SimSun" w:hint="eastAsia" w:ascii="宋体;SimSun" w:hAnsi="宋体;SimSun"/>
                              <w:sz w:val="28"/>
                              <w:szCs w:val="28"/>
                            </w:rPr>
                            <w:t xml:space="preserve">— </w:t>
                          </w:r>
                          <w:r>
                            <w:rPr>
                              <w:rStyle w:val="PageNumber"/>
                              <w:rFonts w:eastAsia="宋体;SimSun" w:cs="宋体;SimSun" w:ascii="宋体;SimSun" w:hAnsi="宋体;SimSun"/>
                              <w:sz w:val="28"/>
                              <w:szCs w:val="28"/>
                            </w:rPr>
                            <w:fldChar w:fldCharType="begin"/>
                          </w:r>
                          <w:r>
                            <w:rPr>
                              <w:rStyle w:val="PageNumber"/>
                              <w:rFonts w:eastAsia="宋体;SimSun" w:cs="宋体;SimSun" w:ascii="宋体;SimSun" w:hAnsi="宋体;SimSun"/>
                              <w:sz w:val="28"/>
                              <w:szCs w:val="28"/>
                            </w:rPr>
                            <w:instrText xml:space="preserve"> PAGE </w:instrText>
                          </w:r>
                          <w:r>
                            <w:rPr>
                              <w:rStyle w:val="PageNumber"/>
                              <w:rFonts w:eastAsia="宋体;SimSun" w:cs="宋体;SimSun" w:ascii="宋体;SimSun" w:hAnsi="宋体;SimSun"/>
                              <w:sz w:val="28"/>
                              <w:szCs w:val="28"/>
                            </w:rPr>
                            <w:fldChar w:fldCharType="separate"/>
                          </w:r>
                          <w:r>
                            <w:rPr>
                              <w:rStyle w:val="PageNumber"/>
                              <w:rFonts w:eastAsia="宋体;SimSun" w:cs="宋体;SimSun" w:ascii="宋体;SimSun" w:hAnsi="宋体;SimSun"/>
                              <w:sz w:val="28"/>
                              <w:szCs w:val="28"/>
                            </w:rPr>
                            <w:t>6</w:t>
                          </w:r>
                          <w:r>
                            <w:rPr>
                              <w:rStyle w:val="PageNumbe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43.5pt;height:71.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100" w:endChars="100"/>
                      <w:rPr>
                        <w:rStyle w:val="PageNumber"/>
                        <w:rFonts w:ascii="宋体;SimSun" w:hAnsi="宋体;SimSun" w:eastAsia="宋体;SimSun" w:cs="宋体;SimSun" w:hint="eastAsia"/>
                        <w:sz w:val="28"/>
                        <w:szCs w:val="28"/>
                      </w:rPr>
                    </w:pPr>
                    <w:r>
                      <w:rPr>
                        <w:rStyle w:val="PageNumber"/>
                        <w:rFonts w:eastAsia="宋体;SimSun" w:cs="宋体;SimSun" w:hint="eastAsia" w:ascii="宋体;SimSun" w:hAnsi="宋体;SimSun"/>
                        <w:sz w:val="28"/>
                        <w:szCs w:val="28"/>
                      </w:rPr>
                      <w:t xml:space="preserve">— </w:t>
                    </w:r>
                    <w:r>
                      <w:rPr>
                        <w:rStyle w:val="PageNumber"/>
                        <w:rFonts w:eastAsia="宋体;SimSun" w:cs="宋体;SimSun" w:ascii="宋体;SimSun" w:hAnsi="宋体;SimSun"/>
                        <w:sz w:val="28"/>
                        <w:szCs w:val="28"/>
                      </w:rPr>
                      <w:fldChar w:fldCharType="begin"/>
                    </w:r>
                    <w:r>
                      <w:rPr>
                        <w:rStyle w:val="PageNumber"/>
                        <w:rFonts w:eastAsia="宋体;SimSun" w:cs="宋体;SimSun" w:ascii="宋体;SimSun" w:hAnsi="宋体;SimSun"/>
                        <w:sz w:val="28"/>
                        <w:szCs w:val="28"/>
                      </w:rPr>
                      <w:instrText xml:space="preserve"> PAGE </w:instrText>
                    </w:r>
                    <w:r>
                      <w:rPr>
                        <w:rStyle w:val="PageNumber"/>
                        <w:rFonts w:eastAsia="宋体;SimSun" w:cs="宋体;SimSun" w:ascii="宋体;SimSun" w:hAnsi="宋体;SimSun"/>
                        <w:sz w:val="28"/>
                        <w:szCs w:val="28"/>
                      </w:rPr>
                      <w:fldChar w:fldCharType="separate"/>
                    </w:r>
                    <w:r>
                      <w:rPr>
                        <w:rStyle w:val="PageNumber"/>
                        <w:rFonts w:eastAsia="宋体;SimSun" w:cs="宋体;SimSun" w:ascii="宋体;SimSun" w:hAnsi="宋体;SimSun"/>
                        <w:sz w:val="28"/>
                        <w:szCs w:val="28"/>
                      </w:rPr>
                      <w:t>6</w:t>
                    </w:r>
                    <w:r>
                      <w:rPr>
                        <w:rStyle w:val="PageNumbe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5z0">
    <w:name w:val="WW8Num5z0"/>
    <w:qFormat/>
    <w:rPr>
      <w:rFonts w:ascii="仿宋" w:hAnsi="仿宋" w:eastAsia="仿宋" w:cs="Times New Roman"/>
    </w:rPr>
  </w:style>
  <w:style w:type="character" w:styleId="WW8Num6z0">
    <w:name w:val="WW8Num6z0"/>
    <w:qFormat/>
    <w:rPr/>
  </w:style>
  <w:style w:type="character" w:styleId="WW8Num7z0">
    <w:name w:val="WW8Num7z0"/>
    <w:qFormat/>
    <w:rPr/>
  </w:style>
  <w:style w:type="character" w:styleId="WW8Num8z0">
    <w:name w:val="WW8Num8z0"/>
    <w:qFormat/>
    <w:rPr/>
  </w:style>
  <w:style w:type="character" w:styleId="Style14">
    <w:name w:val="默认段落字体"/>
    <w:qFormat/>
    <w:rPr/>
  </w:style>
  <w:style w:type="character" w:styleId="PageNumber">
    <w:name w:val="page number"/>
    <w:basedOn w:val="Style14"/>
    <w:rPr/>
  </w:style>
  <w:style w:type="character" w:styleId="Emphasis">
    <w:name w:val="Emphasis"/>
    <w:qFormat/>
    <w:rPr>
      <w:i w:val="false"/>
      <w:iCs w:val="false"/>
      <w:color w:val="CC0000"/>
    </w:rPr>
  </w:style>
  <w:style w:type="character" w:styleId="Hyperlink">
    <w:name w:val="Hyperlink"/>
    <w:basedOn w:val="Style14"/>
    <w:rPr>
      <w:color w:val="0000FF"/>
      <w:u w:val="single"/>
    </w:rPr>
  </w:style>
  <w:style w:type="character" w:styleId="CharChar">
    <w:name w:val=" Char Char"/>
    <w:basedOn w:val="Style14"/>
    <w:qFormat/>
    <w:rPr>
      <w:rFonts w:eastAsia="仿宋_GB2312"/>
      <w:kern w:val="2"/>
      <w:sz w:val="18"/>
      <w:szCs w:val="18"/>
      <w:lang w:bidi="ar-SA"/>
    </w:rPr>
  </w:style>
  <w:style w:type="character" w:styleId="CharChar1">
    <w:name w:val=" Char Char1"/>
    <w:basedOn w:val="Style14"/>
    <w:qFormat/>
    <w:rPr>
      <w:rFonts w:ascii="宋体;SimSun" w:hAnsi="宋体;SimSun" w:eastAsia="宋体;SimSun" w:cs="Courier New"/>
      <w:kern w:val="2"/>
      <w:sz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普通(网站)"/>
    <w:basedOn w:val="Normal"/>
    <w:qFormat/>
    <w:pPr>
      <w:widowControl/>
      <w:spacing w:before="280" w:after="280"/>
      <w:jc w:val="start"/>
    </w:pPr>
    <w:rPr>
      <w:rFonts w:ascii="宋体;SimSun" w:hAnsi="宋体;SimSun" w:eastAsia="宋体;SimSun" w:cs="宋体;SimSun"/>
      <w:color w:val="000000"/>
      <w:kern w:val="0"/>
      <w:sz w:val="24"/>
      <w:szCs w:val="24"/>
    </w:rPr>
  </w:style>
  <w:style w:type="paragraph" w:styleId="2">
    <w:name w:val="正文文本缩进 2"/>
    <w:basedOn w:val="Normal"/>
    <w:qFormat/>
    <w:pPr>
      <w:ind w:firstLineChars="200" w:startChars="0" w:start="0" w:endChars="0" w:end="0"/>
    </w:pPr>
    <w:rPr>
      <w:spacing w:val="-4"/>
      <w:szCs w:val="24"/>
    </w:rPr>
  </w:style>
  <w:style w:type="paragraph" w:styleId="Char">
    <w:name w:val="Char"/>
    <w:basedOn w:val="Normal"/>
    <w:qFormat/>
    <w:pPr>
      <w:tabs>
        <w:tab w:val="clear" w:pos="420"/>
        <w:tab w:val="left" w:pos="360" w:leader="none"/>
      </w:tabs>
      <w:ind w:hangingChars="200" w:startChars="0" w:start="0" w:endChars="0" w:end="0"/>
    </w:pPr>
    <w:rPr>
      <w:rFonts w:eastAsia="宋体;SimSun"/>
      <w:sz w:val="24"/>
    </w:rPr>
  </w:style>
  <w:style w:type="paragraph" w:styleId="21">
    <w:name w:val="正文文本 2"/>
    <w:basedOn w:val="Normal"/>
    <w:qFormat/>
    <w:pPr>
      <w:spacing w:lineRule="auto" w:line="480" w:before="0" w:after="120"/>
    </w:pPr>
    <w:rPr>
      <w:rFonts w:eastAsia="宋体;SimSun"/>
      <w:sz w:val="21"/>
      <w:szCs w:val="24"/>
    </w:rPr>
  </w:style>
  <w:style w:type="paragraph" w:styleId="Style16">
    <w:name w:val="日期"/>
    <w:basedOn w:val="Normal"/>
    <w:next w:val="Normal"/>
    <w:qFormat/>
    <w:pPr>
      <w:ind w:firstLineChars="0" w:firstLine="0" w:startChars="2500" w:endChars="0" w:end="0"/>
    </w:pPr>
    <w:rPr/>
  </w:style>
  <w:style w:type="paragraph" w:styleId="Style17">
    <w:name w:val="文档结构图"/>
    <w:basedOn w:val="Normal"/>
    <w:qFormat/>
    <w:pPr>
      <w:shd w:fill="000080" w:val="clear"/>
    </w:pPr>
    <w:rPr/>
  </w:style>
  <w:style w:type="paragraph" w:styleId="Char1">
    <w:name w:val=" Char"/>
    <w:basedOn w:val="Style17"/>
    <w:qFormat/>
    <w:pPr>
      <w:spacing w:lineRule="exact" w:line="436"/>
      <w:ind w:hanging="0" w:start="357" w:end="0"/>
      <w:jc w:val="start"/>
      <w:outlineLvl w:val="3"/>
    </w:pPr>
    <w:rPr>
      <w:rFonts w:ascii="Tahoma" w:hAnsi="Tahoma" w:cs="Tahoma"/>
      <w:b/>
      <w:sz w:val="24"/>
    </w:rPr>
  </w:style>
  <w:style w:type="paragraph" w:styleId="ParaCharCharCharCharCharCharCharCharCharCharCharCharCharCharCharChar">
    <w:name w:val="默认段落字体 Para Char Char Char Char Char Char Char Char Char Char Char Char Char Char Char Char"/>
    <w:basedOn w:val="Normal"/>
    <w:qFormat/>
    <w:pPr/>
    <w:rPr>
      <w:rFonts w:eastAsia="宋体;SimSun"/>
      <w:sz w:val="21"/>
      <w:szCs w:val="20"/>
    </w:rPr>
  </w:style>
  <w:style w:type="paragraph" w:styleId="Style18">
    <w:name w:val="批注框文本"/>
    <w:basedOn w:val="Normal"/>
    <w:qFormat/>
    <w:pPr/>
    <w:rPr>
      <w:sz w:val="18"/>
      <w:szCs w:val="18"/>
    </w:rPr>
  </w:style>
  <w:style w:type="paragraph" w:styleId="ParaCharCharCharChar">
    <w:name w:val="默认段落字体 Para Char Char Char Char"/>
    <w:basedOn w:val="Normal"/>
    <w:qFormat/>
    <w:pPr/>
    <w:rPr>
      <w:rFonts w:eastAsia="宋体;SimSun"/>
      <w:sz w:val="21"/>
      <w:szCs w:val="20"/>
    </w:rPr>
  </w:style>
  <w:style w:type="paragraph" w:styleId="p0">
    <w:name w:val="p0"/>
    <w:basedOn w:val="Normal"/>
    <w:qFormat/>
    <w:pPr>
      <w:widowControl/>
    </w:pPr>
    <w:rPr>
      <w:rFonts w:eastAsia="宋体;SimSun"/>
      <w:kern w:val="0"/>
      <w:sz w:val="21"/>
      <w:szCs w:val="21"/>
    </w:rPr>
  </w:style>
  <w:style w:type="paragraph" w:styleId="ListParagraph">
    <w:name w:val="List Paragraph"/>
    <w:basedOn w:val="Normal"/>
    <w:qFormat/>
    <w:pPr>
      <w:ind w:firstLineChars="200" w:startChars="0" w:start="0" w:endChars="0" w:end="0"/>
    </w:pPr>
    <w:rPr>
      <w:rFonts w:ascii="Calibri" w:hAnsi="Calibri" w:eastAsia="宋体;SimSun" w:cs="Calibri"/>
      <w:sz w:val="21"/>
      <w:szCs w:val="22"/>
    </w:rPr>
  </w:style>
  <w:style w:type="paragraph" w:styleId="BodyTextIndent">
    <w:name w:val="Body Text Indent"/>
    <w:basedOn w:val="Normal"/>
    <w:pPr>
      <w:spacing w:lineRule="auto" w:line="360"/>
      <w:ind w:firstLineChars="200" w:startChars="0" w:start="0" w:endChars="0" w:end="0"/>
    </w:pPr>
    <w:rPr>
      <w:rFonts w:ascii="宋体;SimSun" w:hAnsi="宋体;SimSun" w:eastAsia="宋体;SimSun" w:cs="宋体;SimSun"/>
      <w:sz w:val="28"/>
      <w:szCs w:val="20"/>
    </w:rPr>
  </w:style>
  <w:style w:type="paragraph" w:styleId="Char11">
    <w:name w:val="Char1"/>
    <w:basedOn w:val="Normal"/>
    <w:qFormat/>
    <w:pPr>
      <w:tabs>
        <w:tab w:val="clear" w:pos="420"/>
        <w:tab w:val="left" w:pos="360" w:leader="none"/>
      </w:tabs>
    </w:pPr>
    <w:rPr>
      <w:szCs w:val="20"/>
    </w:rPr>
  </w:style>
  <w:style w:type="paragraph" w:styleId="p15">
    <w:name w:val="p15"/>
    <w:basedOn w:val="Normal"/>
    <w:qFormat/>
    <w:pPr>
      <w:widowControl/>
      <w:spacing w:before="280" w:after="280"/>
      <w:jc w:val="start"/>
    </w:pPr>
    <w:rPr>
      <w:rFonts w:ascii="宋体;SimSun" w:hAnsi="宋体;SimSun" w:eastAsia="宋体;SimSun" w:cs="宋体;SimSun"/>
      <w:kern w:val="0"/>
      <w:sz w:val="24"/>
      <w:szCs w:val="24"/>
    </w:rPr>
  </w:style>
  <w:style w:type="paragraph" w:styleId="CharCharCharChar">
    <w:name w:val="Char Char Char Char"/>
    <w:basedOn w:val="Normal"/>
    <w:qFormat/>
    <w:pPr/>
    <w:rPr>
      <w:rFonts w:eastAsia="宋体;SimSun"/>
      <w:sz w:val="21"/>
      <w:szCs w:val="24"/>
    </w:rPr>
  </w:style>
  <w:style w:type="paragraph" w:styleId="Style19">
    <w:name w:val="纯文本"/>
    <w:basedOn w:val="Normal"/>
    <w:qFormat/>
    <w:pPr/>
    <w:rPr>
      <w:rFonts w:ascii="宋体;SimSun" w:hAnsi="宋体;SimSun" w:eastAsia="宋体;SimSun" w:cs="Courier New"/>
      <w:sz w:val="21"/>
      <w:szCs w:val="20"/>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2018-12-25T10:49:00Z</dcterms:created>
  <dc:creator>ch</dc:creator>
  <dc:description/>
  <cp:keywords/>
  <dc:language>en-US</dc:language>
  <cp:lastModifiedBy>高青青</cp:lastModifiedBy>
  <cp:lastPrinted>2018-08-06T17:51:00Z</cp:lastPrinted>
  <dcterms:modified xsi:type="dcterms:W3CDTF">2018-12-25T14:29:00Z</dcterms:modified>
  <cp:revision>4</cp:revision>
  <dc:subject/>
  <dc:title>板心</dc:title>
</cp:coreProperties>
</file>