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680"/>
        <w:rPr>
          <w:rFonts w:eastAsia="方正小标宋简体"/>
          <w:color w:val="000000"/>
          <w:sz w:val="44"/>
          <w:szCs w:val="44"/>
        </w:rPr>
      </w:pPr>
      <w:r>
        <w:rPr>
          <w:rFonts w:eastAsia="方正小标宋简体"/>
          <w:color w:val="000000"/>
          <w:sz w:val="44"/>
          <w:szCs w:val="44"/>
        </w:rPr>
      </w:r>
    </w:p>
    <w:p>
      <w:pPr>
        <w:pStyle w:val="Normal"/>
        <w:spacing w:lineRule="exact" w:line="640"/>
        <w:jc w:val="center"/>
        <w:rPr>
          <w:rFonts w:ascii="宋体" w:hAnsi="宋体" w:eastAsia="宋体" w:cs="宋体"/>
          <w:b/>
          <w:color w:val="000000"/>
          <w:sz w:val="44"/>
          <w:szCs w:val="36"/>
        </w:rPr>
      </w:pPr>
      <w:r>
        <w:rPr>
          <w:rFonts w:ascii="宋体" w:hAnsi="宋体" w:cs="宋体" w:hint="eastAsia" w:eastAsia="宋体"/>
          <w:b/>
          <w:color w:val="000000"/>
          <w:sz w:val="44"/>
          <w:szCs w:val="36"/>
        </w:rPr>
        <w:t>安徽省人民代表大会常务委员会</w:t>
      </w:r>
    </w:p>
    <w:p>
      <w:pPr>
        <w:pStyle w:val="Normal"/>
        <w:spacing w:lineRule="exact" w:line="640"/>
        <w:jc w:val="center"/>
        <w:rPr>
          <w:rFonts w:ascii="宋体" w:hAnsi="宋体" w:eastAsia="宋体" w:cs="宋体" w:hint="eastAsia"/>
          <w:b/>
          <w:color w:val="000000"/>
          <w:sz w:val="44"/>
        </w:rPr>
      </w:pPr>
      <w:r>
        <w:rPr>
          <w:rFonts w:ascii="宋体" w:hAnsi="宋体" w:cs="宋体" w:hint="eastAsia" w:eastAsia="宋体"/>
          <w:b/>
          <w:color w:val="000000"/>
          <w:sz w:val="44"/>
          <w:szCs w:val="36"/>
        </w:rPr>
        <w:t>关于批准</w:t>
      </w:r>
      <w:r>
        <w:rPr>
          <w:rFonts w:ascii="宋体" w:hAnsi="宋体" w:cs="宋体" w:hint="eastAsia" w:eastAsia="宋体"/>
          <w:b/>
          <w:color w:val="000000"/>
          <w:sz w:val="44"/>
        </w:rPr>
        <w:t>《</w:t>
      </w:r>
      <w:r>
        <w:rPr>
          <w:rFonts w:ascii="宋体" w:hAnsi="宋体" w:cs="宋体" w:hint="eastAsia" w:eastAsia="宋体"/>
          <w:b/>
          <w:color w:val="000000"/>
          <w:sz w:val="44"/>
          <w:szCs w:val="44"/>
        </w:rPr>
        <w:t>黄山市太平湖风景名胜区条例</w:t>
      </w:r>
      <w:r>
        <w:rPr>
          <w:rFonts w:ascii="宋体" w:hAnsi="宋体" w:cs="宋体" w:hint="eastAsia" w:eastAsia="宋体"/>
          <w:b/>
          <w:color w:val="000000"/>
          <w:sz w:val="44"/>
        </w:rPr>
        <w:t>》</w:t>
      </w:r>
    </w:p>
    <w:p>
      <w:pPr>
        <w:pStyle w:val="Normal"/>
        <w:spacing w:lineRule="exact" w:line="640"/>
        <w:jc w:val="center"/>
        <w:rPr>
          <w:rFonts w:ascii="宋体" w:hAnsi="宋体" w:eastAsia="宋体" w:cs="宋体" w:hint="eastAsia"/>
          <w:b/>
          <w:color w:val="000000"/>
          <w:sz w:val="44"/>
          <w:szCs w:val="36"/>
        </w:rPr>
      </w:pPr>
      <w:r>
        <w:rPr>
          <w:rFonts w:ascii="宋体" w:hAnsi="宋体" w:cs="宋体" w:hint="eastAsia" w:eastAsia="宋体"/>
          <w:b/>
          <w:color w:val="000000"/>
          <w:sz w:val="44"/>
          <w:szCs w:val="36"/>
        </w:rPr>
        <w:t>的决议</w:t>
      </w:r>
    </w:p>
    <w:p>
      <w:pPr>
        <w:pStyle w:val="Normal"/>
        <w:spacing w:lineRule="exact" w:line="680"/>
        <w:jc w:val="center"/>
        <w:rPr>
          <w:rFonts w:ascii="方正小标宋简体" w:hAnsi="方正小标宋简体" w:eastAsia="方正小标宋简体" w:cs="宋体" w:hint="eastAsia"/>
          <w:b/>
          <w:color w:val="000000"/>
          <w:sz w:val="44"/>
          <w:szCs w:val="36"/>
        </w:rPr>
      </w:pPr>
      <w:r>
        <w:rPr>
          <w:rFonts w:eastAsia="方正小标宋简体" w:cs="宋体" w:hint="eastAsia" w:ascii="方正小标宋简体" w:hAnsi="方正小标宋简体"/>
          <w:b/>
          <w:color w:val="000000"/>
          <w:sz w:val="44"/>
          <w:szCs w:val="36"/>
        </w:rPr>
      </w:r>
    </w:p>
    <w:p>
      <w:pPr>
        <w:pStyle w:val="Normal"/>
        <w:jc w:val="center"/>
        <w:rPr>
          <w:rFonts w:eastAsia="楷体_GB2312" w:hint="eastAsia"/>
          <w:color w:val="000000"/>
          <w:szCs w:val="30"/>
        </w:rPr>
      </w:pPr>
      <w:r>
        <w:rPr>
          <w:rFonts w:hint="eastAsia" w:eastAsia="楷体_GB2312"/>
          <w:color w:val="000000"/>
          <w:szCs w:val="30"/>
        </w:rPr>
        <w:t>（</w:t>
      </w:r>
      <w:r>
        <w:rPr>
          <w:rFonts w:eastAsia="楷体_GB2312"/>
          <w:color w:val="000000"/>
          <w:szCs w:val="30"/>
        </w:rPr>
        <w:t>2018</w:t>
      </w:r>
      <w:r>
        <w:rPr>
          <w:rFonts w:hint="eastAsia" w:eastAsia="楷体_GB2312"/>
          <w:color w:val="000000"/>
          <w:szCs w:val="30"/>
        </w:rPr>
        <w:t>年</w:t>
      </w:r>
      <w:r>
        <w:rPr>
          <w:rFonts w:eastAsia="楷体_GB2312"/>
          <w:color w:val="000000"/>
          <w:szCs w:val="30"/>
        </w:rPr>
        <w:t>9</w:t>
      </w:r>
      <w:r>
        <w:rPr>
          <w:rFonts w:hint="eastAsia" w:eastAsia="楷体_GB2312"/>
          <w:color w:val="000000"/>
          <w:szCs w:val="30"/>
        </w:rPr>
        <w:t>月</w:t>
      </w:r>
      <w:r>
        <w:rPr>
          <w:rFonts w:eastAsia="楷体_GB2312" w:hint="eastAsia"/>
          <w:color w:val="000000"/>
          <w:szCs w:val="30"/>
        </w:rPr>
        <w:t>29</w:t>
      </w:r>
      <w:r>
        <w:rPr>
          <w:rFonts w:hint="eastAsia" w:eastAsia="楷体_GB2312"/>
          <w:color w:val="000000"/>
          <w:szCs w:val="30"/>
        </w:rPr>
        <w:t>日安徽省第十三届人民代表大会</w:t>
      </w:r>
    </w:p>
    <w:p>
      <w:pPr>
        <w:pStyle w:val="Normal"/>
        <w:jc w:val="center"/>
        <w:rPr>
          <w:rFonts w:eastAsia="楷体_GB2312"/>
          <w:color w:val="000000"/>
          <w:szCs w:val="30"/>
        </w:rPr>
      </w:pPr>
      <w:r>
        <w:rPr>
          <w:rFonts w:hint="eastAsia" w:eastAsia="楷体_GB2312"/>
          <w:color w:val="000000"/>
          <w:szCs w:val="30"/>
        </w:rPr>
        <w:t>常务委员会第五次会议通过）</w:t>
      </w:r>
    </w:p>
    <w:p>
      <w:pPr>
        <w:pStyle w:val="Normal"/>
        <w:jc w:val="center"/>
        <w:rPr>
          <w:rFonts w:eastAsia="楷体_GB2312"/>
          <w:color w:val="000000"/>
          <w:szCs w:val="30"/>
        </w:rPr>
      </w:pPr>
      <w:r>
        <w:rPr>
          <w:rFonts w:eastAsia="楷体_GB2312"/>
          <w:color w:val="000000"/>
          <w:szCs w:val="30"/>
        </w:rPr>
      </w:r>
    </w:p>
    <w:p>
      <w:pPr>
        <w:pStyle w:val="Normal"/>
        <w:ind w:firstLineChars="200" w:startChars="0" w:start="0" w:endChars="0" w:end="0"/>
        <w:rPr>
          <w:color w:val="000000"/>
        </w:rPr>
      </w:pPr>
      <w:r>
        <w:rPr>
          <w:rFonts w:ascii="仿宋_GB2312" w:hAnsi="仿宋_GB2312" w:hint="eastAsia"/>
          <w:color w:val="000000"/>
        </w:rPr>
        <w:t>安徽省第十三届人民代表大会常务委员会第五次会议审查了《</w:t>
      </w:r>
      <w:r>
        <w:rPr>
          <w:rFonts w:ascii="仿宋_GB2312" w:hAnsi="仿宋_GB2312" w:cs="仿宋" w:hint="eastAsia"/>
        </w:rPr>
        <w:t>黄山市太平湖风景名胜区条例</w:t>
      </w:r>
      <w:r>
        <w:rPr>
          <w:rFonts w:ascii="仿宋_GB2312" w:hAnsi="仿宋_GB2312" w:hint="eastAsia"/>
          <w:color w:val="000000"/>
        </w:rPr>
        <w:t>》，决定予以批准，由</w:t>
      </w:r>
      <w:r>
        <w:rPr>
          <w:rFonts w:cs="宋体" w:hint="eastAsia"/>
          <w:color w:val="000000"/>
          <w:kern w:val="0"/>
        </w:rPr>
        <w:t>黄山</w:t>
      </w:r>
      <w:r>
        <w:rPr>
          <w:rFonts w:ascii="仿宋_GB2312" w:hAnsi="仿宋_GB2312" w:hint="eastAsia"/>
          <w:color w:val="000000"/>
        </w:rPr>
        <w:t>市人民代表大会常务委员会公布施行。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exact" w:line="640"/>
        <w:jc w:val="center"/>
        <w:rPr>
          <w:rFonts w:eastAsia="方正小标宋简体" w:cs="宋体" w:hint="eastAsia"/>
          <w:color w:val="000000"/>
          <w:sz w:val="44"/>
          <w:szCs w:val="44"/>
        </w:rPr>
      </w:pPr>
      <w:r>
        <w:rPr>
          <w:rFonts w:eastAsia="方正小标宋简体" w:cs="宋体" w:hint="eastAsia"/>
          <w:color w:val="000000"/>
          <w:sz w:val="44"/>
          <w:szCs w:val="44"/>
        </w:rPr>
      </w:r>
      <w:r>
        <w:br w:type="page"/>
      </w:r>
    </w:p>
    <w:p>
      <w:pPr>
        <w:pStyle w:val="Normal"/>
        <w:spacing w:lineRule="exact" w:line="640"/>
        <w:jc w:val="center"/>
        <w:rPr>
          <w:rFonts w:eastAsia="方正小标宋简体" w:cs="宋体" w:hint="eastAsia"/>
          <w:sz w:val="44"/>
          <w:szCs w:val="44"/>
        </w:rPr>
      </w:pPr>
      <w:r>
        <w:rPr>
          <w:rFonts w:eastAsia="方正小标宋简体" w:cs="宋体" w:hint="eastAsia"/>
          <w:sz w:val="44"/>
          <w:szCs w:val="44"/>
        </w:rPr>
      </w:r>
    </w:p>
    <w:p>
      <w:pPr>
        <w:pStyle w:val="Normal"/>
        <w:spacing w:lineRule="exact" w:line="580"/>
        <w:jc w:val="center"/>
        <w:rPr>
          <w:rFonts w:ascii="宋体" w:hAnsi="宋体" w:eastAsia="宋体" w:cs="宋体"/>
          <w:b/>
          <w:sz w:val="44"/>
          <w:szCs w:val="44"/>
        </w:rPr>
      </w:pPr>
      <w:r>
        <w:rPr>
          <w:rFonts w:ascii="宋体" w:hAnsi="宋体" w:cs="宋体" w:hint="eastAsia" w:eastAsia="宋体"/>
          <w:b/>
          <w:sz w:val="44"/>
          <w:szCs w:val="44"/>
        </w:rPr>
        <w:t>黄山市太平湖风景名胜区条例</w:t>
      </w:r>
    </w:p>
    <w:p>
      <w:pPr>
        <w:pStyle w:val="Normal"/>
        <w:jc w:val="center"/>
        <w:rPr>
          <w:rFonts w:ascii="宋体" w:hAnsi="宋体" w:eastAsia="楷体_GB2312" w:cs="楷体_GB2312" w:hint="eastAsia"/>
          <w:b/>
          <w:sz w:val="44"/>
          <w:szCs w:val="44"/>
        </w:rPr>
      </w:pPr>
      <w:r>
        <w:rPr>
          <w:rFonts w:eastAsia="楷体_GB2312" w:cs="楷体_GB2312" w:hint="eastAsia" w:ascii="宋体" w:hAnsi="宋体"/>
          <w:b/>
          <w:sz w:val="44"/>
          <w:szCs w:val="44"/>
        </w:rPr>
      </w:r>
    </w:p>
    <w:p>
      <w:pPr>
        <w:pStyle w:val="Normal"/>
        <w:rPr>
          <w:rFonts w:eastAsia="楷体_GB2312" w:cs="楷体_GB2312"/>
        </w:rPr>
      </w:pPr>
      <w:r>
        <w:rPr>
          <w:rFonts w:eastAsia="楷体_GB2312" w:cs="楷体_GB2312" w:hint="eastAsia"/>
        </w:rPr>
        <w:t xml:space="preserve">    </w:t>
      </w:r>
      <w:r>
        <w:rPr>
          <w:rFonts w:cs="楷体_GB2312" w:hint="eastAsia" w:eastAsia="楷体_GB2312"/>
        </w:rPr>
        <w:t>（</w:t>
      </w:r>
      <w:r>
        <w:rPr>
          <w:rFonts w:eastAsia="楷体_GB2312" w:cs="楷体_GB2312" w:hint="eastAsia"/>
        </w:rPr>
        <w:t>2018</w:t>
      </w:r>
      <w:r>
        <w:rPr>
          <w:rFonts w:cs="楷体_GB2312" w:hint="eastAsia" w:eastAsia="楷体_GB2312"/>
        </w:rPr>
        <w:t>年</w:t>
      </w:r>
      <w:r>
        <w:rPr>
          <w:rFonts w:eastAsia="楷体_GB2312" w:cs="楷体_GB2312" w:hint="eastAsia"/>
        </w:rPr>
        <w:t>8</w:t>
      </w:r>
      <w:r>
        <w:rPr>
          <w:rFonts w:cs="楷体_GB2312" w:hint="eastAsia" w:eastAsia="楷体_GB2312"/>
        </w:rPr>
        <w:t>月</w:t>
      </w:r>
      <w:r>
        <w:rPr>
          <w:rFonts w:eastAsia="楷体_GB2312" w:cs="楷体_GB2312" w:hint="eastAsia"/>
        </w:rPr>
        <w:t>21</w:t>
      </w:r>
      <w:r>
        <w:rPr>
          <w:rFonts w:cs="楷体_GB2312" w:hint="eastAsia" w:eastAsia="楷体_GB2312"/>
        </w:rPr>
        <w:t>日黄山市第七届人民代表大会常务委员会第五次会议通过</w:t>
      </w:r>
      <w:r>
        <w:rPr>
          <w:rFonts w:cs="楷体_GB2312" w:eastAsia="楷体_GB2312"/>
        </w:rPr>
        <w:t xml:space="preserve"> </w:t>
      </w:r>
      <w:r>
        <w:rPr>
          <w:rFonts w:cs="楷体_GB2312" w:hint="eastAsia" w:eastAsia="楷体_GB2312"/>
        </w:rPr>
        <w:t xml:space="preserve"> </w:t>
      </w:r>
      <w:r>
        <w:rPr>
          <w:rStyle w:val="Strong"/>
          <w:rFonts w:eastAsia="楷体_GB2312"/>
          <w:b w:val="false"/>
          <w:kern w:val="2"/>
        </w:rPr>
        <w:t>2018</w:t>
      </w:r>
      <w:r>
        <w:rPr>
          <w:rStyle w:val="Strong"/>
          <w:rFonts w:hint="eastAsia" w:eastAsia="楷体_GB2312"/>
          <w:b w:val="false"/>
          <w:kern w:val="2"/>
        </w:rPr>
        <w:t>年</w:t>
      </w:r>
      <w:r>
        <w:rPr>
          <w:rStyle w:val="Strong"/>
          <w:rFonts w:eastAsia="楷体_GB2312"/>
          <w:b w:val="false"/>
          <w:kern w:val="2"/>
        </w:rPr>
        <w:t>9</w:t>
      </w:r>
      <w:r>
        <w:rPr>
          <w:rStyle w:val="Strong"/>
          <w:rFonts w:hint="eastAsia" w:eastAsia="楷体_GB2312"/>
          <w:b w:val="false"/>
          <w:kern w:val="2"/>
        </w:rPr>
        <w:t>月</w:t>
      </w:r>
      <w:r>
        <w:rPr>
          <w:rStyle w:val="Strong"/>
          <w:rFonts w:eastAsia="楷体_GB2312" w:hint="eastAsia"/>
          <w:b w:val="false"/>
          <w:kern w:val="2"/>
        </w:rPr>
        <w:t>29</w:t>
      </w:r>
      <w:r>
        <w:rPr>
          <w:rStyle w:val="Strong"/>
          <w:rFonts w:hint="eastAsia" w:eastAsia="楷体_GB2312"/>
          <w:b w:val="false"/>
          <w:kern w:val="2"/>
        </w:rPr>
        <w:t>日安徽省第十三届人民代表大会常务委员会第五次会议批准</w:t>
      </w:r>
      <w:r>
        <w:rPr>
          <w:rFonts w:cs="楷体_GB2312" w:hint="eastAsia" w:eastAsia="楷体_GB2312"/>
        </w:rPr>
        <w:t>）</w:t>
      </w:r>
    </w:p>
    <w:p>
      <w:pPr>
        <w:pStyle w:val="Normal"/>
        <w:jc w:val="center"/>
        <w:rPr>
          <w:rFonts w:eastAsia="楷体_GB2312" w:cs="楷体_GB2312"/>
          <w:sz w:val="28"/>
          <w:szCs w:val="28"/>
        </w:rPr>
      </w:pPr>
      <w:r>
        <w:rPr>
          <w:rFonts w:eastAsia="楷体_GB2312" w:cs="楷体_GB2312"/>
          <w:sz w:val="28"/>
          <w:szCs w:val="28"/>
        </w:rPr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第一条</w:t>
      </w:r>
      <w:r>
        <w:rPr/>
        <w:t xml:space="preserve"> </w:t>
      </w:r>
      <w:r>
        <w:rPr>
          <w:rFonts w:hint="eastAsia"/>
        </w:rPr>
        <w:t xml:space="preserve"> 为了保护和管理太平湖风景名胜资源，根据国务院《风景名胜区条例》和有关法律、行政法规的规定，结合太平湖风景名胜区实际，制定本条例。</w:t>
      </w:r>
    </w:p>
    <w:p>
      <w:pPr>
        <w:pStyle w:val="Normal"/>
        <w:ind w:firstLineChars="200" w:startChars="0" w:start="0" w:endChars="0" w:end="0"/>
        <w:rPr>
          <w:rFonts w:eastAsia="仿宋" w:cs="仿宋"/>
        </w:rPr>
      </w:pPr>
      <w:r>
        <w:rPr>
          <w:rFonts w:hint="eastAsia" w:eastAsia="黑体"/>
        </w:rPr>
        <w:t>第二条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 </w:t>
      </w:r>
      <w:r>
        <w:rPr>
          <w:rFonts w:cs="仿宋" w:hint="eastAsia"/>
        </w:rPr>
        <w:t>本条例适用于太平湖风景名胜区</w:t>
      </w:r>
      <w:r>
        <w:rPr>
          <w:rFonts w:hint="eastAsia"/>
        </w:rPr>
        <w:t>（以下简称太平湖风景区）</w:t>
      </w:r>
      <w:r>
        <w:rPr>
          <w:rFonts w:cs="仿宋" w:hint="eastAsia"/>
        </w:rPr>
        <w:t>的规划、保护、建设、利用和管理。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太平湖风景区及其核心景区、外围保护区的范围，按照安徽省人民政府批准的《太平湖风景名胜区总体规划》划定。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第三条</w:t>
      </w:r>
      <w:r>
        <w:rPr/>
        <w:t xml:space="preserve"> </w:t>
      </w:r>
      <w:r>
        <w:rPr>
          <w:rFonts w:hint="eastAsia"/>
        </w:rPr>
        <w:t xml:space="preserve"> 太平湖风景区实行科学规划、统一管理、严格保护、永续利用的原则。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第四条</w:t>
      </w:r>
      <w:r>
        <w:rPr/>
        <w:t xml:space="preserve"> </w:t>
      </w:r>
      <w:r>
        <w:rPr>
          <w:rFonts w:hint="eastAsia"/>
        </w:rPr>
        <w:t xml:space="preserve"> 太平湖风景区的地形地貌、山体、水体、湿地、湖岸线、岩石、土壤、河溪、林木植被、野生动植物、特殊地质环境等自然景物和历史文化村落、文物古迹、石雕石刻、水下历史遗迹等人文景物均属风景名胜资源，应当严格加以保护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 xml:space="preserve">第五条 </w:t>
      </w:r>
      <w:r>
        <w:rPr/>
        <w:t xml:space="preserve"> </w:t>
      </w:r>
      <w:r>
        <w:rPr>
          <w:rFonts w:hint="eastAsia"/>
        </w:rPr>
        <w:t>黄山市人民政府设立太平湖风景区管理委员会（以下简称管委会）。管委会主任由黄山区人民政府区长兼任，管委会负责太平湖风景区的保护、利用和统一管理工作。其主要职责：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（一）保护风景名胜资源、自然和文化生态环境；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（二）组织实施太平湖风景区规划，合理利用风景名胜资源；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（三）建设、管理和维护太平湖风景区基础设施及其他公共设施；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（四）太平湖风景区内工程建设项目的管理和监督；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（五）做好保护太平湖风景区的宣传教育工作；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（六）管理与太平湖风景区保护利用有关的其他事项。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经依法批准，管委会可以设立综合执法机构，在太平湖风景区相对集中行使行政处罚权。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市、区人民政府有关部门，风景区内的乡镇人民政府应当按照各自职责做好保护和管理工作。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第六条</w:t>
      </w:r>
      <w:r>
        <w:rPr/>
        <w:t xml:space="preserve"> </w:t>
      </w:r>
      <w:r>
        <w:rPr>
          <w:rFonts w:hint="eastAsia"/>
        </w:rPr>
        <w:t xml:space="preserve"> 市、区人民政府有关职能部门在编制涉及太平湖风景区的专项规划、太平湖风景区外围保护区乡镇、村规划时，应当征求管委会的意见，做到与太平湖风景区规划相衔接。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 xml:space="preserve">第七条 </w:t>
      </w:r>
      <w:r>
        <w:rPr/>
        <w:t xml:space="preserve"> </w:t>
      </w:r>
      <w:r>
        <w:rPr>
          <w:rFonts w:hint="eastAsia"/>
        </w:rPr>
        <w:t>黄山区人民政府根据《太平湖风景名胜区总体规划》组织编制《太平湖风景名胜区详细规划》，经市人民政府审核后，报省人民政府建设主管部门批准。组织编制的具体工作由管委会承担。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 w:eastAsia="黑体"/>
        </w:rPr>
        <w:t>第八条</w:t>
      </w:r>
      <w:r>
        <w:rPr/>
        <w:t xml:space="preserve"> </w:t>
      </w:r>
      <w:r>
        <w:rPr>
          <w:rFonts w:hint="eastAsia"/>
        </w:rPr>
        <w:t xml:space="preserve"> 禁止违反规划，在太平湖风景区内设立各类开发区和在核心景区内建设宾馆、招待所、培训中心、疗养院以及与风景名胜资源保护无关的其他建筑物。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第九条</w:t>
      </w:r>
      <w:r>
        <w:rPr/>
        <w:t xml:space="preserve">  </w:t>
      </w:r>
      <w:r>
        <w:rPr>
          <w:rFonts w:hint="eastAsia"/>
        </w:rPr>
        <w:t>太平湖风景区内建设房屋或者其他工程等，应当经管</w:t>
      </w:r>
      <w:r>
        <w:rPr>
          <w:rFonts w:hint="eastAsia"/>
          <w:spacing w:val="-6"/>
        </w:rPr>
        <w:t>委会按照规划审核后，依照有关法律、法规的规定办理审批手续。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 xml:space="preserve">第十条 </w:t>
      </w:r>
      <w:r>
        <w:rPr/>
        <w:t xml:space="preserve"> </w:t>
      </w:r>
      <w:r>
        <w:rPr>
          <w:rFonts w:hint="eastAsia"/>
        </w:rPr>
        <w:t>在太平湖风景区内进行建设活动的，建设单位和施工单位应当严格保护施工现场周围的景物和生态环境，制定污染防治和水土保持方案。施工过程中产生的废弃物应当运至指定地点进行填埋或者销毁。工程竣工后，应当及时清理垃圾，恢复环境原貌或者进行生态修复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第十一条</w:t>
      </w:r>
      <w:r>
        <w:rPr/>
        <w:t xml:space="preserve"> </w:t>
      </w:r>
      <w:r>
        <w:rPr>
          <w:rFonts w:hint="eastAsia"/>
        </w:rPr>
        <w:t xml:space="preserve"> 确因保护管理及工程需要进行临时建设的，应当经管委会同意，临时建设应当在批准的使用期限内自行拆除。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 xml:space="preserve">第十二条 </w:t>
      </w:r>
      <w:r>
        <w:rPr/>
        <w:t xml:space="preserve"> </w:t>
      </w:r>
      <w:r>
        <w:rPr>
          <w:rFonts w:hint="eastAsia"/>
        </w:rPr>
        <w:t>设立太平湖风景名胜资源保护资金。保护资金可以通过财政支持、社会资助、项目开发、资源有偿使用等渠道筹集。其具体使用管理办法由区人民政府另行制定，报市政府批准后执行。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 xml:space="preserve">第十三条 </w:t>
      </w:r>
      <w:r>
        <w:rPr/>
        <w:t xml:space="preserve"> </w:t>
      </w:r>
      <w:r>
        <w:rPr>
          <w:rFonts w:hint="eastAsia"/>
        </w:rPr>
        <w:t>太平湖风景区范围内禁止下列活动：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（一）开山、采石、开矿、开荒、修坟立碑等破坏景观、植被和地形地貌的活动；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（二）修建储存爆炸性、易燃性、放射性、毒害性、腐蚀性物品的设施；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（三）在景物或者设施上刻划、涂污；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（四）乱扔垃圾；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（五）在风景区水域炸鱼、毒鱼、电鱼和违反规定诱鱼</w:t>
      </w:r>
      <w:r>
        <w:rPr/>
        <w:t>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（六）超过国家规定标准，排放废水、废气和固体废弃物；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（七）非法猎捕野生动物</w:t>
      </w:r>
      <w:r>
        <w:rPr/>
        <w:t>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（八）非法采集受保护野生植物；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（九）在风景区水域新建、扩建围网、围栏养殖；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（十）在禁渔区和禁渔期内，进行渔业捕捞；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（十一）未经批准在野外用火；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（十二）其它危害生态、环境和公共安全的。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第十四条</w:t>
      </w:r>
      <w:r>
        <w:rPr>
          <w:rFonts w:hint="eastAsia"/>
        </w:rPr>
        <w:t>　在太平湖风景区内进行下列活动，应当经管委会审核后，依照有关法律、法规的规定报有关主管部门批准：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（一）在户外设置、张贴商业广告；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（二）拍摄电影、电视，举办大型文化、体育、宣传活动；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（三）临时占用、围圈、遮掩水体，设置水上浮动设施；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（四）引进、投放外来生物物种；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（五）其它可能影响生态、环境的。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第十五条</w:t>
      </w:r>
      <w:r>
        <w:rPr>
          <w:rFonts w:eastAsia="黑体"/>
        </w:rPr>
        <w:t xml:space="preserve"> </w:t>
      </w:r>
      <w:r>
        <w:rPr/>
        <w:t xml:space="preserve"> </w:t>
      </w:r>
      <w:r>
        <w:rPr>
          <w:rFonts w:hint="eastAsia"/>
        </w:rPr>
        <w:t>因风景区开发建设需要砍伐少量竹子的，应当经管委会审查批准。</w:t>
      </w:r>
      <w:r>
        <w:rPr/>
        <w:t xml:space="preserve"> 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因科学考察、科学研究需要采集动植物标本的，应当经管委会同意，在指定地点限量采集。</w:t>
      </w:r>
      <w:r>
        <w:rPr/>
        <w:t xml:space="preserve"> </w:t>
      </w:r>
    </w:p>
    <w:p>
      <w:pPr>
        <w:pStyle w:val="Normal"/>
        <w:ind w:firstLineChars="200" w:startChars="0" w:start="0" w:endChars="0" w:end="0"/>
        <w:rPr/>
      </w:pPr>
      <w:r>
        <w:rPr>
          <w:rFonts w:cs="仿宋_GB2312" w:hint="eastAsia"/>
        </w:rPr>
        <w:t>因保护风景区道路，</w:t>
      </w:r>
      <w:r>
        <w:rPr>
          <w:rFonts w:hint="eastAsia"/>
        </w:rPr>
        <w:t>维护设施，需要挖取砂、石、土的，应当经管委会同意，在指定地点限量挖取。</w:t>
      </w:r>
      <w:r>
        <w:rPr/>
        <w:t xml:space="preserve"> 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第十六条</w:t>
      </w:r>
      <w:r>
        <w:rPr>
          <w:rFonts w:eastAsia="黑体"/>
        </w:rPr>
        <w:t xml:space="preserve">  </w:t>
      </w:r>
      <w:r>
        <w:rPr>
          <w:rFonts w:hint="eastAsia"/>
        </w:rPr>
        <w:t>太平湖风景区内的交通、服务、景点开发、大水面生态增养殖等项目，由管委会根据有关法律、法规和景区总体规划、详细规划等统一规划实施，并通过招标等公平竞争的方式确定经营者。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经营者不得超出规定的地点、线路、范围或者未经授权从事经营。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管委会根据安全、环境保护和卫生的需要，可以规定核心景区内禁止经营的商品、服务项目以及禁止使用的燃料、包装物品种，经黄山区人民政府审核后，报经黄山市人民政府批准后施行。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第十七条　</w:t>
      </w:r>
      <w:r>
        <w:rPr>
          <w:rFonts w:hint="eastAsia"/>
        </w:rPr>
        <w:t>太平湖风景区内的标识标牌、电子显示屏等，应当按国家规范、有关规划和管委会规定的式样、规格制作，在指定地点安置。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第十八条</w:t>
      </w:r>
      <w:r>
        <w:rPr>
          <w:rFonts w:hint="eastAsia"/>
        </w:rPr>
        <w:t>　太平湖水域渔业实行大水面生态增养殖，渔业养殖经营者应当按照规定缴纳渔业资源增殖保护费，并制定年度增殖放流计划，报黄山区渔业行政主管部门审查后实施。</w:t>
      </w:r>
    </w:p>
    <w:p>
      <w:pPr>
        <w:pStyle w:val="Normal"/>
        <w:ind w:firstLineChars="200" w:startChars="0" w:start="0" w:endChars="0" w:end="0"/>
        <w:rPr>
          <w:shd w:fill="E5E5E5" w:val="clear"/>
        </w:rPr>
      </w:pPr>
      <w:r>
        <w:rPr>
          <w:rFonts w:hint="eastAsia" w:eastAsia="黑体"/>
        </w:rPr>
        <w:t>第十九条</w:t>
      </w:r>
      <w:r>
        <w:rPr>
          <w:rFonts w:hint="eastAsia"/>
        </w:rPr>
        <w:t>　</w:t>
      </w:r>
      <w:r>
        <w:rPr>
          <w:rFonts w:cs="仿宋" w:hint="eastAsia"/>
        </w:rPr>
        <w:t>在太平湖自然水域进行垂钓的，</w:t>
      </w:r>
      <w:r>
        <w:rPr>
          <w:rFonts w:hint="eastAsia"/>
        </w:rPr>
        <w:t>应当遵守管委会对垂钓的时间、区域、鱼种、方式等作出的规定。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垂钓具体管理办法由管委会另行制定。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第二十条</w:t>
      </w:r>
      <w:r>
        <w:rPr>
          <w:rFonts w:hint="eastAsia"/>
        </w:rPr>
        <w:t>　太平湖水域从事渔业、航运、旅游服务等经营活动的船舶，应当经管委会审核，依法向有关行政主管部门申领牌（证）照。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单位和个人自用非经营性船舶，应当符合安全和环境保护的要求，不得从事旅游、客运、揽客垂钓等经营性活动。其具体管理办法由管委会另行制定。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第二十一条</w:t>
      </w:r>
      <w:r>
        <w:rPr>
          <w:rFonts w:eastAsia="黑体"/>
          <w:b/>
          <w:bCs/>
        </w:rPr>
        <w:t xml:space="preserve">  </w:t>
      </w:r>
      <w:r>
        <w:rPr>
          <w:rFonts w:hint="eastAsia"/>
        </w:rPr>
        <w:t>违反本条例第八条规定的，由管委会责令停止违法行为、恢复原状或者限期拆除，没收违法所得，并处五十万元以上一百万元以下的罚款。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第二十</w:t>
      </w:r>
      <w:r>
        <w:rPr>
          <w:rFonts w:hint="eastAsia" w:eastAsia="黑体"/>
          <w:b/>
          <w:bCs/>
        </w:rPr>
        <w:t>二</w:t>
      </w:r>
      <w:r>
        <w:rPr>
          <w:rFonts w:hint="eastAsia" w:eastAsia="黑体"/>
        </w:rPr>
        <w:t>条</w:t>
      </w:r>
      <w:r>
        <w:rPr/>
        <w:t xml:space="preserve">  </w:t>
      </w:r>
      <w:r>
        <w:rPr>
          <w:rFonts w:hint="eastAsia"/>
        </w:rPr>
        <w:t>违反本条例第九条规定的，由管委会责令停止建设、限期拆除，对个人处二万元以上五万元以下的罚款，对单位处二十万元以上五十万元以下的罚款。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第二十三条</w:t>
      </w:r>
      <w:r>
        <w:rPr>
          <w:rFonts w:eastAsia="黑体"/>
        </w:rPr>
        <w:t xml:space="preserve">  </w:t>
      </w:r>
      <w:r>
        <w:rPr>
          <w:rFonts w:hint="eastAsia"/>
        </w:rPr>
        <w:t>违反本条例第十条规定，对景物、水体、林草植被、野生动物资源和地形地貌构成破坏的，由管委会责令停止违法行为、限期恢复原状或者采取其他补救措施，并处二万元以上十万元以下的罚款；逾期未恢复原状或者采取有效措施的，由管委会责令停止施工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第二十四条</w:t>
      </w:r>
      <w:r>
        <w:rPr/>
        <w:t xml:space="preserve">  </w:t>
      </w:r>
      <w:r>
        <w:rPr>
          <w:rFonts w:hint="eastAsia"/>
        </w:rPr>
        <w:t>违反本条例第十三条第一项、第二项规定的，由管委会责令停止违法行为、恢复原状或者限期拆除，没收违法所得，并处五十万元以上一百万元以下的罚款。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违反本条例第十三条第三项、第四项规定的，由管委会责令恢复原状或者采取其他补救措施，处五十元的罚款。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违反本条例第十三条第五项规定的，由管委会责令停止违法行为，没收渔具、渔获物和违法所得，处二千元以上一万元以下的罚款；情节严重的，由渔业行政主管部门吊销捕捞许可证。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违反本条例第十三条第七项规定非法猎捕受保护野生动物的，由管委会责令停止违法行为，没收猎获物、猎捕工具和违法所得，并处猎获物价值一倍以上五倍以下的罚款；没有猎获物的，并处一千元以下罚款。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违反本条例第十三条第八项规定非法采集受保护野生植物的，由管委会没收所采集的野生植物和违法所得，可以并处违法所得十倍以下的罚款。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违反本条例第十三条第九项规定在风景区水域新建、扩建围网、围栏养殖的，由管委会责令停止违法行为、限期拆除，并处二万元以上五万元以下罚款。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违反本条例第十三条第十项规定的，由管委会责令停止违法</w:t>
      </w:r>
      <w:r>
        <w:rPr>
          <w:rFonts w:hint="eastAsia"/>
          <w:spacing w:val="-6"/>
        </w:rPr>
        <w:t>行为，没收渔获物和违法所得，并处一千元以上五千元以下的罚款。</w:t>
      </w:r>
    </w:p>
    <w:p>
      <w:pPr>
        <w:pStyle w:val="Normal"/>
        <w:ind w:firstLineChars="200" w:startChars="0" w:start="0" w:endChars="0" w:end="0"/>
        <w:rPr>
          <w:b/>
          <w:bCs/>
        </w:rPr>
      </w:pPr>
      <w:r>
        <w:rPr>
          <w:rFonts w:hint="eastAsia"/>
        </w:rPr>
        <w:t>违反本条例第十三条第十一项规定在防火期内，在野外用火的，由管委会责令停止违法行为，给予警告，对个人并处一千元以上三千元以下罚款，对单位并处一万元以上五万元以下罚款</w:t>
      </w:r>
      <w:r>
        <w:rPr>
          <w:rFonts w:hint="eastAsia"/>
          <w:bCs/>
        </w:rPr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 xml:space="preserve">第二十五条 </w:t>
      </w:r>
      <w:r>
        <w:rPr>
          <w:rFonts w:eastAsia="黑体"/>
        </w:rPr>
        <w:t xml:space="preserve"> </w:t>
      </w:r>
      <w:r>
        <w:rPr>
          <w:rFonts w:hint="eastAsia"/>
        </w:rPr>
        <w:t>违反本条例第十四条规定，未经管委会审核的，由管委会责令停止违法行为、限期恢复原状或者采取其他补救措施，没收违法所得，并处五万元以上十万元以下的罚款；情节严重的，并处十万元以上二十万元以下的罚款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第二十六条</w:t>
      </w:r>
      <w:r>
        <w:rPr/>
        <w:t xml:space="preserve">  </w:t>
      </w:r>
      <w:r>
        <w:rPr>
          <w:rFonts w:hint="eastAsia"/>
        </w:rPr>
        <w:t>违反本条例第十九条规定，在太平湖自然水域进行垂钓的，由管委会责令停止违法行为；拒不停止违法行为的，可以没收钓具。</w:t>
      </w:r>
    </w:p>
    <w:p>
      <w:pPr>
        <w:pStyle w:val="Normal"/>
        <w:autoSpaceDE w:val="false"/>
        <w:ind w:firstLineChars="200" w:startChars="0" w:start="0" w:endChars="0" w:end="0"/>
        <w:rPr>
          <w:rFonts w:cs="仿宋"/>
        </w:rPr>
      </w:pPr>
      <w:r>
        <w:rPr>
          <w:rFonts w:hint="eastAsia" w:eastAsia="黑体"/>
        </w:rPr>
        <w:t>第二十七条</w:t>
      </w:r>
      <w:r>
        <w:rPr>
          <w:rFonts w:eastAsia="黑体"/>
        </w:rPr>
        <w:t xml:space="preserve">  </w:t>
      </w:r>
      <w:r>
        <w:rPr>
          <w:rFonts w:cs="仿宋" w:hint="eastAsia"/>
        </w:rPr>
        <w:t>违反本条例</w:t>
      </w:r>
      <w:r>
        <w:rPr>
          <w:rFonts w:hint="eastAsia"/>
        </w:rPr>
        <w:t>第二十条第二款规定，非经营性自用船舶从事旅游、客运、揽客垂钓等经营活动的</w:t>
      </w:r>
      <w:r>
        <w:rPr>
          <w:rFonts w:cs="仿宋" w:hint="eastAsia"/>
        </w:rPr>
        <w:t>，由管委会</w:t>
      </w:r>
      <w:r>
        <w:rPr>
          <w:rFonts w:cs="Arial" w:hint="eastAsia"/>
        </w:rPr>
        <w:t>责令停止经营，没收违法所得，并</w:t>
      </w:r>
      <w:r>
        <w:rPr>
          <w:rFonts w:hint="eastAsia"/>
        </w:rPr>
        <w:t>处二千元以上一万元以下的</w:t>
      </w:r>
      <w:r>
        <w:rPr>
          <w:rFonts w:cs="Arial" w:hint="eastAsia"/>
        </w:rPr>
        <w:t>罚款</w:t>
      </w:r>
      <w:r>
        <w:rPr>
          <w:rFonts w:cs="仿宋" w:hint="eastAsia"/>
        </w:rPr>
        <w:t>。</w:t>
      </w:r>
    </w:p>
    <w:p>
      <w:pPr>
        <w:pStyle w:val="Normal"/>
        <w:autoSpaceDE w:val="false"/>
        <w:ind w:firstLineChars="200" w:startChars="0" w:start="0" w:endChars="0" w:end="0"/>
        <w:rPr>
          <w:rFonts w:cs="仿宋" w:hint="eastAsia"/>
        </w:rPr>
      </w:pPr>
      <w:r>
        <w:rPr>
          <w:rFonts w:cs="仿宋" w:hint="eastAsia" w:eastAsia="黑体"/>
        </w:rPr>
        <w:t>第二十八条</w:t>
      </w:r>
      <w:r>
        <w:rPr>
          <w:rFonts w:cs="仿宋"/>
        </w:rPr>
        <w:t xml:space="preserve">  </w:t>
      </w:r>
      <w:r>
        <w:rPr>
          <w:rFonts w:cs="仿宋" w:hint="eastAsia"/>
        </w:rPr>
        <w:t>违反本条例规定，有下列行为之一的，由黄山市人民政府责令其改正；情节严重的，对直接负责的主管人员和其他直接责任人员依法给予处分：</w:t>
      </w:r>
    </w:p>
    <w:p>
      <w:pPr>
        <w:pStyle w:val="Normal"/>
        <w:autoSpaceDE w:val="false"/>
        <w:ind w:firstLineChars="200" w:startChars="0" w:start="0" w:endChars="0" w:end="0"/>
        <w:rPr>
          <w:rFonts w:cs="仿宋"/>
        </w:rPr>
      </w:pPr>
      <w:r>
        <w:rPr>
          <w:rFonts w:cs="仿宋" w:hint="eastAsia"/>
        </w:rPr>
        <w:t>（一）未按太平湖风景区规划擅自批准建设项目的；</w:t>
      </w:r>
    </w:p>
    <w:p>
      <w:pPr>
        <w:pStyle w:val="Normal"/>
        <w:ind w:firstLineChars="200" w:startChars="0" w:start="0" w:endChars="0" w:end="0"/>
        <w:rPr/>
      </w:pPr>
      <w:r>
        <w:rPr>
          <w:rFonts w:cs="仿宋" w:hint="eastAsia"/>
        </w:rPr>
        <w:t>（二）未依法履行监督管理职责，致使太平湖风景区环境被破坏、</w:t>
      </w:r>
      <w:r>
        <w:rPr>
          <w:rFonts w:hint="eastAsia"/>
        </w:rPr>
        <w:t>污染的；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（三）超过允许容量接纳游客或者在没有安全保障的区域开展游览活动的；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（四）未设置风景名胜区标志和路标、安全警示等标牌的；</w:t>
      </w:r>
    </w:p>
    <w:p>
      <w:pPr>
        <w:pStyle w:val="Normal"/>
        <w:ind w:firstLineChars="200" w:startChars="0" w:start="0" w:endChars="0" w:end="0"/>
        <w:rPr>
          <w:rFonts w:cs="仿宋"/>
        </w:rPr>
      </w:pPr>
      <w:r>
        <w:rPr>
          <w:rFonts w:hint="eastAsia"/>
        </w:rPr>
        <w:t>（五）未依法履行</w:t>
      </w:r>
      <w:r>
        <w:rPr>
          <w:rFonts w:cs="仿宋" w:hint="eastAsia"/>
        </w:rPr>
        <w:t>安全监管职责，出现安全事故，造成人员伤亡和财产重大损失的；</w:t>
      </w:r>
    </w:p>
    <w:p>
      <w:pPr>
        <w:pStyle w:val="Normal"/>
        <w:autoSpaceDE w:val="false"/>
        <w:ind w:firstLineChars="200" w:startChars="0" w:start="0" w:endChars="0" w:end="0"/>
        <w:rPr>
          <w:rFonts w:cs="仿宋"/>
        </w:rPr>
      </w:pPr>
      <w:r>
        <w:rPr>
          <w:rFonts w:hint="eastAsia"/>
        </w:rPr>
        <w:t>（六）有其他滥</w:t>
      </w:r>
      <w:r>
        <w:rPr>
          <w:rFonts w:cs="仿宋" w:hint="eastAsia"/>
        </w:rPr>
        <w:t>用职权、玩忽职守、徇私舞弊行为的。</w:t>
      </w:r>
    </w:p>
    <w:p>
      <w:pPr>
        <w:pStyle w:val="Normal"/>
        <w:ind w:firstLineChars="200" w:startChars="0" w:start="0" w:endChars="0" w:end="0"/>
        <w:rPr/>
      </w:pPr>
      <w:r>
        <w:rPr>
          <w:rFonts w:cs="Arial" w:hint="eastAsia" w:eastAsia="黑体"/>
          <w:shd w:fill="FFFFFF" w:val="clear"/>
        </w:rPr>
        <w:t>第二十九条</w:t>
      </w:r>
      <w:r>
        <w:rPr>
          <w:rFonts w:cs="Arial"/>
          <w:shd w:fill="FFFFFF" w:val="clear"/>
        </w:rPr>
        <w:t xml:space="preserve">  </w:t>
      </w:r>
      <w:r>
        <w:rPr>
          <w:rFonts w:cs="Arial" w:hint="eastAsia"/>
          <w:shd w:fill="FFFFFF" w:val="clear"/>
        </w:rPr>
        <w:t>违反本条例规定的行</w:t>
      </w:r>
      <w:r>
        <w:rPr>
          <w:rFonts w:hint="eastAsia"/>
        </w:rPr>
        <w:t>为，法律、法规已有行政处罚规定的，依照其规定处罚；构成犯罪的，依法追究刑事责任。</w:t>
      </w:r>
    </w:p>
    <w:p>
      <w:pPr>
        <w:pStyle w:val="Normal"/>
        <w:ind w:firstLineChars="200" w:startChars="0" w:start="0" w:endChars="0" w:end="0"/>
        <w:rPr>
          <w:rFonts w:hint="eastAsia"/>
          <w:color w:val="000000"/>
        </w:rPr>
      </w:pPr>
      <w:r>
        <w:rPr>
          <w:rFonts w:hint="eastAsia" w:eastAsia="黑体"/>
        </w:rPr>
        <w:t>第三十条</w:t>
      </w:r>
      <w:r>
        <w:rPr>
          <w:rFonts w:hint="eastAsia"/>
        </w:rPr>
        <w:t>　</w:t>
      </w:r>
      <w:r>
        <w:rPr>
          <w:rFonts w:cs="仿宋" w:hint="eastAsia"/>
        </w:rPr>
        <w:t>本条例自</w:t>
      </w:r>
      <w:r>
        <w:rPr>
          <w:rFonts w:cs="仿宋"/>
        </w:rPr>
        <w:t>2019</w:t>
      </w:r>
      <w:r>
        <w:rPr>
          <w:rFonts w:cs="仿宋" w:hint="eastAsia"/>
        </w:rPr>
        <w:t>年</w:t>
      </w:r>
      <w:r>
        <w:rPr>
          <w:rFonts w:cs="仿宋"/>
        </w:rPr>
        <w:t>1</w:t>
      </w:r>
      <w:r>
        <w:rPr>
          <w:rFonts w:cs="仿宋" w:hint="eastAsia"/>
        </w:rPr>
        <w:t>月</w:t>
      </w:r>
      <w:r>
        <w:rPr>
          <w:rFonts w:cs="仿宋"/>
        </w:rPr>
        <w:t>1</w:t>
      </w:r>
      <w:r>
        <w:rPr>
          <w:rFonts w:cs="仿宋" w:hint="eastAsia"/>
        </w:rPr>
        <w:t>日起施行。</w:t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sectPr>
      <w:headerReference w:type="default" r:id="rId2"/>
      <w:footerReference w:type="default" r:id="rId3"/>
      <w:type w:val="nextPage"/>
      <w:pgSz w:w="11906" w:h="16838"/>
      <w:pgMar w:left="1531" w:right="1531" w:gutter="0" w:header="851" w:top="1928" w:footer="1588" w:bottom="1928"/>
      <w:pgNumType w:fmt="decimal"/>
      <w:formProt w:val="false"/>
      <w:textDirection w:val="lrTb"/>
      <w:docGrid w:type="linesAndChars" w:linePitch="590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仿宋_GB2312"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Tahoma">
    <w:charset w:val="00" w:characterSet="windows-1252"/>
    <w:family w:val="swiss"/>
    <w:pitch w:val="default"/>
  </w:font>
  <w:font w:name="Calibri">
    <w:charset w:val="00" w:characterSet="windows-1252"/>
    <w:family w:val="swiss"/>
    <w:pitch w:val="default"/>
  </w:font>
  <w:font w:name="方正小标宋简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32460" cy="527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460" cy="527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0" w:firstLine="0" w:startChars="100" w:endChars="100"/>
                            <w:rPr>
                              <w:rStyle w:val="PageNumber"/>
                              <w:rFonts w:ascii="宋体" w:hAnsi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t>9</w:t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8pt;height:41.55pt;mso-wrap-distance-left:0pt;mso-wrap-distance-right:0pt;mso-wrap-distance-top:0pt;mso-wrap-distance-bottom:0pt;margin-top:0.05pt;mso-position-vertical-relative:text;margin-left:392.4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0" w:firstLine="0" w:startChars="100" w:endChars="100"/>
                      <w:rPr>
                        <w:rStyle w:val="PageNumber"/>
                        <w:rFonts w:ascii="宋体" w:hAnsi="宋体" w:cs="宋体" w:hint="eastAsia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t>9</w:t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2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font01">
    <w:name w:val="font01"/>
    <w:basedOn w:val="Style14"/>
    <w:qFormat/>
    <w:rPr>
      <w:rFonts w:ascii="仿宋_GB2312" w:hAnsi="仿宋_GB2312" w:eastAsia="仿宋_GB2312" w:cs="仿宋_GB2312"/>
      <w:color w:val="000000"/>
      <w:sz w:val="24"/>
      <w:szCs w:val="24"/>
      <w:u w:val="none"/>
    </w:rPr>
  </w:style>
  <w:style w:type="character" w:styleId="Strong">
    <w:name w:val="Strong"/>
    <w:basedOn w:val="Style14"/>
    <w:qFormat/>
    <w:rPr>
      <w:rFonts w:cs="Times New Roman"/>
      <w:b/>
      <w:bCs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PageNumber">
    <w:name w:val="page number"/>
    <w:basedOn w:val="Style14"/>
    <w:rPr/>
  </w:style>
  <w:style w:type="character" w:styleId="Emphasis">
    <w:name w:val="Emphasis"/>
    <w:qFormat/>
    <w:rPr>
      <w:i w:val="false"/>
      <w:iCs w:val="false"/>
      <w:color w:val="CC0000"/>
    </w:rPr>
  </w:style>
  <w:style w:type="character" w:styleId="apple-converted-space">
    <w:name w:val="apple-converted-space"/>
    <w:basedOn w:val="Style14"/>
    <w:qFormat/>
    <w:rPr>
      <w:rFonts w:cs="Times New Roman"/>
    </w:rPr>
  </w:style>
  <w:style w:type="character" w:styleId="font21">
    <w:name w:val="font21"/>
    <w:basedOn w:val="Style14"/>
    <w:qFormat/>
    <w:rPr>
      <w:rFonts w:ascii="Times New Roman" w:hAnsi="Times New Roman" w:cs="Times New Roman"/>
      <w:color w:val="000000"/>
      <w:sz w:val="24"/>
      <w:szCs w:val="24"/>
      <w:u w:val="none"/>
    </w:rPr>
  </w:style>
  <w:style w:type="character" w:styleId="CharChar">
    <w:name w:val=" Char Char"/>
    <w:basedOn w:val="Style14"/>
    <w:qFormat/>
    <w:rPr>
      <w:rFonts w:eastAsia="仿宋_GB2312"/>
      <w:kern w:val="2"/>
      <w:sz w:val="18"/>
      <w:szCs w:val="18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BodyTextIndent">
    <w:name w:val="Body Text Indent"/>
    <w:basedOn w:val="Normal"/>
    <w:pPr>
      <w:spacing w:lineRule="auto" w:line="360"/>
      <w:ind w:firstLineChars="200" w:startChars="0" w:start="0" w:endChars="0" w:end="0"/>
    </w:pPr>
    <w:rPr>
      <w:rFonts w:ascii="宋体" w:hAnsi="宋体" w:eastAsia="宋体" w:cs="宋体"/>
      <w:sz w:val="28"/>
      <w:szCs w:val="20"/>
    </w:rPr>
  </w:style>
  <w:style w:type="paragraph" w:styleId="2">
    <w:name w:val="正文文本缩进 2"/>
    <w:basedOn w:val="Normal"/>
    <w:qFormat/>
    <w:pPr>
      <w:ind w:firstLineChars="200" w:startChars="0" w:start="0" w:endChars="0" w:end="0"/>
    </w:pPr>
    <w:rPr>
      <w:spacing w:val="-4"/>
      <w:szCs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rFonts w:eastAsia="宋体"/>
      <w:sz w:val="21"/>
      <w:szCs w:val="24"/>
    </w:rPr>
  </w:style>
  <w:style w:type="paragraph" w:styleId="Style18">
    <w:name w:val="普通(网站)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styleId="Char">
    <w:name w:val="Char"/>
    <w:basedOn w:val="Normal"/>
    <w:qFormat/>
    <w:pPr>
      <w:tabs>
        <w:tab w:val="clear" w:pos="420"/>
        <w:tab w:val="left" w:pos="360" w:leader="none"/>
      </w:tabs>
      <w:ind w:hangingChars="200" w:startChars="0" w:start="0" w:endChars="0" w:end="0"/>
    </w:pPr>
    <w:rPr>
      <w:rFonts w:eastAsia="宋体"/>
      <w:sz w:val="24"/>
    </w:rPr>
  </w:style>
  <w:style w:type="paragraph" w:styleId="CharCharCharChar">
    <w:name w:val="Char Char Char Char"/>
    <w:basedOn w:val="Normal"/>
    <w:qFormat/>
    <w:pPr/>
    <w:rPr>
      <w:rFonts w:eastAsia="宋体"/>
      <w:sz w:val="21"/>
      <w:szCs w:val="24"/>
    </w:rPr>
  </w:style>
  <w:style w:type="paragraph" w:styleId="Char1">
    <w:name w:val=" Char"/>
    <w:basedOn w:val="Style15"/>
    <w:qFormat/>
    <w:pPr>
      <w:spacing w:lineRule="exact" w:line="436"/>
      <w:ind w:hanging="0" w:start="357" w:end="0"/>
      <w:jc w:val="start"/>
      <w:outlineLvl w:val="3"/>
    </w:pPr>
    <w:rPr>
      <w:rFonts w:ascii="Tahoma" w:hAnsi="Tahoma" w:cs="Tahoma"/>
      <w:b/>
      <w:sz w:val="24"/>
    </w:rPr>
  </w:style>
  <w:style w:type="paragraph" w:styleId="NormalIndent">
    <w:name w:val="Normal Indent"/>
    <w:basedOn w:val="Normal"/>
    <w:qFormat/>
    <w:pPr>
      <w:ind w:firstLine="630" w:start="0" w:end="0"/>
    </w:pPr>
    <w:rPr>
      <w:kern w:val="0"/>
      <w:szCs w:val="20"/>
    </w:rPr>
  </w:style>
  <w:style w:type="paragraph" w:styleId="Char11">
    <w:name w:val="Char1"/>
    <w:basedOn w:val="Normal"/>
    <w:qFormat/>
    <w:pPr>
      <w:tabs>
        <w:tab w:val="clear" w:pos="420"/>
        <w:tab w:val="left" w:pos="360" w:leader="none"/>
      </w:tabs>
    </w:pPr>
    <w:rPr>
      <w:szCs w:val="20"/>
    </w:rPr>
  </w:style>
  <w:style w:type="paragraph" w:styleId="ParaCharCharCharChar">
    <w:name w:val="默认段落字体 Para Char Char Char Char"/>
    <w:basedOn w:val="Normal"/>
    <w:qFormat/>
    <w:pPr/>
    <w:rPr>
      <w:rFonts w:eastAsia="宋体"/>
      <w:sz w:val="21"/>
      <w:szCs w:val="20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p0">
    <w:name w:val="p0"/>
    <w:basedOn w:val="Normal"/>
    <w:qFormat/>
    <w:pPr>
      <w:widowControl/>
    </w:pPr>
    <w:rPr>
      <w:rFonts w:eastAsia="宋体"/>
      <w:kern w:val="0"/>
      <w:sz w:val="21"/>
      <w:szCs w:val="21"/>
    </w:rPr>
  </w:style>
  <w:style w:type="paragraph" w:styleId="p15">
    <w:name w:val="p1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araCharCharCharCharCharCharCharCharCharCharCharCharCharCharCharChar">
    <w:name w:val="默认段落字体 Para Char Char Char Char Char Char Char Char Char Char Char Char Char Char Char Char"/>
    <w:basedOn w:val="Normal"/>
    <w:qFormat/>
    <w:pPr/>
    <w:rPr>
      <w:rFonts w:eastAsia="宋体"/>
      <w:sz w:val="21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2018-10-08T15:09:00Z</dcterms:created>
  <dc:creator>ch</dc:creator>
  <dc:description/>
  <dc:language>en-US</dc:language>
  <cp:lastModifiedBy>tf</cp:lastModifiedBy>
  <cp:lastPrinted>2018-08-09T16:40:00Z</cp:lastPrinted>
  <dcterms:modified xsi:type="dcterms:W3CDTF">2018-10-09T09:43:51Z</dcterms:modified>
  <cp:revision>3</cp:revision>
  <dc:subject/>
  <dc:title>板心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