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黑体;SimHei" w:hint="eastAsia"/>
          <w:sz w:val="36"/>
        </w:rPr>
      </w:pPr>
      <w:r>
        <w:rPr>
          <w:rFonts w:eastAsia="黑体;SimHei" w:hint="eastAsia"/>
          <w:sz w:val="36"/>
        </w:rPr>
      </w:r>
    </w:p>
    <w:p>
      <w:pPr>
        <w:pStyle w:val="Normal"/>
        <w:spacing w:lineRule="exact" w:line="680"/>
        <w:jc w:val="center"/>
        <w:rPr>
          <w:rFonts w:ascii="宋体;SimSun" w:hAnsi="宋体;SimSun" w:eastAsia="宋体;SimSun" w:cs="宋体;SimSun"/>
          <w:bCs/>
          <w:sz w:val="44"/>
        </w:rPr>
      </w:pPr>
      <w:r>
        <w:rPr>
          <w:rFonts w:ascii="宋体;SimSun" w:hAnsi="宋体;SimSun" w:cs="宋体;SimSun" w:hint="eastAsia" w:eastAsia="宋体;SimSun"/>
          <w:bCs/>
          <w:sz w:val="44"/>
        </w:rPr>
        <w:t>安徽省人民代表大会常务委员会</w:t>
      </w:r>
    </w:p>
    <w:p>
      <w:pPr>
        <w:pStyle w:val="Normal"/>
        <w:spacing w:lineRule="exact" w:line="680"/>
        <w:jc w:val="center"/>
        <w:rPr>
          <w:rFonts w:ascii="宋体;SimSun" w:hAnsi="宋体;SimSun" w:eastAsia="宋体;SimSun" w:cs="宋体;SimSun"/>
          <w:bCs/>
          <w:sz w:val="44"/>
        </w:rPr>
      </w:pPr>
      <w:r>
        <w:rPr>
          <w:rFonts w:ascii="宋体;SimSun" w:hAnsi="宋体;SimSun" w:cs="宋体;SimSun" w:hint="eastAsia" w:eastAsia="宋体;SimSun"/>
          <w:bCs/>
          <w:sz w:val="44"/>
        </w:rPr>
        <w:t>公</w:t>
      </w:r>
      <w:r>
        <w:rPr>
          <w:rFonts w:ascii="宋体;SimSun" w:hAnsi="宋体;SimSun" w:cs="宋体;SimSun" w:eastAsia="宋体;SimSun"/>
          <w:bCs/>
          <w:sz w:val="44"/>
        </w:rPr>
        <w:t xml:space="preserve">       </w:t>
      </w:r>
      <w:r>
        <w:rPr>
          <w:rFonts w:ascii="宋体;SimSun" w:hAnsi="宋体;SimSun" w:cs="宋体;SimSun" w:hint="eastAsia" w:eastAsia="宋体;SimSun"/>
          <w:bCs/>
          <w:sz w:val="44"/>
        </w:rPr>
        <w:t>告</w:t>
      </w:r>
    </w:p>
    <w:p>
      <w:pPr>
        <w:pStyle w:val="Normal"/>
        <w:jc w:val="center"/>
        <w:rPr>
          <w:rFonts w:ascii="仿宋_GB2312" w:hAnsi="仿宋_GB2312" w:eastAsia="宋体;SimSun" w:cs="宋体;SimSun"/>
          <w:bCs/>
          <w:sz w:val="30"/>
        </w:rPr>
      </w:pPr>
      <w:r>
        <w:rPr>
          <w:rFonts w:eastAsia="宋体;SimSun" w:cs="宋体;SimSun" w:ascii="仿宋_GB2312" w:hAnsi="仿宋_GB2312"/>
          <w:bCs/>
          <w:sz w:val="30"/>
        </w:rPr>
      </w:r>
    </w:p>
    <w:p>
      <w:pPr>
        <w:pStyle w:val="Normal"/>
        <w:jc w:val="center"/>
        <w:rPr>
          <w:rFonts w:ascii="楷体_GB2312" w:hAnsi="楷体_GB2312" w:eastAsia="楷体_GB2312" w:hint="eastAsia"/>
        </w:rPr>
      </w:pPr>
      <w:r>
        <w:rPr>
          <w:rFonts w:ascii="楷体_GB2312" w:hAnsi="楷体_GB2312" w:hint="eastAsia" w:eastAsia="楷体_GB2312"/>
        </w:rPr>
        <w:t>（第五十三号）</w:t>
      </w:r>
    </w:p>
    <w:p>
      <w:pPr>
        <w:pStyle w:val="Normal"/>
        <w:rPr>
          <w:rFonts w:ascii="仿宋_GB2312" w:hAnsi="仿宋_GB2312" w:eastAsia="楷体_GB2312" w:hint="eastAsia"/>
        </w:rPr>
      </w:pPr>
      <w:r>
        <w:rPr>
          <w:rFonts w:eastAsia="楷体_GB2312" w:hint="eastAsia" w:ascii="仿宋_GB2312" w:hAnsi="仿宋_GB2312"/>
        </w:rPr>
      </w:r>
    </w:p>
    <w:p>
      <w:pPr>
        <w:pStyle w:val="Normal"/>
        <w:ind w:firstLineChars="200" w:startChars="0" w:start="0" w:endChars="0" w:end="0"/>
        <w:rPr/>
      </w:pPr>
      <w:r>
        <w:rPr/>
        <w:t>《</w:t>
      </w:r>
      <w:r>
        <w:rPr>
          <w:rFonts w:ascii="仿宋_GB2312" w:hAnsi="仿宋_GB2312" w:hint="eastAsia"/>
          <w:color w:val="000000"/>
        </w:rPr>
        <w:t>安徽省促进战略性新兴产业集聚发展条例</w:t>
      </w:r>
      <w:r>
        <w:rPr/>
        <w:t>》已经</w:t>
      </w:r>
      <w:r>
        <w:rPr/>
        <w:t>201</w:t>
      </w:r>
      <w:r>
        <w:rPr>
          <w:rFonts w:hint="eastAsia"/>
        </w:rPr>
        <w:t>7</w:t>
      </w:r>
      <w:r>
        <w:rPr/>
        <w:t>年</w:t>
      </w:r>
      <w:r>
        <w:rPr>
          <w:rFonts w:hint="eastAsia"/>
        </w:rPr>
        <w:t>5</w:t>
      </w:r>
      <w:r>
        <w:rPr/>
        <w:t>月</w:t>
      </w:r>
      <w:r>
        <w:rPr>
          <w:rFonts w:hint="eastAsia"/>
        </w:rPr>
        <w:t>27</w:t>
      </w:r>
      <w:r>
        <w:rPr/>
        <w:t>日安徽省第十二届人民代表大会常务委员会第</w:t>
      </w:r>
      <w:r>
        <w:rPr>
          <w:rFonts w:hint="eastAsia"/>
        </w:rPr>
        <w:t>三十八</w:t>
      </w:r>
      <w:r>
        <w:rPr/>
        <w:t>次会议</w:t>
      </w:r>
      <w:r>
        <w:rPr>
          <w:rFonts w:hint="eastAsia"/>
        </w:rPr>
        <w:t>通过</w:t>
      </w:r>
      <w:r>
        <w:rPr/>
        <w:t>，现</w:t>
      </w:r>
      <w:r>
        <w:rPr>
          <w:rFonts w:hint="eastAsia"/>
        </w:rPr>
        <w:t>予</w:t>
      </w:r>
      <w:r>
        <w:rPr/>
        <w:t>公布，自</w:t>
      </w:r>
      <w:r>
        <w:rPr/>
        <w:t>201</w:t>
      </w:r>
      <w:r>
        <w:rPr>
          <w:rFonts w:hint="eastAsia"/>
        </w:rPr>
        <w:t>7</w:t>
      </w:r>
      <w:r>
        <w:rPr/>
        <w:t>年</w:t>
      </w:r>
      <w:r>
        <w:rPr>
          <w:rFonts w:hint="eastAsia"/>
        </w:rPr>
        <w:t>7</w:t>
      </w:r>
      <w:r>
        <w:rPr/>
        <w:t>月</w:t>
      </w:r>
      <w:r>
        <w:rPr>
          <w:rFonts w:hint="eastAsia"/>
        </w:rPr>
        <w:t>1</w:t>
      </w:r>
      <w:r>
        <w:rPr/>
        <w:t>日起施行。</w:t>
      </w:r>
    </w:p>
    <w:p>
      <w:pPr>
        <w:pStyle w:val="Normal"/>
        <w:rPr/>
      </w:pPr>
      <w:r>
        <w:rPr/>
      </w:r>
    </w:p>
    <w:p>
      <w:pPr>
        <w:pStyle w:val="Normal"/>
        <w:rPr/>
      </w:pPr>
      <w:r>
        <w:rPr/>
      </w:r>
    </w:p>
    <w:p>
      <w:pPr>
        <w:pStyle w:val="Normal"/>
        <w:ind w:firstLineChars="0" w:firstLine="0" w:startChars="0" w:start="0" w:endChars="193"/>
        <w:jc w:val="center"/>
        <w:rPr/>
      </w:pPr>
      <w:r>
        <w:rPr>
          <w:rFonts w:hint="eastAsia"/>
        </w:rPr>
        <w:t xml:space="preserve">                        </w:t>
      </w:r>
      <w:r>
        <w:rPr/>
        <w:t>安徽省人民代表大会常务委员会</w:t>
      </w:r>
    </w:p>
    <w:p>
      <w:pPr>
        <w:pStyle w:val="Normal"/>
        <w:ind w:firstLineChars="0" w:firstLine="0" w:startChars="0" w:start="0" w:endChars="517"/>
        <w:jc w:val="end"/>
        <w:rPr/>
      </w:pPr>
      <w:r>
        <w:rPr>
          <w:rFonts w:hint="eastAsia"/>
        </w:rPr>
        <w:t xml:space="preserve">                              </w:t>
      </w:r>
      <w:r>
        <w:rPr/>
        <w:t>201</w:t>
      </w:r>
      <w:r>
        <w:rPr>
          <w:rFonts w:hint="eastAsia"/>
        </w:rPr>
        <w:t>7</w:t>
      </w:r>
      <w:r>
        <w:rPr/>
        <w:t>年</w:t>
      </w:r>
      <w:r>
        <w:rPr>
          <w:rFonts w:hint="eastAsia"/>
        </w:rPr>
        <w:t>5</w:t>
      </w:r>
      <w:r>
        <w:rPr/>
        <w:t>月</w:t>
      </w:r>
      <w:r>
        <w:rPr>
          <w:rFonts w:hint="eastAsia"/>
        </w:rPr>
        <w:t>31</w:t>
      </w:r>
      <w:r>
        <w:rPr/>
        <w:t>日</w:t>
      </w:r>
      <w:r>
        <w:br w:type="page"/>
      </w:r>
    </w:p>
    <w:p>
      <w:pPr>
        <w:pStyle w:val="Normal"/>
        <w:ind w:firstLineChars="0" w:firstLine="0" w:startChars="0" w:start="0" w:endChars="517"/>
        <w:rPr>
          <w:rFonts w:hint="eastAsia"/>
        </w:rPr>
      </w:pPr>
      <w:r>
        <w:rPr>
          <w:rFonts w:hint="eastAsia"/>
        </w:rPr>
      </w:r>
    </w:p>
    <w:p>
      <w:pPr>
        <w:pStyle w:val="Normal"/>
        <w:spacing w:lineRule="exact" w:line="680"/>
        <w:jc w:val="center"/>
        <w:rPr>
          <w:rFonts w:ascii="宋体;SimSun" w:hAnsi="宋体;SimSun" w:eastAsia="宋体;SimSun" w:cs="宋体;SimSun"/>
          <w:color w:val="000000"/>
          <w:sz w:val="44"/>
          <w:szCs w:val="44"/>
        </w:rPr>
      </w:pPr>
      <w:r>
        <w:rPr>
          <w:rFonts w:ascii="宋体;SimSun" w:hAnsi="宋体;SimSun" w:cs="宋体;SimSun" w:hint="eastAsia" w:eastAsia="宋体;SimSun"/>
          <w:color w:val="000000"/>
          <w:sz w:val="44"/>
          <w:szCs w:val="44"/>
        </w:rPr>
        <w:t>安徽省促进战略性新兴产业集聚发展条例</w:t>
      </w:r>
    </w:p>
    <w:p>
      <w:pPr>
        <w:pStyle w:val="Normal"/>
        <w:jc w:val="center"/>
        <w:rPr>
          <w:rFonts w:ascii="宋体;SimSun" w:hAnsi="宋体;SimSun" w:eastAsia="方正小标宋简体" w:cs="宋体;SimSun" w:hint="eastAsia"/>
          <w:color w:val="000000"/>
          <w:sz w:val="44"/>
          <w:szCs w:val="44"/>
        </w:rPr>
      </w:pPr>
      <w:r>
        <w:rPr>
          <w:rFonts w:eastAsia="方正小标宋简体" w:cs="宋体;SimSun" w:hint="eastAsia" w:ascii="宋体;SimSun" w:hAnsi="宋体;SimSun"/>
          <w:color w:val="000000"/>
          <w:sz w:val="44"/>
          <w:szCs w:val="44"/>
        </w:rPr>
      </w:r>
    </w:p>
    <w:p>
      <w:pPr>
        <w:pStyle w:val="Normal"/>
        <w:jc w:val="center"/>
        <w:rPr/>
      </w:pPr>
      <w:r>
        <w:rPr>
          <w:rFonts w:hint="eastAsia" w:eastAsia="楷体_GB2312"/>
          <w:color w:val="000000"/>
          <w:kern w:val="2"/>
        </w:rPr>
        <w:t>（</w:t>
      </w:r>
      <w:r>
        <w:rPr>
          <w:rFonts w:eastAsia="楷体_GB2312"/>
          <w:color w:val="000000"/>
          <w:kern w:val="2"/>
        </w:rPr>
        <w:t>20</w:t>
      </w:r>
      <w:r>
        <w:rPr>
          <w:rFonts w:eastAsia="楷体_GB2312" w:hint="eastAsia"/>
          <w:color w:val="000000"/>
          <w:kern w:val="2"/>
        </w:rPr>
        <w:t>17</w:t>
      </w:r>
      <w:r>
        <w:rPr>
          <w:rFonts w:hint="eastAsia" w:eastAsia="楷体_GB2312"/>
          <w:color w:val="000000"/>
          <w:kern w:val="2"/>
        </w:rPr>
        <w:t>年</w:t>
      </w:r>
      <w:r>
        <w:rPr>
          <w:rFonts w:eastAsia="楷体_GB2312" w:hint="eastAsia"/>
          <w:color w:val="000000"/>
          <w:kern w:val="2"/>
        </w:rPr>
        <w:t>5</w:t>
      </w:r>
      <w:r>
        <w:rPr>
          <w:rFonts w:hint="eastAsia" w:eastAsia="楷体_GB2312"/>
          <w:color w:val="000000"/>
          <w:kern w:val="2"/>
        </w:rPr>
        <w:t>月</w:t>
      </w:r>
      <w:r>
        <w:rPr>
          <w:rFonts w:eastAsia="楷体_GB2312" w:hint="eastAsia"/>
          <w:color w:val="000000"/>
          <w:kern w:val="2"/>
        </w:rPr>
        <w:t>27</w:t>
      </w:r>
      <w:r>
        <w:rPr>
          <w:rFonts w:hint="eastAsia" w:eastAsia="楷体_GB2312"/>
          <w:color w:val="000000"/>
          <w:kern w:val="2"/>
        </w:rPr>
        <w:t>日安徽省第十二届人民代表大会</w:t>
      </w:r>
    </w:p>
    <w:p>
      <w:pPr>
        <w:pStyle w:val="Normal"/>
        <w:jc w:val="center"/>
        <w:rPr>
          <w:rFonts w:eastAsia="楷体_GB2312"/>
          <w:color w:val="000000"/>
          <w:kern w:val="2"/>
        </w:rPr>
      </w:pPr>
      <w:r>
        <w:rPr>
          <w:rFonts w:hint="eastAsia" w:eastAsia="楷体_GB2312"/>
          <w:color w:val="000000"/>
          <w:kern w:val="2"/>
        </w:rPr>
        <w:t>常务委员会第三十八次会议通过）</w:t>
      </w:r>
    </w:p>
    <w:p>
      <w:pPr>
        <w:pStyle w:val="Normal"/>
        <w:rPr>
          <w:rFonts w:eastAsia="楷体_GB2312"/>
          <w:color w:val="000000"/>
          <w:kern w:val="2"/>
        </w:rPr>
      </w:pPr>
      <w:r>
        <w:rPr>
          <w:rFonts w:eastAsia="楷体_GB2312"/>
          <w:color w:val="000000"/>
          <w:kern w:val="2"/>
        </w:rPr>
      </w:r>
    </w:p>
    <w:p>
      <w:pPr>
        <w:pStyle w:val="Normal"/>
        <w:jc w:val="center"/>
        <w:rPr>
          <w:rFonts w:eastAsia="黑体;SimHei"/>
          <w:color w:val="000000"/>
        </w:rPr>
      </w:pPr>
      <w:r>
        <w:rPr>
          <w:rFonts w:hint="eastAsia" w:eastAsia="黑体;SimHei"/>
          <w:color w:val="000000"/>
        </w:rPr>
        <w:t>第一章</w:t>
      </w:r>
      <w:r>
        <w:rPr>
          <w:rFonts w:eastAsia="黑体;SimHei"/>
          <w:color w:val="000000"/>
        </w:rPr>
        <w:t xml:space="preserve">  </w:t>
      </w:r>
      <w:r>
        <w:rPr>
          <w:rFonts w:hint="eastAsia" w:eastAsia="黑体;SimHei"/>
          <w:color w:val="000000"/>
        </w:rPr>
        <w:t>总  则</w:t>
      </w:r>
    </w:p>
    <w:p>
      <w:pPr>
        <w:pStyle w:val="Normal"/>
        <w:rPr>
          <w:rFonts w:eastAsia="黑体;SimHei"/>
          <w:color w:val="000000"/>
        </w:rPr>
      </w:pPr>
      <w:r>
        <w:rPr>
          <w:rFonts w:eastAsia="黑体;SimHei"/>
          <w:color w:val="000000"/>
        </w:rPr>
      </w:r>
    </w:p>
    <w:p>
      <w:pPr>
        <w:pStyle w:val="Normal"/>
        <w:ind w:firstLineChars="200" w:startChars="0" w:start="0" w:endChars="0" w:end="0"/>
        <w:rPr>
          <w:color w:val="000000"/>
        </w:rPr>
      </w:pPr>
      <w:r>
        <w:rPr>
          <w:rFonts w:hint="eastAsia" w:eastAsia="黑体;SimHei"/>
          <w:color w:val="000000"/>
        </w:rPr>
        <w:t>第一条</w:t>
      </w:r>
      <w:r>
        <w:rPr>
          <w:color w:val="000000"/>
        </w:rPr>
        <w:t xml:space="preserve">  </w:t>
      </w:r>
      <w:r>
        <w:rPr>
          <w:rFonts w:hint="eastAsia"/>
          <w:color w:val="000000"/>
        </w:rPr>
        <w:t>为了促进战略性新兴产业集聚发展，引领传统产业转型升级，建设创新型现代产业体系，推动经济保持中高速增长、产业迈向中高端水平，根据有关法律、行政法规，结合本省实际，制定本条例。</w:t>
      </w:r>
    </w:p>
    <w:p>
      <w:pPr>
        <w:pStyle w:val="Normal"/>
        <w:ind w:firstLineChars="200" w:startChars="0" w:start="0" w:endChars="0" w:end="0"/>
        <w:rPr>
          <w:color w:val="000000"/>
        </w:rPr>
      </w:pPr>
      <w:r>
        <w:rPr>
          <w:rFonts w:hint="eastAsia" w:eastAsia="黑体;SimHei"/>
          <w:color w:val="000000"/>
        </w:rPr>
        <w:t>第二条</w:t>
      </w:r>
      <w:r>
        <w:rPr>
          <w:color w:val="000000"/>
        </w:rPr>
        <w:t xml:space="preserve">  </w:t>
      </w:r>
      <w:r>
        <w:rPr>
          <w:rFonts w:hint="eastAsia"/>
          <w:color w:val="000000"/>
        </w:rPr>
        <w:t>本条例适用于本省行政区域内战略性新兴产业集聚发展及其相关活动。</w:t>
      </w:r>
    </w:p>
    <w:p>
      <w:pPr>
        <w:pStyle w:val="Normal"/>
        <w:ind w:firstLineChars="200" w:startChars="0" w:start="0" w:endChars="0" w:end="0"/>
        <w:rPr>
          <w:color w:val="000000"/>
        </w:rPr>
      </w:pPr>
      <w:r>
        <w:rPr>
          <w:rFonts w:hint="eastAsia"/>
          <w:color w:val="000000"/>
        </w:rPr>
        <w:t>本条例所称战略性新兴产业，是指以重大技术突破、先进技术利用和巨大市场需求为基础，对经济社会发展全局和长远发展具有重大引领带动作用，知识技术密集度高、物质资源消耗少、环境影响小、成长潜力大、综合效益好的产业。</w:t>
      </w:r>
    </w:p>
    <w:p>
      <w:pPr>
        <w:pStyle w:val="Normal"/>
        <w:ind w:firstLineChars="200" w:startChars="0" w:start="0" w:endChars="0" w:end="0"/>
        <w:rPr>
          <w:color w:val="000000"/>
        </w:rPr>
      </w:pPr>
      <w:r>
        <w:rPr>
          <w:rFonts w:hint="eastAsia"/>
          <w:color w:val="000000"/>
        </w:rPr>
        <w:t>本条例所称集聚发展，是指依托国家自主创新示范区、国家级和省级开发园区等，瞄准主导产业，持续聚焦突破，优化产业布局，创新扶持政策，发挥龙头企业作用，延伸产业链条，扩大产业集群，形成集聚效应。</w:t>
      </w:r>
    </w:p>
    <w:p>
      <w:pPr>
        <w:pStyle w:val="Normal"/>
        <w:ind w:firstLineChars="200" w:startChars="0" w:start="0" w:endChars="0" w:end="0"/>
        <w:rPr>
          <w:color w:val="000000"/>
        </w:rPr>
      </w:pPr>
      <w:r>
        <w:rPr>
          <w:rFonts w:hint="eastAsia" w:eastAsia="黑体;SimHei"/>
          <w:color w:val="000000"/>
        </w:rPr>
        <w:t>第三条</w:t>
      </w:r>
      <w:r>
        <w:rPr>
          <w:color w:val="000000"/>
        </w:rPr>
        <w:t xml:space="preserve">  </w:t>
      </w:r>
      <w:r>
        <w:rPr>
          <w:rFonts w:hint="eastAsia"/>
          <w:color w:val="000000"/>
        </w:rPr>
        <w:t>促进战略性新兴产业集聚发展，应当落实创新、协调、绿色、开放、共享发展理念；遵循产业发展规律，坚持市场导向，发挥企业主体作用；坚持政府引导，创新体制机制；坚持人才为先，广聚创新资源；坚持错位发展，突出产业优势；坚持开放合作，拓展发展空间。</w:t>
      </w:r>
    </w:p>
    <w:p>
      <w:pPr>
        <w:pStyle w:val="Normal"/>
        <w:ind w:firstLineChars="200" w:startChars="0" w:start="0" w:endChars="0" w:end="0"/>
        <w:rPr>
          <w:color w:val="000000"/>
        </w:rPr>
      </w:pPr>
      <w:r>
        <w:rPr>
          <w:rFonts w:hint="eastAsia" w:eastAsia="黑体;SimHei"/>
          <w:color w:val="000000"/>
        </w:rPr>
        <w:t>第四条</w:t>
      </w:r>
      <w:r>
        <w:rPr>
          <w:color w:val="000000"/>
        </w:rPr>
        <w:t xml:space="preserve">  </w:t>
      </w:r>
      <w:r>
        <w:rPr>
          <w:rFonts w:hint="eastAsia"/>
          <w:color w:val="000000"/>
        </w:rPr>
        <w:t>县级以上人民政府领导本行政区域内促进战略性新兴产业集聚发展工作。</w:t>
      </w:r>
    </w:p>
    <w:p>
      <w:pPr>
        <w:pStyle w:val="Normal"/>
        <w:ind w:firstLineChars="200" w:startChars="0" w:start="0" w:endChars="0" w:end="0"/>
        <w:rPr>
          <w:color w:val="000000"/>
        </w:rPr>
      </w:pPr>
      <w:r>
        <w:rPr>
          <w:rFonts w:hint="eastAsia"/>
          <w:color w:val="000000"/>
        </w:rPr>
        <w:t>县级以上人民政府发展和改革部门负责本行政区域内促进战略性新兴产业集聚发展的组织管理和统筹协调工作。</w:t>
      </w:r>
    </w:p>
    <w:p>
      <w:pPr>
        <w:pStyle w:val="Normal"/>
        <w:ind w:firstLineChars="200" w:startChars="0" w:start="0" w:endChars="0" w:end="0"/>
        <w:rPr>
          <w:color w:val="000000"/>
        </w:rPr>
      </w:pPr>
      <w:r>
        <w:rPr>
          <w:rFonts w:hint="eastAsia"/>
          <w:color w:val="000000"/>
        </w:rPr>
        <w:t>县级以上人民政府科技、经济和信息化、财政、人力资源和社会保障、国土资源、环保等有关部门应当按照各自职责做好促进战略性新兴产业集聚发展的有关工作。</w:t>
      </w:r>
    </w:p>
    <w:p>
      <w:pPr>
        <w:pStyle w:val="Normal"/>
        <w:ind w:firstLineChars="200" w:startChars="0" w:start="0" w:endChars="0" w:end="0"/>
        <w:rPr>
          <w:color w:val="000000"/>
        </w:rPr>
      </w:pPr>
      <w:r>
        <w:rPr>
          <w:rFonts w:hint="eastAsia" w:eastAsia="黑体;SimHei"/>
          <w:color w:val="000000"/>
        </w:rPr>
        <w:t>第五条</w:t>
      </w:r>
      <w:r>
        <w:rPr>
          <w:color w:val="000000"/>
        </w:rPr>
        <w:t xml:space="preserve">  </w:t>
      </w:r>
      <w:r>
        <w:rPr>
          <w:rFonts w:hint="eastAsia"/>
          <w:color w:val="000000"/>
        </w:rPr>
        <w:t>县级以上人民政府应当围绕战略性新兴产业集聚发展需要，建立组织领导、决策实施、保障激励、监督考核、容错纠错机制，营造崇尚创新、宽容失败的创新文化和社会氛围。</w:t>
      </w:r>
    </w:p>
    <w:p>
      <w:pPr>
        <w:pStyle w:val="Normal"/>
        <w:rPr>
          <w:color w:val="000000"/>
        </w:rPr>
      </w:pPr>
      <w:r>
        <w:rPr>
          <w:color w:val="000000"/>
        </w:rPr>
      </w:r>
    </w:p>
    <w:p>
      <w:pPr>
        <w:pStyle w:val="Normal"/>
        <w:jc w:val="center"/>
        <w:rPr>
          <w:rFonts w:eastAsia="黑体;SimHei"/>
          <w:color w:val="000000"/>
        </w:rPr>
      </w:pPr>
      <w:r>
        <w:rPr>
          <w:rFonts w:hint="eastAsia" w:eastAsia="黑体;SimHei"/>
          <w:color w:val="000000"/>
        </w:rPr>
        <w:t>第二章</w:t>
      </w:r>
      <w:r>
        <w:rPr>
          <w:rFonts w:eastAsia="黑体;SimHei"/>
          <w:color w:val="000000"/>
        </w:rPr>
        <w:t xml:space="preserve">  </w:t>
      </w:r>
      <w:r>
        <w:rPr>
          <w:rFonts w:hint="eastAsia" w:eastAsia="黑体;SimHei"/>
          <w:color w:val="000000"/>
        </w:rPr>
        <w:t>规划引领</w:t>
      </w:r>
    </w:p>
    <w:p>
      <w:pPr>
        <w:pStyle w:val="Normal"/>
        <w:rPr>
          <w:rFonts w:eastAsia="黑体;SimHei"/>
          <w:color w:val="000000"/>
        </w:rPr>
      </w:pPr>
      <w:r>
        <w:rPr>
          <w:rFonts w:eastAsia="黑体;SimHei"/>
          <w:color w:val="000000"/>
        </w:rPr>
      </w:r>
    </w:p>
    <w:p>
      <w:pPr>
        <w:pStyle w:val="Normal"/>
        <w:ind w:firstLineChars="200" w:startChars="0" w:start="0" w:endChars="0" w:end="0"/>
        <w:rPr>
          <w:rFonts w:ascii="黑体;SimHei" w:hAnsi="黑体;SimHei" w:eastAsia="黑体;SimHei" w:cs="黑体;SimHei"/>
          <w:color w:val="000000"/>
          <w:shd w:fill="D8D8D8" w:val="clear"/>
        </w:rPr>
      </w:pPr>
      <w:r>
        <w:rPr>
          <w:rFonts w:hint="eastAsia" w:eastAsia="黑体;SimHei"/>
          <w:color w:val="000000"/>
        </w:rPr>
        <w:t>第六条</w:t>
      </w:r>
      <w:r>
        <w:rPr>
          <w:color w:val="000000"/>
        </w:rPr>
        <w:t xml:space="preserve">  </w:t>
      </w:r>
      <w:r>
        <w:rPr>
          <w:rFonts w:hint="eastAsia"/>
          <w:color w:val="000000"/>
        </w:rPr>
        <w:t>省、设区的市人民政府应当组织制定战略性新兴产业发展规划，优化区域布局，发挥比较优势，形成各具特色、优势互补、结构合理的战略性新兴产业协调发展格局。</w:t>
      </w:r>
    </w:p>
    <w:p>
      <w:pPr>
        <w:pStyle w:val="Normal"/>
        <w:ind w:firstLineChars="200" w:startChars="0" w:start="0" w:endChars="0" w:end="0"/>
        <w:rPr>
          <w:color w:val="000000"/>
        </w:rPr>
      </w:pPr>
      <w:r>
        <w:rPr>
          <w:rFonts w:hint="eastAsia"/>
          <w:color w:val="000000"/>
        </w:rPr>
        <w:t>县级人民政府根据省和设区的市战略性新兴产业发展规划，结合实际制定具体实施方案。</w:t>
      </w:r>
    </w:p>
    <w:p>
      <w:pPr>
        <w:pStyle w:val="Normal"/>
        <w:ind w:firstLineChars="200" w:startChars="0" w:start="0" w:endChars="0" w:end="0"/>
        <w:rPr>
          <w:color w:val="000000"/>
        </w:rPr>
      </w:pPr>
      <w:r>
        <w:rPr>
          <w:rFonts w:hint="eastAsia"/>
          <w:color w:val="000000"/>
        </w:rPr>
        <w:t>制定战略性新兴产业发展规划和具体实施方案，应当广泛听取各方面的意见和建议，进行专家论证、风险评估、合法性审查、集体讨论决定。</w:t>
      </w:r>
    </w:p>
    <w:p>
      <w:pPr>
        <w:pStyle w:val="Normal"/>
        <w:ind w:firstLineChars="200" w:startChars="0" w:start="0" w:endChars="0" w:end="0"/>
        <w:rPr>
          <w:color w:val="000000"/>
        </w:rPr>
      </w:pPr>
      <w:r>
        <w:rPr>
          <w:rFonts w:hint="eastAsia" w:eastAsia="黑体;SimHei"/>
          <w:color w:val="000000"/>
        </w:rPr>
        <w:t>第七条</w:t>
      </w:r>
      <w:r>
        <w:rPr>
          <w:color w:val="000000"/>
        </w:rPr>
        <w:t xml:space="preserve">  </w:t>
      </w:r>
      <w:r>
        <w:rPr>
          <w:rFonts w:hint="eastAsia"/>
          <w:color w:val="000000"/>
        </w:rPr>
        <w:t>战略性新兴产业发展规划和实施方案应当根据产业发展趋势和本地产业发展实际，确立战略性新兴产业发展重点领域。</w:t>
      </w:r>
    </w:p>
    <w:p>
      <w:pPr>
        <w:pStyle w:val="Normal"/>
        <w:ind w:firstLineChars="200" w:startChars="0" w:start="0" w:endChars="0" w:end="0"/>
        <w:rPr>
          <w:color w:val="000000"/>
        </w:rPr>
      </w:pPr>
      <w:r>
        <w:rPr>
          <w:rFonts w:hint="eastAsia" w:eastAsia="黑体;SimHei"/>
          <w:color w:val="000000"/>
        </w:rPr>
        <w:t>第八条</w:t>
      </w:r>
      <w:r>
        <w:rPr>
          <w:color w:val="000000"/>
        </w:rPr>
        <w:t xml:space="preserve">  </w:t>
      </w:r>
      <w:r>
        <w:rPr>
          <w:rFonts w:hint="eastAsia"/>
          <w:color w:val="000000"/>
        </w:rPr>
        <w:t>战略性新兴产业发展规划和实施方案应当突出龙头企业带动，围绕龙头企业发展，加强产业链上下游配套，支持企业间战略合作，培育具有核心竞争力的企业集团。</w:t>
      </w:r>
    </w:p>
    <w:p>
      <w:pPr>
        <w:pStyle w:val="Normal"/>
        <w:ind w:firstLineChars="200" w:startChars="0" w:start="0" w:endChars="0" w:end="0"/>
        <w:rPr>
          <w:color w:val="000000"/>
          <w:spacing w:val="-4"/>
        </w:rPr>
      </w:pPr>
      <w:r>
        <w:rPr>
          <w:rFonts w:hint="eastAsia" w:eastAsia="黑体;SimHei"/>
          <w:color w:val="000000"/>
        </w:rPr>
        <w:t>第九条</w:t>
      </w:r>
      <w:r>
        <w:rPr>
          <w:color w:val="000000"/>
        </w:rPr>
        <w:t xml:space="preserve">  </w:t>
      </w:r>
      <w:r>
        <w:rPr>
          <w:rFonts w:hint="eastAsia"/>
          <w:color w:val="000000"/>
          <w:spacing w:val="-4"/>
        </w:rPr>
        <w:t>战略性新兴产业发展规划和实施方案应当加强产业集聚区域的基础设施、公共设施和其他配套设施的统筹布局，明确建设标准和时序进度，完善配套服务功能，增强产业承载能力。</w:t>
      </w:r>
    </w:p>
    <w:p>
      <w:pPr>
        <w:pStyle w:val="Normal"/>
        <w:ind w:firstLineChars="200" w:startChars="0" w:start="0" w:endChars="0" w:end="0"/>
        <w:rPr>
          <w:color w:val="000000"/>
        </w:rPr>
      </w:pPr>
      <w:r>
        <w:rPr>
          <w:rFonts w:hint="eastAsia" w:eastAsia="黑体;SimHei"/>
          <w:color w:val="000000"/>
        </w:rPr>
        <w:t>第十条</w:t>
      </w:r>
      <w:r>
        <w:rPr>
          <w:color w:val="000000"/>
        </w:rPr>
        <w:t xml:space="preserve">  </w:t>
      </w:r>
      <w:r>
        <w:rPr>
          <w:rFonts w:hint="eastAsia"/>
          <w:color w:val="000000"/>
        </w:rPr>
        <w:t>战略性新兴产业发展规划和实施方案应当坚持项目导向，加强产业链关键环节重大项目的谋划储备，建立完善项目推进和保障机制，强化项目支撑作用。</w:t>
      </w:r>
    </w:p>
    <w:p>
      <w:pPr>
        <w:pStyle w:val="Normal"/>
        <w:ind w:firstLineChars="200" w:startChars="0" w:start="0" w:endChars="0" w:end="0"/>
        <w:rPr>
          <w:color w:val="000000"/>
        </w:rPr>
      </w:pPr>
      <w:r>
        <w:rPr>
          <w:rFonts w:hint="eastAsia" w:eastAsia="黑体;SimHei"/>
          <w:color w:val="000000"/>
        </w:rPr>
        <w:t>第十一条</w:t>
      </w:r>
      <w:r>
        <w:rPr>
          <w:color w:val="000000"/>
        </w:rPr>
        <w:t xml:space="preserve">  </w:t>
      </w:r>
      <w:r>
        <w:rPr>
          <w:rFonts w:hint="eastAsia"/>
          <w:color w:val="000000"/>
        </w:rPr>
        <w:t>战略性新兴产业发展规划和实施方案应当加强与土地利用、城乡建设、环境保护等规划的衔接协调，提高科学性、前瞻性和可操作性。</w:t>
      </w:r>
    </w:p>
    <w:p>
      <w:pPr>
        <w:pStyle w:val="Normal"/>
        <w:ind w:firstLineChars="200" w:startChars="0" w:start="0" w:endChars="0" w:end="0"/>
        <w:rPr>
          <w:color w:val="000000"/>
        </w:rPr>
      </w:pPr>
      <w:r>
        <w:rPr>
          <w:rFonts w:hint="eastAsia" w:eastAsia="黑体;SimHei"/>
          <w:color w:val="000000"/>
        </w:rPr>
        <w:t>第十二条</w:t>
      </w:r>
      <w:r>
        <w:rPr>
          <w:color w:val="000000"/>
        </w:rPr>
        <w:t xml:space="preserve">  </w:t>
      </w:r>
      <w:r>
        <w:rPr>
          <w:rFonts w:hint="eastAsia"/>
          <w:color w:val="000000"/>
        </w:rPr>
        <w:t>省人民政府应当根据国家和省战略性新兴产业发展规划，确定省级重大新兴产业基地、重大新兴产业工程和重大新兴产业专项，构建创新型现代产业体系，引领和促进全省战略性新兴产业集聚发展。</w:t>
      </w:r>
    </w:p>
    <w:p>
      <w:pPr>
        <w:pStyle w:val="Normal"/>
        <w:ind w:firstLineChars="200" w:startChars="0" w:start="0" w:endChars="0" w:end="0"/>
        <w:rPr>
          <w:color w:val="000000"/>
        </w:rPr>
      </w:pPr>
      <w:r>
        <w:rPr>
          <w:rFonts w:hint="eastAsia"/>
          <w:color w:val="000000"/>
        </w:rPr>
        <w:t>设区的市人民政府根据战略性新兴产业发展规划，结合本地实际，确定具有比较优势、产业特色鲜明的市级重大新兴产业基地、重大新兴产业工程和重大新兴产业专项，构建创新型现代产业体系，支撑本地经济持续健康较快发展。</w:t>
      </w:r>
    </w:p>
    <w:p>
      <w:pPr>
        <w:pStyle w:val="Normal"/>
        <w:ind w:firstLineChars="200" w:startChars="0" w:start="0" w:endChars="0" w:end="0"/>
        <w:rPr>
          <w:color w:val="000000"/>
        </w:rPr>
      </w:pPr>
      <w:r>
        <w:rPr>
          <w:rFonts w:hint="eastAsia"/>
          <w:color w:val="000000"/>
        </w:rPr>
        <w:t>省、设区的市人民政府应当委托第三方咨询机构按照科学规范、公开公正、竞争择优的原则，组织开展重大新兴产业基地、重大新兴产业工程和重大新兴产业专项的评定工作；重大新兴产业基地、重大新兴产业工程和重大新兴产业专项的名录应当向社会公布，并按照有关规定给予支持。</w:t>
      </w:r>
    </w:p>
    <w:p>
      <w:pPr>
        <w:pStyle w:val="Normal"/>
        <w:jc w:val="center"/>
        <w:rPr>
          <w:rFonts w:eastAsia="黑体;SimHei"/>
          <w:color w:val="000000"/>
        </w:rPr>
      </w:pPr>
      <w:r>
        <w:rPr>
          <w:rFonts w:eastAsia="黑体;SimHei"/>
          <w:color w:val="000000"/>
        </w:rPr>
      </w:r>
    </w:p>
    <w:p>
      <w:pPr>
        <w:pStyle w:val="Normal"/>
        <w:jc w:val="center"/>
        <w:rPr>
          <w:rFonts w:eastAsia="黑体;SimHei"/>
          <w:color w:val="000000"/>
        </w:rPr>
      </w:pPr>
      <w:r>
        <w:rPr>
          <w:rFonts w:hint="eastAsia" w:eastAsia="黑体;SimHei"/>
          <w:color w:val="000000"/>
        </w:rPr>
        <w:t>第三章</w:t>
      </w:r>
      <w:r>
        <w:rPr>
          <w:rFonts w:eastAsia="黑体;SimHei"/>
          <w:color w:val="000000"/>
        </w:rPr>
        <w:t xml:space="preserve">  </w:t>
      </w:r>
      <w:r>
        <w:rPr>
          <w:rFonts w:hint="eastAsia" w:eastAsia="黑体;SimHei"/>
          <w:color w:val="000000"/>
        </w:rPr>
        <w:t>科技创新</w:t>
      </w:r>
    </w:p>
    <w:p>
      <w:pPr>
        <w:pStyle w:val="Normal"/>
        <w:rPr>
          <w:rFonts w:eastAsia="黑体;SimHei"/>
          <w:color w:val="000000"/>
        </w:rPr>
      </w:pPr>
      <w:r>
        <w:rPr>
          <w:rFonts w:eastAsia="黑体;SimHei"/>
          <w:color w:val="000000"/>
        </w:rPr>
      </w:r>
    </w:p>
    <w:p>
      <w:pPr>
        <w:pStyle w:val="Normal"/>
        <w:ind w:firstLineChars="200" w:startChars="0" w:start="0" w:endChars="0" w:end="0"/>
        <w:rPr>
          <w:color w:val="000000"/>
        </w:rPr>
      </w:pPr>
      <w:r>
        <w:rPr>
          <w:rFonts w:hint="eastAsia" w:eastAsia="黑体;SimHei"/>
          <w:color w:val="000000"/>
        </w:rPr>
        <w:t>第十三条</w:t>
      </w:r>
      <w:r>
        <w:rPr>
          <w:color w:val="000000"/>
        </w:rPr>
        <w:t xml:space="preserve">  </w:t>
      </w:r>
      <w:r>
        <w:rPr>
          <w:rFonts w:hint="eastAsia"/>
          <w:color w:val="000000"/>
        </w:rPr>
        <w:t>省人民政府应当建立健全技术和产业创新体系，促进创新创业资源高效对接，推动发展潜力大、位居产业链高端的关键核心技术的突破，加快战略性新兴产业发展。</w:t>
      </w:r>
    </w:p>
    <w:p>
      <w:pPr>
        <w:pStyle w:val="Normal"/>
        <w:ind w:firstLineChars="200" w:startChars="0" w:start="0" w:endChars="0" w:end="0"/>
        <w:rPr/>
      </w:pPr>
      <w:r>
        <w:rPr>
          <w:rFonts w:hint="eastAsia"/>
          <w:color w:val="000000"/>
        </w:rPr>
        <w:t>县级以上人民政府应当对战略性新兴产业企业的研发投入给予支持，鼓励企业加大研发投入；落实国家支持企业创新税收优惠政策，对企业研发费用依法实行加计扣除，对企业提供技术转让、开发、咨询、服务等按照国家规定给予免征增值税等优惠政策。</w:t>
      </w:r>
      <w:r>
        <w:rPr>
          <w:color w:val="000000"/>
        </w:rPr>
        <w:t xml:space="preserve"> </w:t>
      </w:r>
    </w:p>
    <w:p>
      <w:pPr>
        <w:pStyle w:val="Normal"/>
        <w:ind w:firstLineChars="200" w:startChars="0" w:start="0" w:endChars="0" w:end="0"/>
        <w:rPr>
          <w:color w:val="000000"/>
        </w:rPr>
      </w:pPr>
      <w:r>
        <w:rPr>
          <w:rFonts w:hint="eastAsia"/>
          <w:color w:val="000000"/>
        </w:rPr>
        <w:t>在科学研究、技术开发及其他科技活动中使用的，达到规定标准的仪器设备向社会开放服务的，或者租用其进行新产品、新技术、新工艺开发的，县级以上人民政府按照规定给予支持。</w:t>
      </w:r>
    </w:p>
    <w:p>
      <w:pPr>
        <w:pStyle w:val="Normal"/>
        <w:ind w:firstLineChars="200" w:startChars="0" w:start="0" w:endChars="0" w:end="0"/>
        <w:rPr>
          <w:color w:val="000000"/>
        </w:rPr>
      </w:pPr>
      <w:r>
        <w:rPr>
          <w:rFonts w:hint="eastAsia" w:eastAsia="黑体;SimHei"/>
          <w:color w:val="000000"/>
        </w:rPr>
        <w:t>第十四条</w:t>
      </w:r>
      <w:r>
        <w:rPr>
          <w:color w:val="000000"/>
        </w:rPr>
        <w:t xml:space="preserve">  </w:t>
      </w:r>
      <w:r>
        <w:rPr>
          <w:rFonts w:hint="eastAsia"/>
          <w:color w:val="000000"/>
        </w:rPr>
        <w:t>在战略性新兴产业领域，由财政资金支持形成的，不涉及国防、国家安全、国家利益和重大社会公共利益的科技成果使用权、处置权和收益权归项目承担单位，处置收益全部留归单位；政府设立的研发机构、高等院校的科技成果转化收益用于奖励科研负责人、骨干技术人员和团队的比例应当不低于百分之七十。</w:t>
      </w:r>
    </w:p>
    <w:p>
      <w:pPr>
        <w:pStyle w:val="Normal"/>
        <w:ind w:firstLineChars="200" w:startChars="0" w:start="0" w:endChars="0" w:end="0"/>
        <w:rPr>
          <w:color w:val="000000"/>
        </w:rPr>
      </w:pPr>
      <w:r>
        <w:rPr>
          <w:rFonts w:hint="eastAsia" w:eastAsia="黑体;SimHei"/>
          <w:color w:val="000000"/>
        </w:rPr>
        <w:t>第十五条</w:t>
      </w:r>
      <w:r>
        <w:rPr>
          <w:color w:val="000000"/>
        </w:rPr>
        <w:t xml:space="preserve">  </w:t>
      </w:r>
      <w:r>
        <w:rPr>
          <w:rFonts w:hint="eastAsia"/>
          <w:color w:val="000000"/>
        </w:rPr>
        <w:t>县级以上人民政府应当支持科技重大专项项目的实施，对以企业为主体实施的项目研发，按照规定给予支持。</w:t>
      </w:r>
    </w:p>
    <w:p>
      <w:pPr>
        <w:pStyle w:val="Normal"/>
        <w:ind w:firstLineChars="200" w:startChars="0" w:start="0" w:endChars="0" w:end="0"/>
        <w:rPr>
          <w:color w:val="000000"/>
        </w:rPr>
      </w:pPr>
      <w:r>
        <w:rPr>
          <w:rFonts w:hint="eastAsia"/>
          <w:color w:val="000000"/>
        </w:rPr>
        <w:t>鼓励、支持高等院校、科研院所、高新技术企业参与综合性国家科学中心和产业创新中心建设，开展战略性新兴产业重点领域关键共性技术的研发与攻关活动；战略性新兴产业重点领域关键共性技术攻关，可以面向境内外招标。</w:t>
      </w:r>
    </w:p>
    <w:p>
      <w:pPr>
        <w:pStyle w:val="Normal"/>
        <w:ind w:firstLineChars="200" w:startChars="0" w:start="0" w:endChars="0" w:end="0"/>
        <w:rPr>
          <w:color w:val="000000"/>
        </w:rPr>
      </w:pPr>
      <w:r>
        <w:rPr>
          <w:rFonts w:hint="eastAsia"/>
          <w:color w:val="000000"/>
        </w:rPr>
        <w:t>省人民政府和有关市人民政府应当按照国家规定，建设合肥综合性国家科学中心，促进高水平大科学工程和设施集群发展，推进重大基础研究和高技术研究成果转化。</w:t>
      </w:r>
    </w:p>
    <w:p>
      <w:pPr>
        <w:pStyle w:val="Normal"/>
        <w:ind w:firstLineChars="200" w:startChars="0" w:start="0" w:endChars="0" w:end="0"/>
        <w:rPr>
          <w:color w:val="000000"/>
        </w:rPr>
      </w:pPr>
      <w:r>
        <w:rPr>
          <w:rFonts w:hint="eastAsia" w:eastAsia="黑体;SimHei"/>
          <w:color w:val="000000"/>
        </w:rPr>
        <w:t>第十六条</w:t>
      </w:r>
      <w:r>
        <w:rPr>
          <w:rFonts w:eastAsia="黑体;SimHei"/>
          <w:color w:val="000000"/>
        </w:rPr>
        <w:t xml:space="preserve"> </w:t>
      </w:r>
      <w:r>
        <w:rPr>
          <w:color w:val="000000"/>
        </w:rPr>
        <w:t xml:space="preserve"> </w:t>
      </w:r>
      <w:r>
        <w:rPr>
          <w:rFonts w:hint="eastAsia"/>
          <w:color w:val="000000"/>
        </w:rPr>
        <w:t>县级以上人民政府应当支持战略性新兴产业企业建设研发机构。对新认定、批准建设的国家和省重点（工程）实验室、工程（技术）研究中心、制造业创新中心、工业设计中心、企业技术中心等，以及运行评估中获优秀等次的，按照规定给予支持。</w:t>
      </w:r>
    </w:p>
    <w:p>
      <w:pPr>
        <w:pStyle w:val="Normal"/>
        <w:ind w:firstLineChars="200" w:startChars="0" w:start="0" w:endChars="0" w:end="0"/>
        <w:rPr>
          <w:color w:val="000000"/>
        </w:rPr>
      </w:pPr>
      <w:r>
        <w:rPr>
          <w:rFonts w:hint="eastAsia"/>
          <w:color w:val="000000"/>
        </w:rPr>
        <w:t>对国有企业建立重点实验室、工程（技术）研究中心、企业技术中心、工业设计中心、博士后工作站、院士工作站和并购境外研发中心的支出，研发费用和引进高端人才费用，经有关主管部门认定后，在经营业绩考核时可以视同实现利润。</w:t>
      </w:r>
    </w:p>
    <w:p>
      <w:pPr>
        <w:pStyle w:val="Normal"/>
        <w:ind w:firstLineChars="200" w:startChars="0" w:start="0" w:endChars="0" w:end="0"/>
        <w:rPr>
          <w:color w:val="000000"/>
        </w:rPr>
      </w:pPr>
      <w:r>
        <w:rPr>
          <w:rFonts w:hint="eastAsia" w:eastAsia="黑体;SimHei"/>
          <w:color w:val="000000"/>
        </w:rPr>
        <w:t>第十七条</w:t>
      </w:r>
      <w:r>
        <w:rPr>
          <w:rFonts w:eastAsia="黑体;SimHei"/>
          <w:color w:val="000000"/>
        </w:rPr>
        <w:t xml:space="preserve"> </w:t>
      </w:r>
      <w:r>
        <w:rPr>
          <w:color w:val="000000"/>
        </w:rPr>
        <w:t xml:space="preserve"> </w:t>
      </w:r>
      <w:r>
        <w:rPr>
          <w:rFonts w:hint="eastAsia"/>
          <w:color w:val="000000"/>
        </w:rPr>
        <w:t>鼓励和支持政府、企业、高等院校、研发机构、用户合作创建具有独立法人资格、运行机制灵活、功能定位清晰、实行企业化管理的新型研发机构。新型研发机构在政府项目承担、职称评聘、人才引进、建设用地、投融资等方面应当与国有科研机构同等对待。</w:t>
      </w:r>
    </w:p>
    <w:p>
      <w:pPr>
        <w:pStyle w:val="Normal"/>
        <w:ind w:firstLineChars="200" w:startChars="0" w:start="0" w:endChars="0" w:end="0"/>
        <w:rPr>
          <w:rFonts w:ascii="黑体;SimHei" w:hAnsi="黑体;SimHei" w:eastAsia="黑体;SimHei" w:cs="黑体;SimHei"/>
          <w:color w:val="000000"/>
          <w:u w:val="single"/>
        </w:rPr>
      </w:pPr>
      <w:r>
        <w:rPr>
          <w:rFonts w:hint="eastAsia"/>
          <w:color w:val="000000"/>
        </w:rPr>
        <w:t>县级以上人民政府应当统筹资金，对工作成效显著、科研成果及转化效益突出的新型研发机构给予奖励、补助。</w:t>
      </w:r>
    </w:p>
    <w:p>
      <w:pPr>
        <w:pStyle w:val="Normal"/>
        <w:ind w:firstLineChars="200" w:startChars="0" w:start="0" w:endChars="0" w:end="0"/>
        <w:rPr>
          <w:color w:val="000000"/>
        </w:rPr>
      </w:pPr>
      <w:r>
        <w:rPr>
          <w:rFonts w:hint="eastAsia" w:eastAsia="黑体;SimHei"/>
          <w:color w:val="000000"/>
        </w:rPr>
        <w:t>第十八条</w:t>
      </w:r>
      <w:r>
        <w:rPr>
          <w:rFonts w:eastAsia="黑体;SimHei"/>
          <w:color w:val="000000"/>
        </w:rPr>
        <w:t xml:space="preserve"> </w:t>
      </w:r>
      <w:r>
        <w:rPr>
          <w:color w:val="000000"/>
        </w:rPr>
        <w:t xml:space="preserve"> </w:t>
      </w:r>
      <w:r>
        <w:rPr>
          <w:rFonts w:hint="eastAsia"/>
          <w:color w:val="000000"/>
        </w:rPr>
        <w:t>县级以上人民政府通过政府购买服务，采取首购、订购、实施首台（套）重大技术装备试验和示范项目等措施，推广应用战略性新兴产业的新技术、新产品、新服务。</w:t>
      </w:r>
    </w:p>
    <w:p>
      <w:pPr>
        <w:pStyle w:val="Normal"/>
        <w:rPr>
          <w:color w:val="000000"/>
        </w:rPr>
      </w:pPr>
      <w:r>
        <w:rPr>
          <w:color w:val="000000"/>
        </w:rPr>
      </w:r>
    </w:p>
    <w:p>
      <w:pPr>
        <w:pStyle w:val="Normal"/>
        <w:jc w:val="center"/>
        <w:rPr>
          <w:rFonts w:eastAsia="黑体;SimHei"/>
          <w:color w:val="000000"/>
        </w:rPr>
      </w:pPr>
      <w:r>
        <w:rPr>
          <w:rFonts w:hint="eastAsia" w:eastAsia="黑体;SimHei"/>
          <w:color w:val="000000"/>
        </w:rPr>
        <w:t>第四章</w:t>
      </w:r>
      <w:r>
        <w:rPr>
          <w:rFonts w:eastAsia="黑体;SimHei"/>
          <w:color w:val="000000"/>
        </w:rPr>
        <w:t xml:space="preserve">  </w:t>
      </w:r>
      <w:r>
        <w:rPr>
          <w:rFonts w:hint="eastAsia" w:eastAsia="黑体;SimHei"/>
          <w:color w:val="000000"/>
        </w:rPr>
        <w:t>企业培育</w:t>
      </w:r>
    </w:p>
    <w:p>
      <w:pPr>
        <w:pStyle w:val="Normal"/>
        <w:rPr>
          <w:rFonts w:eastAsia="黑体;SimHei"/>
          <w:color w:val="000000"/>
        </w:rPr>
      </w:pPr>
      <w:r>
        <w:rPr>
          <w:rFonts w:eastAsia="黑体;SimHei"/>
          <w:color w:val="000000"/>
        </w:rPr>
      </w:r>
    </w:p>
    <w:p>
      <w:pPr>
        <w:pStyle w:val="Normal"/>
        <w:ind w:firstLineChars="200" w:startChars="0" w:start="0" w:endChars="0" w:end="0"/>
        <w:rPr>
          <w:color w:val="000000"/>
        </w:rPr>
      </w:pPr>
      <w:r>
        <w:rPr>
          <w:rFonts w:hint="eastAsia" w:eastAsia="黑体;SimHei"/>
          <w:color w:val="000000"/>
        </w:rPr>
        <w:t>第十九条</w:t>
      </w:r>
      <w:r>
        <w:rPr>
          <w:rFonts w:eastAsia="黑体;SimHei"/>
          <w:color w:val="000000"/>
        </w:rPr>
        <w:t xml:space="preserve"> </w:t>
      </w:r>
      <w:r>
        <w:rPr>
          <w:color w:val="000000"/>
        </w:rPr>
        <w:t xml:space="preserve"> </w:t>
      </w:r>
      <w:r>
        <w:rPr>
          <w:rFonts w:hint="eastAsia"/>
          <w:color w:val="000000"/>
        </w:rPr>
        <w:t>省人民政府应当建立健全平台和企业创新体系，为战略性新兴产业企业成长壮大提供支撑。</w:t>
      </w:r>
    </w:p>
    <w:p>
      <w:pPr>
        <w:pStyle w:val="Normal"/>
        <w:ind w:firstLineChars="200" w:startChars="0" w:start="0" w:endChars="0" w:end="0"/>
        <w:rPr>
          <w:color w:val="000000"/>
        </w:rPr>
      </w:pPr>
      <w:r>
        <w:rPr>
          <w:rFonts w:hint="eastAsia"/>
          <w:color w:val="000000"/>
        </w:rPr>
        <w:t>县级以上人民政府应当以增强企业自主创新能力为核心，以支持和引导创新要素向企业集聚为重点，以优化发展环境为保障，制定战略性新兴产业企业培育指导计划，并提供从技术孵化到企业、产业以及产业集群的全周期服务，促进战略性新兴产业企业发展。</w:t>
      </w:r>
    </w:p>
    <w:p>
      <w:pPr>
        <w:pStyle w:val="Normal"/>
        <w:ind w:firstLineChars="200" w:startChars="0" w:start="0" w:endChars="0" w:end="0"/>
        <w:rPr>
          <w:color w:val="000000"/>
        </w:rPr>
      </w:pPr>
      <w:r>
        <w:rPr>
          <w:rFonts w:hint="eastAsia" w:eastAsia="黑体;SimHei"/>
          <w:color w:val="000000"/>
        </w:rPr>
        <w:t>第二十条</w:t>
      </w:r>
      <w:r>
        <w:rPr>
          <w:color w:val="000000"/>
        </w:rPr>
        <w:t xml:space="preserve">  </w:t>
      </w:r>
      <w:r>
        <w:rPr>
          <w:rFonts w:hint="eastAsia"/>
          <w:color w:val="000000"/>
        </w:rPr>
        <w:t>县级以上人民政府应当建立以增长速度、行业排名、品牌价值、税收贡献等为主要遴选标准的战略性新兴产业优秀企业培育库。对入库企业，在项目建设、融资担保、要素保障等方面给予重点支持。</w:t>
      </w:r>
    </w:p>
    <w:p>
      <w:pPr>
        <w:pStyle w:val="Normal"/>
        <w:ind w:firstLineChars="200" w:startChars="0" w:start="0" w:endChars="0" w:end="0"/>
        <w:rPr>
          <w:color w:val="000000"/>
        </w:rPr>
      </w:pPr>
      <w:r>
        <w:rPr>
          <w:rFonts w:hint="eastAsia" w:eastAsia="黑体;SimHei"/>
          <w:color w:val="000000"/>
        </w:rPr>
        <w:t>第二十一条</w:t>
      </w:r>
      <w:r>
        <w:rPr>
          <w:color w:val="000000"/>
        </w:rPr>
        <w:t xml:space="preserve">  </w:t>
      </w:r>
      <w:r>
        <w:rPr>
          <w:rFonts w:hint="eastAsia"/>
          <w:color w:val="000000"/>
        </w:rPr>
        <w:t>县级以上人民政府应当制定促进战略性新兴产业投资的综合支持政策。对符合条件的企业投资项目，设区的市、县级人民政府可以采取以奖代补、股权投资、贷款贴息等方式给予支持。</w:t>
      </w:r>
    </w:p>
    <w:p>
      <w:pPr>
        <w:pStyle w:val="Normal"/>
        <w:ind w:firstLineChars="200" w:startChars="0" w:start="0" w:endChars="0" w:end="0"/>
        <w:rPr>
          <w:color w:val="000000"/>
        </w:rPr>
      </w:pPr>
      <w:r>
        <w:rPr>
          <w:rFonts w:hint="eastAsia" w:eastAsia="黑体;SimHei"/>
          <w:color w:val="000000"/>
        </w:rPr>
        <w:t>第二十二条</w:t>
      </w:r>
      <w:r>
        <w:rPr>
          <w:rFonts w:eastAsia="黑体;SimHei"/>
          <w:color w:val="000000"/>
        </w:rPr>
        <w:t xml:space="preserve"> </w:t>
      </w:r>
      <w:r>
        <w:rPr>
          <w:color w:val="000000"/>
        </w:rPr>
        <w:t xml:space="preserve"> </w:t>
      </w:r>
      <w:r>
        <w:rPr>
          <w:rFonts w:hint="eastAsia"/>
          <w:color w:val="000000"/>
        </w:rPr>
        <w:t>县级以上人民政府应当制定促进企业并购重组有关优惠政策，支持战略性新兴产业企业实施跨地区、跨行业、跨所有制的并购重组。</w:t>
      </w:r>
    </w:p>
    <w:p>
      <w:pPr>
        <w:pStyle w:val="Normal"/>
        <w:ind w:firstLineChars="200" w:startChars="0" w:start="0" w:endChars="0" w:end="0"/>
        <w:rPr>
          <w:color w:val="000000"/>
        </w:rPr>
      </w:pPr>
      <w:r>
        <w:rPr>
          <w:rFonts w:hint="eastAsia"/>
          <w:color w:val="000000"/>
        </w:rPr>
        <w:t>县级以上人民政府应当支持战略性新兴产业企业扩大规模，提升核心竞争力，对主营业务收入首次突破一定规模的企业可以按照规定给予奖励。</w:t>
      </w:r>
    </w:p>
    <w:p>
      <w:pPr>
        <w:pStyle w:val="Normal"/>
        <w:ind w:firstLineChars="200" w:startChars="0" w:start="0" w:endChars="0" w:end="0"/>
        <w:rPr>
          <w:color w:val="000000"/>
        </w:rPr>
      </w:pPr>
      <w:r>
        <w:rPr>
          <w:rFonts w:hint="eastAsia"/>
          <w:color w:val="000000"/>
        </w:rPr>
        <w:t>县级以上人民政府应当鼓励战略性新兴产业龙头企业带动产业链上的小型微型企业，实现产业集聚发展。</w:t>
      </w:r>
    </w:p>
    <w:p>
      <w:pPr>
        <w:pStyle w:val="Normal"/>
        <w:ind w:firstLineChars="200" w:startChars="0" w:start="0" w:endChars="0" w:end="0"/>
        <w:rPr>
          <w:color w:val="000000"/>
        </w:rPr>
      </w:pPr>
      <w:r>
        <w:rPr>
          <w:rFonts w:hint="eastAsia" w:eastAsia="黑体;SimHei"/>
          <w:color w:val="000000"/>
        </w:rPr>
        <w:t>第二十三条</w:t>
      </w:r>
      <w:r>
        <w:rPr>
          <w:color w:val="000000"/>
        </w:rPr>
        <w:t xml:space="preserve">  </w:t>
      </w:r>
      <w:r>
        <w:rPr>
          <w:rFonts w:hint="eastAsia"/>
          <w:color w:val="000000"/>
        </w:rPr>
        <w:t>县级以上人民政府应当加强企业家的培养工作，重点培养具有战略思维、资本运作、风险管控、自主创新能力和国际视野的企业家队伍，提高企业的经营管理水平和国际竞争力。</w:t>
      </w:r>
    </w:p>
    <w:p>
      <w:pPr>
        <w:pStyle w:val="Normal"/>
        <w:ind w:firstLineChars="200" w:startChars="0" w:start="0" w:endChars="0" w:end="0"/>
        <w:rPr>
          <w:color w:val="000000"/>
        </w:rPr>
      </w:pPr>
      <w:r>
        <w:rPr>
          <w:rFonts w:hint="eastAsia" w:eastAsia="黑体;SimHei"/>
          <w:color w:val="000000"/>
        </w:rPr>
        <w:t>第二十四条</w:t>
      </w:r>
      <w:r>
        <w:rPr>
          <w:rFonts w:eastAsia="黑体;SimHei"/>
          <w:color w:val="000000"/>
        </w:rPr>
        <w:t xml:space="preserve">  </w:t>
      </w:r>
      <w:r>
        <w:rPr>
          <w:rFonts w:hint="eastAsia"/>
          <w:color w:val="000000"/>
        </w:rPr>
        <w:t>县级以上人民政府应当支持战略性新兴产业企业按照现代企业制度要求，完善公司法人治理，建立健全科学的决策机制和激励约束机制，提升管理效率和管理水平。</w:t>
      </w:r>
    </w:p>
    <w:p>
      <w:pPr>
        <w:pStyle w:val="Normal"/>
        <w:ind w:firstLineChars="200" w:startChars="0" w:start="0" w:endChars="0" w:end="0"/>
        <w:rPr>
          <w:color w:val="000000"/>
        </w:rPr>
      </w:pPr>
      <w:r>
        <w:rPr>
          <w:rFonts w:hint="eastAsia" w:eastAsia="黑体;SimHei"/>
          <w:color w:val="000000"/>
        </w:rPr>
        <w:t>第二十五条</w:t>
      </w:r>
      <w:r>
        <w:rPr>
          <w:rFonts w:eastAsia="黑体;SimHei"/>
          <w:color w:val="000000"/>
        </w:rPr>
        <w:t xml:space="preserve"> </w:t>
      </w:r>
      <w:r>
        <w:rPr>
          <w:color w:val="000000"/>
        </w:rPr>
        <w:t xml:space="preserve"> </w:t>
      </w:r>
      <w:r>
        <w:rPr>
          <w:rFonts w:hint="eastAsia"/>
          <w:color w:val="000000"/>
        </w:rPr>
        <w:t>县级以上人民政府应当深入实施军民融合发展战略，促进军民技术双向转移，引导优势民用企业进入军工领域，推动军工技术向民用技术转移转化。鼓励军工院所组建企业集团，建立军民融合的市场化服务体系，培育军民融合的战略性新兴产业企业。</w:t>
      </w:r>
    </w:p>
    <w:p>
      <w:pPr>
        <w:pStyle w:val="Normal"/>
        <w:ind w:firstLineChars="200" w:startChars="0" w:start="0" w:endChars="0" w:end="0"/>
        <w:rPr>
          <w:color w:val="000000"/>
        </w:rPr>
      </w:pPr>
      <w:r>
        <w:rPr>
          <w:rFonts w:hint="eastAsia"/>
          <w:color w:val="000000"/>
        </w:rPr>
        <w:t>省人民政府有关工作机构应当建立军民融合综合信息服务平台，发布军民融合产业信息。</w:t>
      </w:r>
    </w:p>
    <w:p>
      <w:pPr>
        <w:pStyle w:val="Normal"/>
        <w:jc w:val="center"/>
        <w:rPr>
          <w:rFonts w:eastAsia="黑体;SimHei"/>
          <w:color w:val="000000"/>
        </w:rPr>
      </w:pPr>
      <w:r>
        <w:rPr>
          <w:rFonts w:eastAsia="黑体;SimHei"/>
          <w:color w:val="000000"/>
        </w:rPr>
      </w:r>
    </w:p>
    <w:p>
      <w:pPr>
        <w:pStyle w:val="Normal"/>
        <w:jc w:val="center"/>
        <w:rPr>
          <w:rFonts w:eastAsia="黑体;SimHei"/>
          <w:color w:val="000000"/>
        </w:rPr>
      </w:pPr>
      <w:r>
        <w:rPr>
          <w:rFonts w:hint="eastAsia" w:eastAsia="黑体;SimHei"/>
          <w:color w:val="000000"/>
        </w:rPr>
        <w:t>第五章</w:t>
      </w:r>
      <w:r>
        <w:rPr>
          <w:rFonts w:eastAsia="黑体;SimHei"/>
          <w:color w:val="000000"/>
        </w:rPr>
        <w:t xml:space="preserve">  </w:t>
      </w:r>
      <w:r>
        <w:rPr>
          <w:rFonts w:hint="eastAsia" w:eastAsia="黑体;SimHei"/>
          <w:color w:val="000000"/>
        </w:rPr>
        <w:t>要素保障</w:t>
      </w:r>
    </w:p>
    <w:p>
      <w:pPr>
        <w:pStyle w:val="Normal"/>
        <w:rPr>
          <w:rFonts w:ascii="黑体;SimHei" w:hAnsi="黑体;SimHei" w:eastAsia="黑体;SimHei" w:cs="黑体;SimHei"/>
          <w:color w:val="000000"/>
          <w:u w:val="single"/>
        </w:rPr>
      </w:pPr>
      <w:r>
        <w:rPr>
          <w:rFonts w:eastAsia="黑体;SimHei" w:cs="黑体;SimHei" w:ascii="黑体;SimHei" w:hAnsi="黑体;SimHei"/>
          <w:color w:val="000000"/>
          <w:u w:val="single"/>
        </w:rPr>
      </w:r>
    </w:p>
    <w:p>
      <w:pPr>
        <w:pStyle w:val="Normal"/>
        <w:ind w:firstLineChars="200" w:startChars="0" w:start="0" w:endChars="0" w:end="0"/>
        <w:rPr>
          <w:color w:val="000000"/>
        </w:rPr>
      </w:pPr>
      <w:r>
        <w:rPr>
          <w:rFonts w:hint="eastAsia" w:eastAsia="黑体;SimHei"/>
          <w:color w:val="000000"/>
        </w:rPr>
        <w:t>第二十六条</w:t>
      </w:r>
      <w:r>
        <w:rPr>
          <w:rFonts w:eastAsia="黑体;SimHei"/>
          <w:color w:val="000000"/>
        </w:rPr>
        <w:t xml:space="preserve"> </w:t>
      </w:r>
      <w:r>
        <w:rPr>
          <w:color w:val="000000"/>
        </w:rPr>
        <w:t xml:space="preserve"> </w:t>
      </w:r>
      <w:r>
        <w:rPr>
          <w:rFonts w:hint="eastAsia"/>
          <w:color w:val="000000"/>
        </w:rPr>
        <w:t>县级以上人民政府应当支持战略性新兴产业企业以各种方式引进高端领军人才和高层次人才、团队及其创新创业项目，帮助解决引进人才及其家属的户籍、医疗、教育、住房和出入境等问题，并在项目申报、科研活动等方面提供便利。</w:t>
      </w:r>
    </w:p>
    <w:p>
      <w:pPr>
        <w:pStyle w:val="Normal"/>
        <w:ind w:firstLineChars="200" w:startChars="0" w:start="0" w:endChars="0" w:end="0"/>
        <w:rPr>
          <w:color w:val="000000"/>
        </w:rPr>
      </w:pPr>
      <w:r>
        <w:rPr>
          <w:rFonts w:hint="eastAsia" w:eastAsia="黑体;SimHei"/>
          <w:color w:val="000000"/>
        </w:rPr>
        <w:t>第二十七条</w:t>
      </w:r>
      <w:r>
        <w:rPr>
          <w:color w:val="000000"/>
        </w:rPr>
        <w:t xml:space="preserve">  </w:t>
      </w:r>
      <w:r>
        <w:rPr>
          <w:rFonts w:hint="eastAsia"/>
          <w:color w:val="000000"/>
        </w:rPr>
        <w:t>县级以上人民政府应当加强外籍人才的服务。对符合条件的外籍人才及其随行家属依照法律、行政法规规定给予签证和居留便利；对外籍人才在创办战略性新兴产业企业等创新活动方面，依照法律、行政法规等有关规定给予中国籍公民同等待遇。</w:t>
      </w:r>
    </w:p>
    <w:p>
      <w:pPr>
        <w:pStyle w:val="Normal"/>
        <w:ind w:firstLineChars="200" w:startChars="0" w:start="0" w:endChars="0" w:end="0"/>
        <w:rPr>
          <w:color w:val="000000"/>
        </w:rPr>
      </w:pPr>
      <w:r>
        <w:rPr>
          <w:rFonts w:hint="eastAsia" w:eastAsia="黑体;SimHei"/>
          <w:color w:val="000000"/>
        </w:rPr>
        <w:t>第二十八条</w:t>
      </w:r>
      <w:r>
        <w:rPr>
          <w:rFonts w:eastAsia="黑体;SimHei"/>
          <w:color w:val="000000"/>
        </w:rPr>
        <w:t xml:space="preserve"> </w:t>
      </w:r>
      <w:r>
        <w:rPr>
          <w:color w:val="000000"/>
        </w:rPr>
        <w:t xml:space="preserve"> </w:t>
      </w:r>
      <w:r>
        <w:rPr>
          <w:rFonts w:hint="eastAsia"/>
          <w:color w:val="000000"/>
        </w:rPr>
        <w:t>县级以上人民政府应当鼓励战略性新兴产业企业、高等院校和科研院所采取委托项目、合作研究、兼职等方式引进和使用科技人才。</w:t>
      </w:r>
    </w:p>
    <w:p>
      <w:pPr>
        <w:pStyle w:val="Normal"/>
        <w:ind w:firstLineChars="200" w:startChars="0" w:start="0" w:endChars="0" w:end="0"/>
        <w:rPr>
          <w:color w:val="000000"/>
        </w:rPr>
      </w:pPr>
      <w:r>
        <w:rPr>
          <w:rFonts w:hint="eastAsia"/>
          <w:color w:val="000000"/>
        </w:rPr>
        <w:t>支持高等院校和科研院所设立一定比例的流动岗位，吸引有创新实践经验的企业家、科技人才兼职。</w:t>
      </w:r>
    </w:p>
    <w:p>
      <w:pPr>
        <w:pStyle w:val="Normal"/>
        <w:ind w:firstLineChars="200" w:startChars="0" w:start="0" w:endChars="0" w:end="0"/>
        <w:rPr>
          <w:color w:val="000000"/>
        </w:rPr>
      </w:pPr>
      <w:r>
        <w:rPr>
          <w:rFonts w:hint="eastAsia" w:eastAsia="黑体;SimHei"/>
          <w:color w:val="000000"/>
        </w:rPr>
        <w:t>第二十九条</w:t>
      </w:r>
      <w:r>
        <w:rPr>
          <w:rFonts w:eastAsia="黑体;SimHei"/>
          <w:color w:val="000000"/>
        </w:rPr>
        <w:t xml:space="preserve"> </w:t>
      </w:r>
      <w:r>
        <w:rPr>
          <w:color w:val="000000"/>
        </w:rPr>
        <w:t xml:space="preserve"> </w:t>
      </w:r>
      <w:r>
        <w:rPr>
          <w:rFonts w:hint="eastAsia"/>
          <w:color w:val="000000"/>
        </w:rPr>
        <w:t>科技人员符合国家安全管理规定，经所在高等院校、科研院所同意，离岗在本省转化科技成果、创办战略性新兴产业企业的，可以在三年内保留人事关系，与原单位在岗人员同等享受参加职称评聘、岗位等级晋升和社会保险等方面的权利。</w:t>
      </w:r>
    </w:p>
    <w:p>
      <w:pPr>
        <w:pStyle w:val="Normal"/>
        <w:ind w:firstLineChars="200" w:startChars="0" w:start="0" w:endChars="0" w:end="0"/>
        <w:rPr>
          <w:color w:val="000000"/>
        </w:rPr>
      </w:pPr>
      <w:r>
        <w:rPr>
          <w:rFonts w:hint="eastAsia"/>
          <w:color w:val="000000"/>
        </w:rPr>
        <w:t>科研人员经所在高等院校、科研院所同意，可以在本省战略性新兴产业企业兼职，并按照规定取得报酬。属于领导人员的，按有关规定执行。</w:t>
      </w:r>
    </w:p>
    <w:p>
      <w:pPr>
        <w:pStyle w:val="Normal"/>
        <w:ind w:firstLineChars="200" w:startChars="0" w:start="0" w:endChars="0" w:end="0"/>
        <w:rPr>
          <w:color w:val="000000"/>
        </w:rPr>
      </w:pPr>
      <w:r>
        <w:rPr>
          <w:rFonts w:hint="eastAsia" w:eastAsia="黑体;SimHei"/>
          <w:color w:val="000000"/>
        </w:rPr>
        <w:t>第三十条</w:t>
      </w:r>
      <w:r>
        <w:rPr>
          <w:rFonts w:eastAsia="黑体;SimHei"/>
          <w:color w:val="000000"/>
        </w:rPr>
        <w:t xml:space="preserve"> </w:t>
      </w:r>
      <w:r>
        <w:rPr>
          <w:color w:val="000000"/>
        </w:rPr>
        <w:t xml:space="preserve"> </w:t>
      </w:r>
      <w:r>
        <w:rPr>
          <w:rFonts w:hint="eastAsia"/>
          <w:color w:val="000000"/>
        </w:rPr>
        <w:t>携带具有自主知识产权科技成果的科技团队，在本省创办或者与省内企业共同设立战略性新兴产业企业，开展科技成果转化活动的，省人民政府可以按照规定以债权投入或者股权投资方式给予支持。</w:t>
      </w:r>
    </w:p>
    <w:p>
      <w:pPr>
        <w:pStyle w:val="Normal"/>
        <w:ind w:firstLineChars="200" w:startChars="0" w:start="0" w:endChars="0" w:end="0"/>
        <w:rPr>
          <w:color w:val="000000"/>
        </w:rPr>
      </w:pPr>
      <w:r>
        <w:rPr>
          <w:rFonts w:hint="eastAsia" w:eastAsia="黑体;SimHei"/>
          <w:color w:val="000000"/>
        </w:rPr>
        <w:t>第三十一条</w:t>
      </w:r>
      <w:r>
        <w:rPr>
          <w:rFonts w:eastAsia="黑体;SimHei"/>
          <w:color w:val="000000"/>
        </w:rPr>
        <w:t xml:space="preserve"> </w:t>
      </w:r>
      <w:r>
        <w:rPr>
          <w:color w:val="000000"/>
        </w:rPr>
        <w:t xml:space="preserve"> </w:t>
      </w:r>
      <w:r>
        <w:rPr>
          <w:rFonts w:hint="eastAsia"/>
          <w:color w:val="000000"/>
        </w:rPr>
        <w:t>战略性新兴产业企业、高等院校和科研院所可以采取科技成果入（折）股、股权激励、科技成果收益分成等方式，对做出重要贡献的科研人员和管理人员给予股权和分红权奖励，并执行国家有关股权激励个人所得税递延纳税等优惠政策。</w:t>
      </w:r>
    </w:p>
    <w:p>
      <w:pPr>
        <w:pStyle w:val="Normal"/>
        <w:ind w:firstLineChars="200" w:startChars="0" w:start="0" w:endChars="0" w:end="0"/>
        <w:rPr>
          <w:color w:val="000000"/>
        </w:rPr>
      </w:pPr>
      <w:r>
        <w:rPr>
          <w:rFonts w:hint="eastAsia" w:eastAsia="黑体;SimHei"/>
          <w:color w:val="000000"/>
        </w:rPr>
        <w:t>第三十二条</w:t>
      </w:r>
      <w:r>
        <w:rPr>
          <w:color w:val="000000"/>
        </w:rPr>
        <w:t xml:space="preserve">  </w:t>
      </w:r>
      <w:r>
        <w:rPr>
          <w:rFonts w:hint="eastAsia"/>
          <w:color w:val="000000"/>
        </w:rPr>
        <w:t>建立适应战略性新兴产业特点的科研院所和高等院校人员编制管理机制。对符合条件的单位，逐步实行编制备案制管理；落实用人自主权，科研院所、高等院校在核定的岗位总量、岗位结构比例范围内，自主聘用人员。</w:t>
      </w:r>
    </w:p>
    <w:p>
      <w:pPr>
        <w:pStyle w:val="Normal"/>
        <w:ind w:firstLineChars="200" w:startChars="0" w:start="0" w:endChars="0" w:end="0"/>
        <w:rPr>
          <w:color w:val="000000"/>
        </w:rPr>
      </w:pPr>
      <w:r>
        <w:rPr>
          <w:rFonts w:hint="eastAsia"/>
          <w:color w:val="000000"/>
        </w:rPr>
        <w:t>依据战略性新兴产业集聚发展需求，加强高等院校学科专业建设，建立校企联合培养机制和高校学科专业动态调整机制，加快培养紧缺人才。</w:t>
      </w:r>
    </w:p>
    <w:p>
      <w:pPr>
        <w:pStyle w:val="Normal"/>
        <w:ind w:firstLineChars="200" w:startChars="0" w:start="0" w:endChars="0" w:end="0"/>
        <w:rPr>
          <w:color w:val="000000"/>
        </w:rPr>
      </w:pPr>
      <w:r>
        <w:rPr>
          <w:rFonts w:hint="eastAsia" w:eastAsia="黑体;SimHei"/>
          <w:color w:val="000000"/>
        </w:rPr>
        <w:t>第三十三条</w:t>
      </w:r>
      <w:r>
        <w:rPr>
          <w:color w:val="000000"/>
        </w:rPr>
        <w:t xml:space="preserve">  </w:t>
      </w:r>
      <w:r>
        <w:rPr>
          <w:rFonts w:hint="eastAsia"/>
          <w:color w:val="000000"/>
        </w:rPr>
        <w:t>县级以上人民政府应当利用职业院校、技工院校、公共实训基地，加强战略性新兴产业企业技能人才职业教育和技能培训，通过政府购买服务等方式鼓励社会力量参与职业培训活动。</w:t>
      </w:r>
    </w:p>
    <w:p>
      <w:pPr>
        <w:pStyle w:val="Normal"/>
        <w:ind w:firstLineChars="200" w:startChars="0" w:start="0" w:endChars="0" w:end="0"/>
        <w:rPr>
          <w:color w:val="000000"/>
        </w:rPr>
      </w:pPr>
      <w:r>
        <w:rPr>
          <w:rFonts w:hint="eastAsia"/>
          <w:color w:val="000000"/>
        </w:rPr>
        <w:t>完善战略性新兴产业企业技能人才薪酬制度，取得国家职业资格证书，受聘于高级工、技师、高级技师岗位的职工，可以比照本单位助理工程师、工程师、高级工程师给予相应工资福利待遇。战略性新兴产业企业引进急需紧缺的技师、高级技师，享受国家和省规定的支持政策。逐步提高享受政府特殊津贴人员选拔技能人才比例。</w:t>
      </w:r>
    </w:p>
    <w:p>
      <w:pPr>
        <w:pStyle w:val="Normal"/>
        <w:ind w:firstLineChars="200" w:startChars="0" w:start="0" w:endChars="0" w:end="0"/>
        <w:rPr>
          <w:color w:val="000000"/>
        </w:rPr>
      </w:pPr>
      <w:r>
        <w:rPr>
          <w:rFonts w:hint="eastAsia" w:eastAsia="黑体;SimHei"/>
          <w:color w:val="000000"/>
        </w:rPr>
        <w:t>第三十四条</w:t>
      </w:r>
      <w:r>
        <w:rPr>
          <w:color w:val="000000"/>
        </w:rPr>
        <w:t xml:space="preserve">  </w:t>
      </w:r>
      <w:r>
        <w:rPr>
          <w:rFonts w:hint="eastAsia"/>
          <w:color w:val="000000"/>
        </w:rPr>
        <w:t>省人民政府应当建立金融和资本创新体系，集聚金融资源，对接产业和技术、平台与企业，为战略性新兴产业集聚发展提供金融和资本支持。</w:t>
      </w:r>
    </w:p>
    <w:p>
      <w:pPr>
        <w:pStyle w:val="Normal"/>
        <w:ind w:firstLineChars="200" w:startChars="0" w:start="0" w:endChars="0" w:end="0"/>
        <w:rPr>
          <w:color w:val="000000"/>
        </w:rPr>
      </w:pPr>
      <w:r>
        <w:rPr>
          <w:rFonts w:hint="eastAsia"/>
          <w:color w:val="000000"/>
        </w:rPr>
        <w:t>省、设区的市人民政府应当设立面向战略性新兴产业集聚发展的产业投资基金，采取阶段参股、跟进投资等方式，为企业发展、项目建设和研发提供支持。</w:t>
      </w:r>
    </w:p>
    <w:p>
      <w:pPr>
        <w:pStyle w:val="Normal"/>
        <w:ind w:firstLineChars="200" w:startChars="0" w:start="0" w:endChars="0" w:end="0"/>
        <w:rPr>
          <w:color w:val="000000"/>
        </w:rPr>
      </w:pPr>
      <w:r>
        <w:rPr>
          <w:rFonts w:hint="eastAsia"/>
          <w:color w:val="000000"/>
        </w:rPr>
        <w:t>支持各类资本发起设立产业投资基金、天使投资基金、创业投资基金等，投向战略性新兴产业集聚发展企业和项目。</w:t>
      </w:r>
    </w:p>
    <w:p>
      <w:pPr>
        <w:pStyle w:val="Normal"/>
        <w:ind w:firstLineChars="200" w:startChars="0" w:start="0" w:endChars="0" w:end="0"/>
        <w:rPr>
          <w:color w:val="000000"/>
          <w:u w:val="single"/>
        </w:rPr>
      </w:pPr>
      <w:r>
        <w:rPr>
          <w:rFonts w:hint="eastAsia" w:eastAsia="黑体;SimHei"/>
          <w:color w:val="000000"/>
        </w:rPr>
        <w:t>第三十五条</w:t>
      </w:r>
      <w:r>
        <w:rPr>
          <w:color w:val="000000"/>
        </w:rPr>
        <w:t xml:space="preserve">  </w:t>
      </w:r>
      <w:r>
        <w:rPr>
          <w:rFonts w:hint="eastAsia"/>
          <w:color w:val="000000"/>
        </w:rPr>
        <w:t>鼓励银行业金融机构针对战略性新兴产业发展特点，创新信贷模式，实施差别化的信贷管理制度，支持在战略性新兴产业集聚发展区域设立从事中小科技企业金融服务的专业或者特色分（支）行。</w:t>
      </w:r>
    </w:p>
    <w:p>
      <w:pPr>
        <w:pStyle w:val="Normal"/>
        <w:ind w:firstLineChars="200" w:startChars="0" w:start="0" w:endChars="0" w:end="0"/>
        <w:rPr>
          <w:color w:val="000000"/>
        </w:rPr>
      </w:pPr>
      <w:r>
        <w:rPr>
          <w:rFonts w:hint="eastAsia" w:eastAsia="黑体;SimHei"/>
          <w:color w:val="000000"/>
        </w:rPr>
        <w:t>第三十六条</w:t>
      </w:r>
      <w:r>
        <w:rPr>
          <w:color w:val="000000"/>
        </w:rPr>
        <w:t xml:space="preserve">  </w:t>
      </w:r>
      <w:r>
        <w:rPr>
          <w:rFonts w:hint="eastAsia"/>
          <w:color w:val="000000"/>
        </w:rPr>
        <w:t>县级以上人民政府应当支持战略性新兴产业企业上市（挂牌）融资、发行债券，对在沪深交易所、港交所、全国中小企业股份转让系统、省区域性股权交易市场上市（挂牌）的企业，按规定给予支持。</w:t>
      </w:r>
    </w:p>
    <w:p>
      <w:pPr>
        <w:pStyle w:val="Normal"/>
        <w:ind w:firstLineChars="200" w:startChars="0" w:start="0" w:endChars="0" w:end="0"/>
        <w:rPr>
          <w:color w:val="000000"/>
        </w:rPr>
      </w:pPr>
      <w:r>
        <w:rPr>
          <w:rFonts w:hint="eastAsia"/>
          <w:color w:val="000000"/>
        </w:rPr>
        <w:t>省人民政府应当规范发展省区域性股权交易市场，推动其与全国中小企业股份转让系统合作对接，支持省区域性股权交易市场运营机构开展推荐业务工作。</w:t>
      </w:r>
    </w:p>
    <w:p>
      <w:pPr>
        <w:pStyle w:val="Normal"/>
        <w:ind w:firstLineChars="200" w:startChars="0" w:start="0" w:endChars="0" w:end="0"/>
        <w:rPr>
          <w:color w:val="000000"/>
        </w:rPr>
      </w:pPr>
      <w:r>
        <w:rPr>
          <w:rFonts w:hint="eastAsia"/>
          <w:color w:val="000000"/>
        </w:rPr>
        <w:t>支持开展股权众筹融资服务试点，规范互联网金融创新发展模式。</w:t>
      </w:r>
    </w:p>
    <w:p>
      <w:pPr>
        <w:pStyle w:val="Normal"/>
        <w:ind w:firstLineChars="200" w:startChars="0" w:start="0" w:endChars="0" w:end="0"/>
        <w:rPr>
          <w:color w:val="000000"/>
        </w:rPr>
      </w:pPr>
      <w:r>
        <w:rPr>
          <w:rFonts w:hint="eastAsia" w:eastAsia="黑体;SimHei"/>
          <w:color w:val="000000"/>
        </w:rPr>
        <w:t>第三十七条</w:t>
      </w:r>
      <w:r>
        <w:rPr>
          <w:color w:val="000000"/>
        </w:rPr>
        <w:t xml:space="preserve">  </w:t>
      </w:r>
      <w:r>
        <w:rPr>
          <w:rFonts w:hint="eastAsia"/>
          <w:color w:val="000000"/>
        </w:rPr>
        <w:t>县级以上人民政府根据战略性新兴产业发展实际，建立融资风险补偿机制，为金融机构开展针对战略性新兴产业企业的信用贷款、股权质押、知识产权质押、信用保险、创业投资等业务提供风险补偿。</w:t>
      </w:r>
    </w:p>
    <w:p>
      <w:pPr>
        <w:pStyle w:val="Normal"/>
        <w:ind w:firstLineChars="200" w:startChars="0" w:start="0" w:endChars="0" w:end="0"/>
        <w:rPr>
          <w:color w:val="000000"/>
        </w:rPr>
      </w:pPr>
      <w:r>
        <w:rPr>
          <w:rFonts w:hint="eastAsia"/>
          <w:color w:val="000000"/>
        </w:rPr>
        <w:t>鼓励设立信用担保基金，为战略性新兴产业企业提供信用增进服务，完善考核机制，对其不进行盈利性指标考核，并设置代偿损失容忍度。</w:t>
      </w:r>
    </w:p>
    <w:p>
      <w:pPr>
        <w:pStyle w:val="Normal"/>
        <w:ind w:firstLineChars="200" w:startChars="0" w:start="0" w:endChars="0" w:end="0"/>
        <w:rPr>
          <w:color w:val="000000"/>
        </w:rPr>
      </w:pPr>
      <w:r>
        <w:rPr>
          <w:rFonts w:hint="eastAsia" w:eastAsia="黑体;SimHei"/>
          <w:color w:val="000000"/>
        </w:rPr>
        <w:t>第三十八条</w:t>
      </w:r>
      <w:r>
        <w:rPr>
          <w:rFonts w:ascii="黑体;SimHei" w:hAnsi="黑体;SimHei" w:cs="黑体;SimHei" w:eastAsia="黑体;SimHei"/>
          <w:color w:val="000000"/>
        </w:rPr>
        <w:t xml:space="preserve">  </w:t>
      </w:r>
      <w:r>
        <w:rPr>
          <w:rFonts w:hint="eastAsia"/>
          <w:color w:val="000000"/>
        </w:rPr>
        <w:t>省人民政府应当建立健全首台（套）重大技术装备保险补偿机制。</w:t>
      </w:r>
    </w:p>
    <w:p>
      <w:pPr>
        <w:pStyle w:val="Normal"/>
        <w:ind w:firstLineChars="200" w:startChars="0" w:start="0" w:endChars="0" w:end="0"/>
        <w:rPr>
          <w:color w:val="000000"/>
        </w:rPr>
      </w:pPr>
      <w:r>
        <w:rPr>
          <w:rFonts w:hint="eastAsia"/>
          <w:color w:val="000000"/>
        </w:rPr>
        <w:t>鼓励保险业金融机构创新科技保险产品和服务，推进各类知识产权保险，推动战略性新兴产业企业利用科技保险融资增信和分担创新风险。</w:t>
      </w:r>
    </w:p>
    <w:p>
      <w:pPr>
        <w:pStyle w:val="Normal"/>
        <w:ind w:firstLineChars="200" w:startChars="0" w:start="0" w:endChars="0" w:end="0"/>
        <w:rPr>
          <w:color w:val="000000"/>
        </w:rPr>
      </w:pPr>
      <w:r>
        <w:rPr>
          <w:rFonts w:hint="eastAsia" w:eastAsia="黑体;SimHei"/>
          <w:color w:val="000000"/>
        </w:rPr>
        <w:t>第三十九条</w:t>
      </w:r>
      <w:r>
        <w:rPr>
          <w:rFonts w:eastAsia="黑体;SimHei"/>
          <w:color w:val="000000"/>
        </w:rPr>
        <w:t xml:space="preserve"> </w:t>
      </w:r>
      <w:r>
        <w:rPr>
          <w:color w:val="000000"/>
        </w:rPr>
        <w:t xml:space="preserve"> </w:t>
      </w:r>
      <w:r>
        <w:rPr>
          <w:rFonts w:hint="eastAsia"/>
          <w:color w:val="000000"/>
        </w:rPr>
        <w:t>省、设区的市以及有条件的县级人民政府应当设立支持战略性新兴产业集聚发展的专项资金，支持重大新兴产业基地、重大新兴产业工程和重大新兴产业专项建设，引导和促进全社会战略性新兴产业投资持续增长。</w:t>
      </w:r>
    </w:p>
    <w:p>
      <w:pPr>
        <w:pStyle w:val="Normal"/>
        <w:ind w:firstLineChars="200" w:startChars="0" w:start="0" w:endChars="0" w:end="0"/>
        <w:rPr>
          <w:color w:val="000000"/>
        </w:rPr>
      </w:pPr>
      <w:r>
        <w:rPr>
          <w:rFonts w:hint="eastAsia"/>
          <w:color w:val="000000"/>
        </w:rPr>
        <w:t>战略性新兴产业集聚发展专项资金和其他财政支持经费应当专款专用，依法接受预算监督和审计监督。任何单位或者个人不得挪用、侵占、截留。</w:t>
      </w:r>
    </w:p>
    <w:p>
      <w:pPr>
        <w:pStyle w:val="Normal"/>
        <w:ind w:firstLineChars="200" w:startChars="0" w:start="0" w:endChars="0" w:end="0"/>
        <w:rPr>
          <w:color w:val="000000"/>
        </w:rPr>
      </w:pPr>
      <w:r>
        <w:rPr>
          <w:rFonts w:hint="eastAsia" w:eastAsia="黑体;SimHei"/>
          <w:color w:val="000000"/>
        </w:rPr>
        <w:t>第四十条</w:t>
      </w:r>
      <w:r>
        <w:rPr>
          <w:rFonts w:eastAsia="黑体;SimHei"/>
          <w:color w:val="000000"/>
        </w:rPr>
        <w:t xml:space="preserve">  </w:t>
      </w:r>
      <w:r>
        <w:rPr>
          <w:rFonts w:hint="eastAsia"/>
          <w:color w:val="000000"/>
        </w:rPr>
        <w:t>县级以上人民政府对战略性新兴产业集聚发展项目用地应当重点保障、优先安排。</w:t>
      </w:r>
    </w:p>
    <w:p>
      <w:pPr>
        <w:pStyle w:val="Normal"/>
        <w:ind w:firstLineChars="200" w:startChars="0" w:start="0" w:endChars="0" w:end="0"/>
        <w:rPr>
          <w:color w:val="000000"/>
        </w:rPr>
      </w:pPr>
      <w:r>
        <w:rPr>
          <w:rFonts w:hint="eastAsia"/>
          <w:color w:val="000000"/>
        </w:rPr>
        <w:t>纳入省级战略性新兴产业集聚发展重大项目库的项目建设用地，由省人民政府国土资源部门会同发展和改革部门按照有关规定，在预留建设用地计划指标中安排。</w:t>
      </w:r>
    </w:p>
    <w:p>
      <w:pPr>
        <w:pStyle w:val="Normal"/>
        <w:ind w:firstLineChars="200" w:startChars="0" w:start="0" w:endChars="0" w:end="0"/>
        <w:rPr>
          <w:color w:val="000000"/>
        </w:rPr>
      </w:pPr>
      <w:r>
        <w:rPr>
          <w:rFonts w:hint="eastAsia"/>
          <w:color w:val="000000"/>
        </w:rPr>
        <w:t>在战略性新兴产业集聚发展区域运用多种方式供应新兴产业用地，制定促进战略性新兴产业集聚发展的兼容性地类和有关控制指标。</w:t>
      </w:r>
    </w:p>
    <w:p>
      <w:pPr>
        <w:pStyle w:val="Normal"/>
        <w:ind w:firstLineChars="200" w:startChars="0" w:start="0" w:endChars="0" w:end="0"/>
        <w:rPr>
          <w:color w:val="000000"/>
        </w:rPr>
      </w:pPr>
      <w:r>
        <w:rPr>
          <w:rFonts w:hint="eastAsia" w:eastAsia="黑体;SimHei"/>
          <w:color w:val="000000"/>
        </w:rPr>
        <w:t>第四十一条</w:t>
      </w:r>
      <w:r>
        <w:rPr>
          <w:rFonts w:eastAsia="黑体;SimHei"/>
          <w:color w:val="000000"/>
        </w:rPr>
        <w:t xml:space="preserve"> </w:t>
      </w:r>
      <w:r>
        <w:rPr>
          <w:color w:val="000000"/>
        </w:rPr>
        <w:t xml:space="preserve"> </w:t>
      </w:r>
      <w:r>
        <w:rPr>
          <w:rFonts w:hint="eastAsia"/>
          <w:color w:val="000000"/>
        </w:rPr>
        <w:t>在战略性新兴产业集聚发展区域建立最严格的生态环境保护、资源节约利用、生态损害赔偿和责任追究制度，完善生态保护红线、排污许可管理、总量控制、规划和建设项目环境影响评价等制度，引导企业节约资源、保护环境。</w:t>
      </w:r>
    </w:p>
    <w:p>
      <w:pPr>
        <w:pStyle w:val="Normal"/>
        <w:ind w:firstLineChars="200" w:startChars="0" w:start="0" w:endChars="0" w:end="0"/>
        <w:rPr>
          <w:color w:val="000000"/>
        </w:rPr>
      </w:pPr>
      <w:r>
        <w:rPr>
          <w:rFonts w:hint="eastAsia" w:eastAsia="黑体;SimHei"/>
          <w:color w:val="000000"/>
        </w:rPr>
        <w:t>第四十二条</w:t>
      </w:r>
      <w:r>
        <w:rPr>
          <w:rFonts w:eastAsia="黑体;SimHei"/>
          <w:color w:val="000000"/>
        </w:rPr>
        <w:t xml:space="preserve">  </w:t>
      </w:r>
      <w:r>
        <w:rPr>
          <w:rFonts w:hint="eastAsia"/>
          <w:color w:val="000000"/>
        </w:rPr>
        <w:t>完善知识产权交易流转市场和区域性知识产权评估、登记、托管和流转体系，完善知识产权助推企业股权交易、质押融资模式。</w:t>
      </w:r>
    </w:p>
    <w:p>
      <w:pPr>
        <w:pStyle w:val="Normal"/>
        <w:ind w:firstLineChars="200" w:startChars="0" w:start="0" w:endChars="0" w:end="0"/>
        <w:rPr>
          <w:color w:val="000000"/>
        </w:rPr>
      </w:pPr>
      <w:r>
        <w:rPr>
          <w:rFonts w:hint="eastAsia"/>
          <w:color w:val="000000"/>
        </w:rPr>
        <w:t>实施严格的知识产权保护制度，强化知识产权制度对创新的基本保障；发挥知识产权司法保护的主导作用。健全知识产权侵权举报投诉制度，加大对侵害企业知识产权行为的查处力度。</w:t>
      </w:r>
    </w:p>
    <w:p>
      <w:pPr>
        <w:pStyle w:val="Normal"/>
        <w:ind w:firstLineChars="200" w:startChars="0" w:start="0" w:endChars="0" w:end="0"/>
        <w:rPr>
          <w:color w:val="000000"/>
        </w:rPr>
      </w:pPr>
      <w:r>
        <w:rPr>
          <w:rFonts w:hint="eastAsia" w:eastAsia="黑体;SimHei"/>
          <w:color w:val="000000"/>
        </w:rPr>
        <w:t>第四十三条</w:t>
      </w:r>
      <w:r>
        <w:rPr>
          <w:rFonts w:eastAsia="黑体;SimHei"/>
          <w:color w:val="000000"/>
        </w:rPr>
        <w:t xml:space="preserve"> </w:t>
      </w:r>
      <w:r>
        <w:rPr>
          <w:color w:val="000000"/>
        </w:rPr>
        <w:t xml:space="preserve"> </w:t>
      </w:r>
      <w:r>
        <w:rPr>
          <w:rFonts w:hint="eastAsia"/>
          <w:color w:val="000000"/>
        </w:rPr>
        <w:t>培育和发展技术市场，鼓励创办科技中介服务机构，加强技术经纪人队伍建设，为技术交易提供交易场所、信息平台以及信息检索、加工与分析、评估、经纪等服务。</w:t>
      </w:r>
    </w:p>
    <w:p>
      <w:pPr>
        <w:pStyle w:val="Normal"/>
        <w:rPr>
          <w:color w:val="000000"/>
        </w:rPr>
      </w:pPr>
      <w:r>
        <w:rPr>
          <w:color w:val="000000"/>
        </w:rPr>
      </w:r>
    </w:p>
    <w:p>
      <w:pPr>
        <w:pStyle w:val="Normal"/>
        <w:jc w:val="center"/>
        <w:rPr>
          <w:rFonts w:eastAsia="黑体;SimHei"/>
          <w:color w:val="000000"/>
        </w:rPr>
      </w:pPr>
      <w:r>
        <w:rPr>
          <w:rFonts w:hint="eastAsia" w:eastAsia="黑体;SimHei"/>
          <w:color w:val="000000"/>
        </w:rPr>
        <w:t>第六章</w:t>
      </w:r>
      <w:r>
        <w:rPr>
          <w:rFonts w:eastAsia="黑体;SimHei"/>
          <w:color w:val="000000"/>
        </w:rPr>
        <w:t xml:space="preserve">  </w:t>
      </w:r>
      <w:r>
        <w:rPr>
          <w:rFonts w:hint="eastAsia" w:eastAsia="黑体;SimHei"/>
          <w:color w:val="000000"/>
        </w:rPr>
        <w:t>开放合作</w:t>
      </w:r>
    </w:p>
    <w:p>
      <w:pPr>
        <w:pStyle w:val="Normal"/>
        <w:rPr>
          <w:rFonts w:eastAsia="黑体;SimHei"/>
          <w:color w:val="000000"/>
        </w:rPr>
      </w:pPr>
      <w:r>
        <w:rPr>
          <w:rFonts w:eastAsia="黑体;SimHei"/>
          <w:color w:val="000000"/>
        </w:rPr>
      </w:r>
    </w:p>
    <w:p>
      <w:pPr>
        <w:pStyle w:val="Normal"/>
        <w:ind w:firstLineChars="200" w:startChars="0" w:start="0" w:endChars="0" w:end="0"/>
        <w:rPr>
          <w:color w:val="000000"/>
        </w:rPr>
      </w:pPr>
      <w:r>
        <w:rPr>
          <w:rFonts w:hint="eastAsia" w:eastAsia="黑体;SimHei"/>
          <w:color w:val="000000"/>
        </w:rPr>
        <w:t>第四十四条</w:t>
      </w:r>
      <w:r>
        <w:rPr>
          <w:color w:val="000000"/>
        </w:rPr>
        <w:t xml:space="preserve">  </w:t>
      </w:r>
      <w:r>
        <w:rPr>
          <w:rFonts w:hint="eastAsia"/>
          <w:color w:val="000000"/>
        </w:rPr>
        <w:t>县级以上人民政府应当加强国际交流与合作，推动建立与国际贸易投资通行规则相衔接的制度和监管服务模式，打造内陆开放新高地，营造投资贸易便利化、法治化的营商环境。</w:t>
      </w:r>
    </w:p>
    <w:p>
      <w:pPr>
        <w:pStyle w:val="Normal"/>
        <w:ind w:firstLineChars="200" w:startChars="0" w:start="0" w:endChars="0" w:end="0"/>
        <w:rPr>
          <w:color w:val="000000"/>
        </w:rPr>
      </w:pPr>
      <w:r>
        <w:rPr>
          <w:rFonts w:hint="eastAsia"/>
          <w:color w:val="000000"/>
        </w:rPr>
        <w:t>省人民政府应当按照国家有关规定，落实外商投资准入特别管理措施，依法扩大外资投资领域，放宽外资股份比例，引导外资投向战略性新兴产业。</w:t>
      </w:r>
    </w:p>
    <w:p>
      <w:pPr>
        <w:pStyle w:val="Normal"/>
        <w:ind w:firstLineChars="200" w:startChars="0" w:start="0" w:endChars="0" w:end="0"/>
        <w:rPr>
          <w:color w:val="000000"/>
        </w:rPr>
      </w:pPr>
      <w:r>
        <w:rPr>
          <w:rFonts w:hint="eastAsia"/>
          <w:color w:val="000000"/>
        </w:rPr>
        <w:t>不涉及国家规定实施准入特别管理措施的外商投资企业，其设立、变更实行备案管理；备案事项网上办理。</w:t>
      </w:r>
    </w:p>
    <w:p>
      <w:pPr>
        <w:pStyle w:val="Normal"/>
        <w:ind w:firstLineChars="200" w:startChars="0" w:start="0" w:endChars="0" w:end="0"/>
        <w:rPr>
          <w:color w:val="000000"/>
        </w:rPr>
      </w:pPr>
      <w:r>
        <w:rPr>
          <w:rFonts w:hint="eastAsia" w:eastAsia="黑体;SimHei"/>
          <w:color w:val="000000"/>
        </w:rPr>
        <w:t>第四十五条</w:t>
      </w:r>
      <w:r>
        <w:rPr>
          <w:rFonts w:eastAsia="黑体;SimHei"/>
          <w:color w:val="000000"/>
        </w:rPr>
        <w:t xml:space="preserve">  </w:t>
      </w:r>
      <w:r>
        <w:rPr>
          <w:rFonts w:hint="eastAsia"/>
          <w:color w:val="000000"/>
        </w:rPr>
        <w:t>县级以上人民政府应当支持战略性新兴产业企业以获取技术、人才、专利、品牌和渠道为目的的境外投资并购；对战略性新兴产业重大境外并购项目，省产业发展基金、省产业类专项资金按规定给予支持。</w:t>
      </w:r>
    </w:p>
    <w:p>
      <w:pPr>
        <w:pStyle w:val="Normal"/>
        <w:ind w:firstLineChars="200" w:startChars="0" w:start="0" w:endChars="0" w:end="0"/>
        <w:rPr>
          <w:color w:val="000000"/>
        </w:rPr>
      </w:pPr>
      <w:r>
        <w:rPr>
          <w:rFonts w:hint="eastAsia"/>
          <w:color w:val="000000"/>
        </w:rPr>
        <w:t>县级以上人民政府应当支持战略性新兴产业企业境外参展、产品国际认证、申请境外专利和商标国际注册等活动，拓展国际市场；县级以上人民政府有关部门应当提供便利。</w:t>
      </w:r>
    </w:p>
    <w:p>
      <w:pPr>
        <w:pStyle w:val="Normal"/>
        <w:ind w:firstLineChars="200" w:startChars="0" w:start="0" w:endChars="0" w:end="0"/>
        <w:rPr>
          <w:color w:val="000000"/>
        </w:rPr>
      </w:pPr>
      <w:r>
        <w:rPr>
          <w:rFonts w:hint="eastAsia" w:eastAsia="黑体;SimHei"/>
          <w:color w:val="000000"/>
        </w:rPr>
        <w:t>第四十六条</w:t>
      </w:r>
      <w:r>
        <w:rPr>
          <w:rFonts w:eastAsia="黑体;SimHei"/>
          <w:color w:val="000000"/>
        </w:rPr>
        <w:t xml:space="preserve"> </w:t>
      </w:r>
      <w:r>
        <w:rPr>
          <w:color w:val="000000"/>
        </w:rPr>
        <w:t xml:space="preserve"> </w:t>
      </w:r>
      <w:r>
        <w:rPr>
          <w:rFonts w:hint="eastAsia"/>
          <w:color w:val="000000"/>
        </w:rPr>
        <w:t>鼓励跨国公司在本省设立地区总部和研发中心，建立整合贸易、物流、结算等功能的营运中心。</w:t>
      </w:r>
    </w:p>
    <w:p>
      <w:pPr>
        <w:pStyle w:val="Normal"/>
        <w:ind w:firstLineChars="200" w:startChars="0" w:start="0" w:endChars="0" w:end="0"/>
        <w:rPr>
          <w:color w:val="000000"/>
        </w:rPr>
      </w:pPr>
      <w:r>
        <w:rPr>
          <w:rFonts w:hint="eastAsia"/>
          <w:color w:val="000000"/>
        </w:rPr>
        <w:t>外资研发机构在本省范围内开展研发活动，享受与省内研发机构同等政策；在依法依规、对等开放、保障安全、利益共享的原则下，支持外资研发机构参与承担政府重大科技专项。</w:t>
      </w:r>
    </w:p>
    <w:p>
      <w:pPr>
        <w:pStyle w:val="Normal"/>
        <w:ind w:firstLineChars="200" w:startChars="0" w:start="0" w:endChars="0" w:end="0"/>
        <w:rPr>
          <w:color w:val="000000"/>
          <w:spacing w:val="-4"/>
        </w:rPr>
      </w:pPr>
      <w:r>
        <w:rPr>
          <w:rFonts w:hint="eastAsia" w:eastAsia="黑体;SimHei"/>
          <w:color w:val="000000"/>
        </w:rPr>
        <w:t>第四十七条</w:t>
      </w:r>
      <w:r>
        <w:rPr>
          <w:rFonts w:eastAsia="黑体;SimHei"/>
          <w:color w:val="000000"/>
        </w:rPr>
        <w:t xml:space="preserve"> </w:t>
      </w:r>
      <w:r>
        <w:rPr>
          <w:color w:val="000000"/>
        </w:rPr>
        <w:t xml:space="preserve"> </w:t>
      </w:r>
      <w:r>
        <w:rPr>
          <w:rFonts w:hint="eastAsia"/>
          <w:color w:val="000000"/>
        </w:rPr>
        <w:t>海关、检验检疫、商务、税务、外汇等部门应当加强协作，</w:t>
      </w:r>
      <w:r>
        <w:rPr>
          <w:rFonts w:hint="eastAsia"/>
          <w:color w:val="000000"/>
          <w:spacing w:val="-4"/>
        </w:rPr>
        <w:t>共享信息，推</w:t>
      </w:r>
      <w:r>
        <w:rPr>
          <w:rFonts w:hint="eastAsia"/>
          <w:color w:val="000000"/>
        </w:rPr>
        <w:t>行统一高效的口岸监管服务，对战略性新兴产业</w:t>
      </w:r>
      <w:r>
        <w:rPr>
          <w:rFonts w:hint="eastAsia"/>
          <w:color w:val="000000"/>
          <w:spacing w:val="-4"/>
        </w:rPr>
        <w:t>企业生产原料、设备、产品等，实施大通道、大平台、大通关，实行海关和检验检疫一次申报、一次查验、一次放行，为研发设备和样本样品进出口、研发及管理人员出入境等提供通关便捷服务。</w:t>
      </w:r>
    </w:p>
    <w:p>
      <w:pPr>
        <w:pStyle w:val="Normal"/>
        <w:rPr>
          <w:color w:val="000000"/>
          <w:spacing w:val="-4"/>
        </w:rPr>
      </w:pPr>
      <w:r>
        <w:rPr>
          <w:color w:val="000000"/>
          <w:spacing w:val="-4"/>
        </w:rPr>
      </w:r>
    </w:p>
    <w:p>
      <w:pPr>
        <w:pStyle w:val="Normal"/>
        <w:jc w:val="center"/>
        <w:rPr>
          <w:rFonts w:eastAsia="黑体;SimHei"/>
          <w:color w:val="000000"/>
        </w:rPr>
      </w:pPr>
      <w:r>
        <w:rPr>
          <w:rFonts w:hint="eastAsia" w:eastAsia="黑体;SimHei"/>
          <w:color w:val="000000"/>
        </w:rPr>
        <w:t>第七章</w:t>
      </w:r>
      <w:r>
        <w:rPr>
          <w:rFonts w:eastAsia="黑体;SimHei"/>
          <w:color w:val="000000"/>
        </w:rPr>
        <w:t xml:space="preserve">  </w:t>
      </w:r>
      <w:r>
        <w:rPr>
          <w:rFonts w:hint="eastAsia" w:eastAsia="黑体;SimHei"/>
          <w:color w:val="000000"/>
        </w:rPr>
        <w:t>服务管理</w:t>
      </w:r>
    </w:p>
    <w:p>
      <w:pPr>
        <w:pStyle w:val="Normal"/>
        <w:rPr>
          <w:rFonts w:eastAsia="黑体;SimHei"/>
          <w:color w:val="000000"/>
        </w:rPr>
      </w:pPr>
      <w:r>
        <w:rPr>
          <w:rFonts w:eastAsia="黑体;SimHei"/>
          <w:color w:val="000000"/>
        </w:rPr>
      </w:r>
    </w:p>
    <w:p>
      <w:pPr>
        <w:pStyle w:val="Normal"/>
        <w:ind w:firstLineChars="200" w:startChars="0" w:start="0" w:endChars="0" w:end="0"/>
        <w:rPr>
          <w:color w:val="000000"/>
        </w:rPr>
      </w:pPr>
      <w:r>
        <w:rPr>
          <w:rFonts w:hint="eastAsia" w:eastAsia="黑体;SimHei"/>
          <w:color w:val="000000"/>
        </w:rPr>
        <w:t>第四十八条</w:t>
      </w:r>
      <w:r>
        <w:rPr>
          <w:rFonts w:eastAsia="黑体;SimHei"/>
          <w:color w:val="000000"/>
        </w:rPr>
        <w:t xml:space="preserve"> </w:t>
      </w:r>
      <w:r>
        <w:rPr>
          <w:color w:val="000000"/>
        </w:rPr>
        <w:t xml:space="preserve"> </w:t>
      </w:r>
      <w:r>
        <w:rPr>
          <w:rFonts w:hint="eastAsia"/>
          <w:color w:val="000000"/>
        </w:rPr>
        <w:t>省人民政府应当建立健全制度和政策创新体系，集聚社会创新资源，激发创新创业活力，促进社会创新、创业。</w:t>
      </w:r>
    </w:p>
    <w:p>
      <w:pPr>
        <w:pStyle w:val="Normal"/>
        <w:ind w:firstLineChars="200" w:startChars="0" w:start="0" w:endChars="0" w:end="0"/>
        <w:rPr>
          <w:color w:val="000000"/>
        </w:rPr>
      </w:pPr>
      <w:r>
        <w:rPr>
          <w:rFonts w:hint="eastAsia"/>
          <w:color w:val="000000"/>
        </w:rPr>
        <w:t>县级以上人民政府应当简政放权、放管结合、优化服务，推进政府权力清单、责任清单、涉企收费清单、公共服务清单和行政审批有关的中介服务清单管理，加强事中事后监管，建立符合创新规律的政府管理制度。</w:t>
      </w:r>
    </w:p>
    <w:p>
      <w:pPr>
        <w:pStyle w:val="Normal"/>
        <w:ind w:firstLineChars="200" w:startChars="0" w:start="0" w:endChars="0" w:end="0"/>
        <w:rPr>
          <w:color w:val="000000"/>
        </w:rPr>
      </w:pPr>
      <w:r>
        <w:rPr>
          <w:rFonts w:hint="eastAsia" w:eastAsia="黑体;SimHei"/>
          <w:color w:val="000000"/>
        </w:rPr>
        <w:t>第四十九条</w:t>
      </w:r>
      <w:r>
        <w:rPr>
          <w:color w:val="000000"/>
        </w:rPr>
        <w:t xml:space="preserve">  </w:t>
      </w:r>
      <w:r>
        <w:rPr>
          <w:rFonts w:hint="eastAsia"/>
          <w:color w:val="000000"/>
        </w:rPr>
        <w:t>县级以上人民政府及其部门对战略性新兴产业集聚发展重大创新改革事项，应当依照法定程序决策，进行合法性审查，并由集体讨论决定。对创新改革可能带来的各种风险，应当进行评估，评估结果作为决策的重要参考。重大创新改革事项有较大决策风险的，应当事先向上级有关机关备案，备案材料作为容错的重要参考。</w:t>
      </w:r>
    </w:p>
    <w:p>
      <w:pPr>
        <w:pStyle w:val="Normal"/>
        <w:ind w:firstLineChars="200" w:startChars="0" w:start="0" w:endChars="0" w:end="0"/>
        <w:rPr>
          <w:color w:val="000000"/>
        </w:rPr>
      </w:pPr>
      <w:r>
        <w:rPr>
          <w:rFonts w:hint="eastAsia" w:eastAsia="黑体;SimHei"/>
          <w:color w:val="000000"/>
        </w:rPr>
        <w:t>第五十条</w:t>
      </w:r>
      <w:r>
        <w:rPr>
          <w:rFonts w:eastAsia="黑体;SimHei"/>
          <w:color w:val="000000"/>
        </w:rPr>
        <w:t xml:space="preserve"> </w:t>
      </w:r>
      <w:r>
        <w:rPr>
          <w:color w:val="000000"/>
        </w:rPr>
        <w:t xml:space="preserve"> </w:t>
      </w:r>
      <w:r>
        <w:rPr>
          <w:rFonts w:hint="eastAsia"/>
          <w:color w:val="000000"/>
        </w:rPr>
        <w:t>县级以上人民政府应当建立战略性新兴产业集聚发展服务机制，及时解决企业在生产、经营和发展过程中遇到的困难和问题。</w:t>
      </w:r>
    </w:p>
    <w:p>
      <w:pPr>
        <w:pStyle w:val="Normal"/>
        <w:ind w:firstLineChars="200" w:startChars="0" w:start="0" w:endChars="0" w:end="0"/>
        <w:rPr>
          <w:color w:val="000000"/>
        </w:rPr>
      </w:pPr>
      <w:r>
        <w:rPr>
          <w:rFonts w:hint="eastAsia"/>
          <w:color w:val="000000"/>
        </w:rPr>
        <w:t>县级以上人民政府应当建立组织协调和督查落实工作机制，完善统计、评估制度，保障战略性新兴产业集聚发展各项决策部署实施。</w:t>
      </w:r>
    </w:p>
    <w:p>
      <w:pPr>
        <w:pStyle w:val="Normal"/>
        <w:ind w:firstLineChars="200" w:startChars="0" w:start="0" w:endChars="0" w:end="0"/>
        <w:rPr>
          <w:color w:val="000000"/>
        </w:rPr>
      </w:pPr>
      <w:r>
        <w:rPr>
          <w:rFonts w:hint="eastAsia" w:eastAsia="黑体;SimHei"/>
          <w:color w:val="000000"/>
        </w:rPr>
        <w:t>第五十一条</w:t>
      </w:r>
      <w:r>
        <w:rPr>
          <w:rFonts w:eastAsia="黑体;SimHei"/>
          <w:color w:val="000000"/>
        </w:rPr>
        <w:t xml:space="preserve"> </w:t>
      </w:r>
      <w:r>
        <w:rPr>
          <w:color w:val="000000"/>
        </w:rPr>
        <w:t xml:space="preserve"> </w:t>
      </w:r>
      <w:r>
        <w:rPr>
          <w:rFonts w:hint="eastAsia"/>
          <w:color w:val="000000"/>
        </w:rPr>
        <w:t>县级以上人民政府应当将战略性新兴产业集聚发展及其工作推进情况纳入政府目标考核内容。</w:t>
      </w:r>
    </w:p>
    <w:p>
      <w:pPr>
        <w:pStyle w:val="Normal"/>
        <w:ind w:firstLineChars="200" w:startChars="0" w:start="0" w:endChars="0" w:end="0"/>
        <w:rPr>
          <w:color w:val="000000"/>
        </w:rPr>
      </w:pPr>
      <w:r>
        <w:rPr>
          <w:rFonts w:hint="eastAsia"/>
          <w:color w:val="000000"/>
        </w:rPr>
        <w:t>对在战略性新兴产业集聚发展工作中做出显著成绩的单位和个人，按照国家和省有关规定给予表彰。</w:t>
      </w:r>
    </w:p>
    <w:p>
      <w:pPr>
        <w:pStyle w:val="Normal"/>
        <w:ind w:firstLineChars="200" w:startChars="0" w:start="0" w:endChars="0" w:end="0"/>
        <w:rPr>
          <w:color w:val="000000"/>
        </w:rPr>
      </w:pPr>
      <w:r>
        <w:rPr>
          <w:rFonts w:hint="eastAsia" w:eastAsia="黑体;SimHei"/>
          <w:color w:val="000000"/>
        </w:rPr>
        <w:t>第五十二条</w:t>
      </w:r>
      <w:r>
        <w:rPr>
          <w:rFonts w:eastAsia="黑体;SimHei"/>
          <w:color w:val="000000"/>
        </w:rPr>
        <w:t xml:space="preserve"> </w:t>
      </w:r>
      <w:r>
        <w:rPr>
          <w:color w:val="000000"/>
        </w:rPr>
        <w:t xml:space="preserve"> </w:t>
      </w:r>
      <w:r>
        <w:rPr>
          <w:rFonts w:hint="eastAsia"/>
          <w:color w:val="000000"/>
        </w:rPr>
        <w:t>县级以上人民政府有关部门应当通过各类媒体，发布与战略性新兴产业及其集聚发展有关的科</w:t>
      </w:r>
      <w:r>
        <w:rPr>
          <w:rFonts w:hint="eastAsia"/>
          <w:color w:val="000000"/>
          <w:spacing w:val="-8"/>
        </w:rPr>
        <w:t>技信息、政务信息和服务信息，开展政策咨询，提升服务水平。</w:t>
      </w:r>
    </w:p>
    <w:p>
      <w:pPr>
        <w:pStyle w:val="Normal"/>
        <w:ind w:firstLineChars="200" w:startChars="0" w:start="0" w:endChars="0" w:end="0"/>
        <w:rPr>
          <w:rFonts w:ascii="仿宋_GB2312" w:hAnsi="仿宋_GB2312" w:cs="仿宋_GB2312"/>
          <w:color w:val="000000"/>
          <w:kern w:val="2"/>
          <w:shd w:fill="A6A6A6" w:val="clear"/>
        </w:rPr>
      </w:pPr>
      <w:r>
        <w:rPr>
          <w:rFonts w:hint="eastAsia" w:eastAsia="黑体;SimHei"/>
          <w:color w:val="000000"/>
        </w:rPr>
        <w:t>第五十三条</w:t>
      </w:r>
      <w:r>
        <w:rPr>
          <w:rFonts w:eastAsia="黑体;SimHei"/>
          <w:color w:val="000000"/>
        </w:rPr>
        <w:t xml:space="preserve"> </w:t>
      </w:r>
      <w:r>
        <w:rPr>
          <w:color w:val="000000"/>
        </w:rPr>
        <w:t xml:space="preserve"> </w:t>
      </w:r>
      <w:r>
        <w:rPr>
          <w:rFonts w:hint="eastAsia"/>
          <w:color w:val="000000"/>
        </w:rPr>
        <w:t>县级以上人民代表大会常务委员会应当对战略性新兴产业集聚发展有关法律法规和重大决策部署的贯彻实施情况开展监督，促进战略性新兴产业集聚发展。</w:t>
      </w:r>
    </w:p>
    <w:p>
      <w:pPr>
        <w:pStyle w:val="Normal"/>
        <w:jc w:val="center"/>
        <w:rPr>
          <w:rFonts w:ascii="仿宋_GB2312" w:hAnsi="仿宋_GB2312" w:eastAsia="黑体;SimHei" w:cs="仿宋_GB2312"/>
          <w:color w:val="000000"/>
          <w:kern w:val="2"/>
          <w:shd w:fill="A6A6A6" w:val="clear"/>
        </w:rPr>
      </w:pPr>
      <w:r>
        <w:rPr>
          <w:rFonts w:eastAsia="黑体;SimHei" w:cs="仿宋_GB2312" w:ascii="仿宋_GB2312" w:hAnsi="仿宋_GB2312"/>
          <w:color w:val="000000"/>
          <w:kern w:val="2"/>
          <w:shd w:fill="A6A6A6" w:val="clear"/>
        </w:rPr>
      </w:r>
    </w:p>
    <w:p>
      <w:pPr>
        <w:pStyle w:val="Normal"/>
        <w:jc w:val="center"/>
        <w:rPr>
          <w:rFonts w:eastAsia="黑体;SimHei"/>
          <w:color w:val="000000"/>
        </w:rPr>
      </w:pPr>
      <w:r>
        <w:rPr>
          <w:rFonts w:hint="eastAsia" w:eastAsia="黑体;SimHei"/>
          <w:color w:val="000000"/>
        </w:rPr>
        <w:t>第八章</w:t>
      </w:r>
      <w:r>
        <w:rPr>
          <w:rFonts w:eastAsia="黑体;SimHei"/>
          <w:color w:val="000000"/>
        </w:rPr>
        <w:t xml:space="preserve">  </w:t>
      </w:r>
      <w:r>
        <w:rPr>
          <w:rFonts w:hint="eastAsia" w:eastAsia="黑体;SimHei"/>
          <w:color w:val="000000"/>
        </w:rPr>
        <w:t>法治环境</w:t>
      </w:r>
    </w:p>
    <w:p>
      <w:pPr>
        <w:pStyle w:val="Normal"/>
        <w:rPr>
          <w:rFonts w:eastAsia="黑体;SimHei"/>
          <w:color w:val="000000"/>
        </w:rPr>
      </w:pPr>
      <w:r>
        <w:rPr>
          <w:rFonts w:eastAsia="黑体;SimHei"/>
          <w:color w:val="000000"/>
        </w:rPr>
      </w:r>
    </w:p>
    <w:p>
      <w:pPr>
        <w:pStyle w:val="Normal"/>
        <w:ind w:firstLineChars="200" w:startChars="0" w:start="0" w:endChars="0" w:end="0"/>
        <w:rPr/>
      </w:pPr>
      <w:r>
        <w:rPr>
          <w:rFonts w:hint="eastAsia" w:eastAsia="黑体;SimHei"/>
          <w:color w:val="000000"/>
        </w:rPr>
        <w:t>第五十四条</w:t>
      </w:r>
      <w:r>
        <w:rPr>
          <w:rFonts w:hint="eastAsia"/>
          <w:color w:val="000000"/>
        </w:rPr>
        <w:t xml:space="preserve">  县级以上人民政府应当坚持法治原则，运用法治思维和法治方式，推进战略性新兴产业的发展，依法保护战略性新兴产业企业的合法权益。</w:t>
      </w:r>
    </w:p>
    <w:p>
      <w:pPr>
        <w:pStyle w:val="Normal"/>
        <w:ind w:firstLineChars="200" w:startChars="0" w:start="0" w:endChars="0" w:end="0"/>
        <w:rPr>
          <w:rFonts w:hint="eastAsia"/>
          <w:color w:val="000000"/>
        </w:rPr>
      </w:pPr>
      <w:r>
        <w:rPr>
          <w:rFonts w:hint="eastAsia"/>
          <w:color w:val="000000"/>
        </w:rPr>
        <w:t>法律、法规未明确禁止的事项，在符合法律、法规基本原则的前提下，县级以上人民政府及其部门可以开展创新改革，采取有效政策、措施，促进战略性新兴产业集聚发展。</w:t>
      </w:r>
    </w:p>
    <w:p>
      <w:pPr>
        <w:pStyle w:val="Normal"/>
        <w:ind w:firstLineChars="200" w:startChars="0" w:start="0" w:endChars="0" w:end="0"/>
        <w:rPr>
          <w:color w:val="000000"/>
        </w:rPr>
      </w:pPr>
      <w:r>
        <w:rPr>
          <w:rFonts w:hint="eastAsia" w:eastAsia="黑体;SimHei"/>
          <w:color w:val="000000"/>
        </w:rPr>
        <w:t>第五十五条</w:t>
      </w:r>
      <w:r>
        <w:rPr>
          <w:rFonts w:eastAsia="黑体;SimHei"/>
          <w:color w:val="000000"/>
        </w:rPr>
        <w:t xml:space="preserve"> </w:t>
      </w:r>
      <w:r>
        <w:rPr>
          <w:color w:val="000000"/>
        </w:rPr>
        <w:t xml:space="preserve"> </w:t>
      </w:r>
      <w:r>
        <w:rPr>
          <w:rFonts w:hint="eastAsia"/>
          <w:color w:val="000000"/>
        </w:rPr>
        <w:t>县级以上人民政府应当建立战略性新兴产业涉企重大政策调整事先告知制度。因公共利益确需改变政策规定的，应当给予企业必要的调整过渡期；因政府规划调整、政策变更对企业合法权益造成损失的，应当依法给予补偿。</w:t>
      </w:r>
    </w:p>
    <w:p>
      <w:pPr>
        <w:pStyle w:val="Normal"/>
        <w:ind w:firstLineChars="200" w:startChars="0" w:start="0" w:endChars="0" w:end="0"/>
        <w:rPr>
          <w:color w:val="000000"/>
        </w:rPr>
      </w:pPr>
      <w:r>
        <w:rPr>
          <w:rFonts w:hint="eastAsia" w:eastAsia="黑体;SimHei"/>
          <w:color w:val="000000"/>
        </w:rPr>
        <w:t>第五十六条</w:t>
      </w:r>
      <w:r>
        <w:rPr>
          <w:rFonts w:eastAsia="黑体;SimHei"/>
          <w:color w:val="000000"/>
        </w:rPr>
        <w:t xml:space="preserve"> </w:t>
      </w:r>
      <w:r>
        <w:rPr>
          <w:color w:val="000000"/>
        </w:rPr>
        <w:t xml:space="preserve"> </w:t>
      </w:r>
      <w:r>
        <w:rPr>
          <w:rFonts w:hint="eastAsia"/>
          <w:color w:val="000000"/>
        </w:rPr>
        <w:t>对涉嫌违法的企业和人员财产处置，应当区分个人财产和企业法人财产、违法所得和合法财产、涉案人员个人财产和家庭成员财产，依法保护企业家的财产权。</w:t>
      </w:r>
    </w:p>
    <w:p>
      <w:pPr>
        <w:pStyle w:val="Normal"/>
        <w:ind w:firstLineChars="200" w:startChars="0" w:start="0" w:endChars="0" w:end="0"/>
        <w:rPr>
          <w:color w:val="000000"/>
        </w:rPr>
      </w:pPr>
      <w:r>
        <w:rPr>
          <w:rFonts w:hint="eastAsia"/>
          <w:color w:val="000000"/>
        </w:rPr>
        <w:t>对企业财产确需采取查封、扣押、冻结等强制措施的，严格按照法定权限和程序进行；除依法责令关闭企业的情形外，在条件允许的情况下可以为企业预留必要的流动资金和往来账户。</w:t>
      </w:r>
    </w:p>
    <w:p>
      <w:pPr>
        <w:pStyle w:val="Normal"/>
        <w:ind w:firstLineChars="200" w:startChars="0" w:start="0" w:endChars="0" w:end="0"/>
        <w:rPr>
          <w:color w:val="000000"/>
        </w:rPr>
      </w:pPr>
      <w:r>
        <w:rPr>
          <w:rFonts w:hint="eastAsia" w:eastAsia="黑体;SimHei"/>
          <w:color w:val="000000"/>
        </w:rPr>
        <w:t>第五十七条</w:t>
      </w:r>
      <w:r>
        <w:rPr>
          <w:rFonts w:eastAsia="黑体;SimHei"/>
          <w:color w:val="000000"/>
        </w:rPr>
        <w:t xml:space="preserve"> </w:t>
      </w:r>
      <w:r>
        <w:rPr>
          <w:color w:val="000000"/>
        </w:rPr>
        <w:t xml:space="preserve"> </w:t>
      </w:r>
      <w:r>
        <w:rPr>
          <w:rFonts w:hint="eastAsia"/>
          <w:color w:val="000000"/>
        </w:rPr>
        <w:t>企业、事业单位、社会组织在推进战略性新兴产业集聚发展中遇到体制、机制障碍时，县级以上人民政府及其有关部门应当及时回应诉求，对其合理合法的要求，在职权范围内可以解决的，应当予以解决；超出职权范围的，应当及时提请上级政府及其有关部门解决。</w:t>
      </w:r>
    </w:p>
    <w:p>
      <w:pPr>
        <w:pStyle w:val="Normal"/>
        <w:ind w:firstLineChars="200" w:startChars="0" w:start="0" w:endChars="0" w:end="0"/>
        <w:rPr>
          <w:color w:val="000000"/>
        </w:rPr>
      </w:pPr>
      <w:r>
        <w:rPr>
          <w:rFonts w:hint="eastAsia" w:eastAsia="黑体;SimHei"/>
          <w:color w:val="000000"/>
        </w:rPr>
        <w:t>第五十八条</w:t>
      </w:r>
      <w:r>
        <w:rPr>
          <w:rFonts w:eastAsia="黑体;SimHei"/>
          <w:color w:val="000000"/>
        </w:rPr>
        <w:t xml:space="preserve"> </w:t>
      </w:r>
      <w:r>
        <w:rPr>
          <w:color w:val="000000"/>
        </w:rPr>
        <w:t xml:space="preserve"> </w:t>
      </w:r>
      <w:r>
        <w:rPr>
          <w:rFonts w:hint="eastAsia"/>
          <w:color w:val="000000"/>
        </w:rPr>
        <w:t>企业、高等院校、科研机构和其他社会组织、个人，依照国家和省规定享受战略性新兴产业资金补助、税收减免、项目审批、人才待遇等方面优惠政策，有关人民政府或者部门拒绝执行或者拖延执行的，当事人有权向上级人民政府或者有关部门投诉。</w:t>
      </w:r>
    </w:p>
    <w:p>
      <w:pPr>
        <w:pStyle w:val="Normal"/>
        <w:ind w:firstLineChars="200" w:startChars="0" w:start="0" w:endChars="0" w:end="0"/>
        <w:rPr>
          <w:color w:val="000000"/>
        </w:rPr>
      </w:pPr>
      <w:r>
        <w:rPr>
          <w:rFonts w:hint="eastAsia"/>
          <w:color w:val="000000"/>
        </w:rPr>
        <w:t>收到投诉的人民政府或者有关部门应当自收到投诉之日起二十日内处理，并书面答复投诉人。</w:t>
      </w:r>
    </w:p>
    <w:p>
      <w:pPr>
        <w:pStyle w:val="Normal"/>
        <w:ind w:firstLineChars="200" w:startChars="0" w:start="0" w:endChars="0" w:end="0"/>
        <w:rPr>
          <w:color w:val="000000"/>
        </w:rPr>
      </w:pPr>
      <w:r>
        <w:rPr>
          <w:rFonts w:hint="eastAsia" w:eastAsia="黑体;SimHei"/>
          <w:color w:val="000000"/>
        </w:rPr>
        <w:t>第五十九条</w:t>
      </w:r>
      <w:r>
        <w:rPr>
          <w:color w:val="000000"/>
        </w:rPr>
        <w:t xml:space="preserve">  </w:t>
      </w:r>
      <w:r>
        <w:rPr>
          <w:rFonts w:hint="eastAsia"/>
          <w:color w:val="000000"/>
        </w:rPr>
        <w:t>对财政资金支持的战略性新兴产业集聚发展有关项目，未取得预期成果或者效益，实施主体已经履行应尽职责的，经主管部门组织专家评审后，可以终止该项目，免于追究实施主体相关责任。</w:t>
      </w:r>
    </w:p>
    <w:p>
      <w:pPr>
        <w:pStyle w:val="Normal"/>
        <w:ind w:firstLineChars="200" w:startChars="0" w:start="0" w:endChars="0" w:end="0"/>
        <w:rPr>
          <w:color w:val="000000"/>
        </w:rPr>
      </w:pPr>
      <w:r>
        <w:rPr>
          <w:rFonts w:hint="eastAsia" w:eastAsia="黑体;SimHei"/>
          <w:color w:val="000000"/>
        </w:rPr>
        <w:t>第六十条</w:t>
      </w:r>
      <w:r>
        <w:rPr>
          <w:color w:val="000000"/>
        </w:rPr>
        <w:t xml:space="preserve">  </w:t>
      </w:r>
      <w:r>
        <w:rPr>
          <w:rFonts w:hint="eastAsia"/>
          <w:color w:val="000000"/>
        </w:rPr>
        <w:t>高等院校、科研机构、国有企业、事业单位在推进战略性新兴产业集聚发展过程中，工作没有达到预期效果或者因成果转化后续价值发生变化造成损失，其负责人已经履行应尽职责，未牟取个人非法利益的，负责人不承担相关责任。</w:t>
      </w:r>
    </w:p>
    <w:p>
      <w:pPr>
        <w:pStyle w:val="Normal"/>
        <w:ind w:firstLineChars="200" w:startChars="0" w:start="0" w:endChars="0" w:end="0"/>
        <w:rPr>
          <w:color w:val="000000"/>
        </w:rPr>
      </w:pPr>
      <w:r>
        <w:rPr>
          <w:rFonts w:hint="eastAsia"/>
          <w:color w:val="000000"/>
        </w:rPr>
        <w:t>县级以上人民政府、部门及其工作人员在战略性新兴产业集聚发展工作中因先行先试，或者尚无明确限制的探索性试验，或者为推动发展而出现过失，或者政策界限不明确、政策调整影响，未达到预期效果，同时符合以下条件的，可以给予容错：</w:t>
      </w:r>
    </w:p>
    <w:p>
      <w:pPr>
        <w:pStyle w:val="Normal"/>
        <w:ind w:firstLineChars="200" w:startChars="0" w:start="0" w:endChars="0" w:end="0"/>
        <w:rPr>
          <w:color w:val="000000"/>
        </w:rPr>
      </w:pPr>
      <w:r>
        <w:rPr>
          <w:rFonts w:hint="eastAsia"/>
          <w:color w:val="000000"/>
        </w:rPr>
        <w:t>（一）决策和实施程序符合规定；</w:t>
      </w:r>
    </w:p>
    <w:p>
      <w:pPr>
        <w:pStyle w:val="Normal"/>
        <w:ind w:firstLineChars="200" w:startChars="0" w:start="0" w:endChars="0" w:end="0"/>
        <w:rPr>
          <w:color w:val="000000"/>
        </w:rPr>
      </w:pPr>
      <w:r>
        <w:rPr>
          <w:rFonts w:hint="eastAsia"/>
          <w:color w:val="000000"/>
        </w:rPr>
        <w:t>（二）个人和单位没有牟取私利；</w:t>
      </w:r>
    </w:p>
    <w:p>
      <w:pPr>
        <w:pStyle w:val="Normal"/>
        <w:ind w:firstLineChars="200" w:startChars="0" w:start="0" w:endChars="0" w:end="0"/>
        <w:rPr>
          <w:color w:val="000000"/>
        </w:rPr>
      </w:pPr>
      <w:r>
        <w:rPr>
          <w:rFonts w:hint="eastAsia"/>
          <w:color w:val="000000"/>
        </w:rPr>
        <w:t>（三）未与其他单位和个人恶意串通，损害公共利益和他人合法权益。</w:t>
      </w:r>
    </w:p>
    <w:p>
      <w:pPr>
        <w:pStyle w:val="Normal"/>
        <w:ind w:firstLineChars="200" w:startChars="0" w:start="0" w:endChars="0" w:end="0"/>
        <w:rPr>
          <w:color w:val="000000"/>
        </w:rPr>
      </w:pPr>
      <w:r>
        <w:rPr>
          <w:rFonts w:hint="eastAsia"/>
          <w:color w:val="000000"/>
        </w:rPr>
        <w:t>法律、行政法规另有规定的，从其规定。</w:t>
      </w:r>
    </w:p>
    <w:p>
      <w:pPr>
        <w:pStyle w:val="Normal"/>
        <w:ind w:firstLineChars="200" w:startChars="0" w:start="0" w:endChars="0" w:end="0"/>
        <w:rPr>
          <w:color w:val="000000"/>
        </w:rPr>
      </w:pPr>
      <w:r>
        <w:rPr>
          <w:rFonts w:hint="eastAsia" w:eastAsia="黑体;SimHei"/>
          <w:color w:val="000000"/>
        </w:rPr>
        <w:t>第六十一条</w:t>
      </w:r>
      <w:r>
        <w:rPr>
          <w:color w:val="000000"/>
        </w:rPr>
        <w:t xml:space="preserve">  </w:t>
      </w:r>
      <w:r>
        <w:rPr>
          <w:rFonts w:hint="eastAsia"/>
          <w:color w:val="000000"/>
        </w:rPr>
        <w:t>经确定予以容错的单位和个人，免予行政追责和效能问责，在绩效考核、评先评优、职务晋升、职称评聘和表彰奖励等方面不受影响。</w:t>
      </w:r>
    </w:p>
    <w:p>
      <w:pPr>
        <w:pStyle w:val="Normal"/>
        <w:ind w:firstLineChars="200" w:startChars="0" w:start="0" w:endChars="0" w:end="0"/>
        <w:rPr>
          <w:color w:val="000000"/>
        </w:rPr>
      </w:pPr>
      <w:r>
        <w:rPr>
          <w:rFonts w:hint="eastAsia" w:eastAsia="黑体;SimHei"/>
          <w:color w:val="000000"/>
        </w:rPr>
        <w:t>第六十二条</w:t>
      </w:r>
      <w:r>
        <w:rPr>
          <w:color w:val="000000"/>
        </w:rPr>
        <w:t xml:space="preserve">  </w:t>
      </w:r>
      <w:r>
        <w:rPr>
          <w:rFonts w:hint="eastAsia"/>
          <w:color w:val="000000"/>
        </w:rPr>
        <w:t>单位或者个人受到责任追究，认为依照本条例应当容错的，可以向问责决定机关、申诉处理机关提出申辩、申请复核或者申诉。有关机关应当受理，认为符合本条例容错规定的，撤销追究责任的决定。</w:t>
      </w:r>
    </w:p>
    <w:p>
      <w:pPr>
        <w:pStyle w:val="Normal"/>
        <w:ind w:firstLineChars="200" w:startChars="0" w:start="0" w:endChars="0" w:end="0"/>
        <w:rPr>
          <w:color w:val="000000"/>
        </w:rPr>
      </w:pPr>
      <w:r>
        <w:rPr>
          <w:rFonts w:hint="eastAsia"/>
          <w:color w:val="000000"/>
        </w:rPr>
        <w:t>对根据本条例规定不予追究责任的情形，在没有新的追责事实、证据的情况下，不重新启动调查、问责程序。法律、行政法规另有规定的，从其规定。</w:t>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jc w:val="center"/>
        <w:rPr>
          <w:rFonts w:eastAsia="黑体;SimHei"/>
          <w:color w:val="000000"/>
        </w:rPr>
      </w:pPr>
      <w:r>
        <w:rPr>
          <w:rFonts w:hint="eastAsia" w:eastAsia="黑体;SimHei"/>
          <w:color w:val="000000"/>
        </w:rPr>
        <w:t>第九章</w:t>
      </w:r>
      <w:r>
        <w:rPr>
          <w:rFonts w:eastAsia="黑体;SimHei"/>
          <w:color w:val="000000"/>
        </w:rPr>
        <w:t xml:space="preserve">  </w:t>
      </w:r>
      <w:r>
        <w:rPr>
          <w:rFonts w:hint="eastAsia" w:eastAsia="黑体;SimHei"/>
          <w:color w:val="000000"/>
        </w:rPr>
        <w:t>附  则</w:t>
      </w:r>
    </w:p>
    <w:p>
      <w:pPr>
        <w:pStyle w:val="Normal"/>
        <w:rPr>
          <w:rFonts w:eastAsia="黑体;SimHei"/>
          <w:color w:val="000000"/>
        </w:rPr>
      </w:pPr>
      <w:r>
        <w:rPr>
          <w:rFonts w:eastAsia="黑体;SimHei"/>
          <w:color w:val="000000"/>
        </w:rPr>
      </w:r>
    </w:p>
    <w:p>
      <w:pPr>
        <w:pStyle w:val="Normal"/>
        <w:ind w:firstLineChars="200" w:startChars="0" w:start="0" w:endChars="0" w:end="0"/>
        <w:rPr>
          <w:color w:val="000000"/>
        </w:rPr>
      </w:pPr>
      <w:r>
        <w:rPr>
          <w:rFonts w:hint="eastAsia" w:eastAsia="黑体;SimHei"/>
          <w:color w:val="000000"/>
        </w:rPr>
        <w:t>第六十三条</w:t>
      </w:r>
      <w:r>
        <w:rPr>
          <w:color w:val="000000"/>
        </w:rPr>
        <w:t xml:space="preserve">  </w:t>
      </w:r>
      <w:r>
        <w:rPr>
          <w:rFonts w:hint="eastAsia"/>
          <w:color w:val="000000"/>
        </w:rPr>
        <w:t>本条例所称重大新兴产业基地，是指在相对集中的区域，汇集产业配套完备、创新优势突出、区域特色明显、规模效益显著的产业集群。</w:t>
      </w:r>
    </w:p>
    <w:p>
      <w:pPr>
        <w:pStyle w:val="Normal"/>
        <w:ind w:firstLineChars="200" w:startChars="0" w:start="0" w:endChars="0" w:end="0"/>
        <w:rPr>
          <w:color w:val="000000"/>
        </w:rPr>
      </w:pPr>
      <w:r>
        <w:rPr>
          <w:rFonts w:hint="eastAsia"/>
          <w:color w:val="000000"/>
        </w:rPr>
        <w:t>本条例所称重大新兴产业工程，是指发展潜力巨大、占据产业链高端、掌握关键核心技术、已经产业化、具有一定发展基础，通过三年左右的努力，能够培育成对本省产业转型升级具有重大引领带动作用的战略性新兴产业。</w:t>
      </w:r>
    </w:p>
    <w:p>
      <w:pPr>
        <w:pStyle w:val="Normal"/>
        <w:ind w:firstLineChars="200" w:startChars="0" w:start="0" w:endChars="0" w:end="0"/>
        <w:rPr>
          <w:color w:val="000000"/>
        </w:rPr>
      </w:pPr>
      <w:r>
        <w:rPr>
          <w:rFonts w:hint="eastAsia"/>
          <w:color w:val="000000"/>
        </w:rPr>
        <w:t>本条例所称重大新兴产业专项，是指发展潜力巨大、掌握关键核心技术、即将实现产业化的前沿性和先导性产业，通过五年左右的努力，能将核心技术转化为产业成果，能够培育成对本省产业转型升级具有重大引领带动作用的战略性新兴产业。</w:t>
      </w:r>
    </w:p>
    <w:p>
      <w:pPr>
        <w:pStyle w:val="Normal"/>
        <w:ind w:firstLineChars="200" w:startChars="0" w:start="0" w:endChars="0" w:end="0"/>
        <w:rPr>
          <w:color w:val="000000"/>
        </w:rPr>
      </w:pPr>
      <w:r>
        <w:rPr>
          <w:rFonts w:hint="eastAsia"/>
          <w:color w:val="000000"/>
        </w:rPr>
        <w:t>本条例所称重点领域，是指新一代信息技术、高端装备和新材料、生物和大健康、绿色低碳、信息经济等领域。</w:t>
      </w:r>
    </w:p>
    <w:p>
      <w:pPr>
        <w:pStyle w:val="Normal"/>
        <w:ind w:firstLineChars="200" w:startChars="0" w:start="0" w:endChars="0" w:end="0"/>
        <w:rPr>
          <w:color w:val="000000"/>
        </w:rPr>
      </w:pPr>
      <w:r>
        <w:rPr>
          <w:rFonts w:hint="eastAsia" w:eastAsia="黑体;SimHei"/>
          <w:color w:val="000000"/>
        </w:rPr>
        <w:t>第六十四条</w:t>
      </w:r>
      <w:r>
        <w:rPr>
          <w:rFonts w:eastAsia="黑体;SimHei"/>
          <w:color w:val="000000"/>
        </w:rPr>
        <w:t xml:space="preserve"> </w:t>
      </w:r>
      <w:r>
        <w:rPr>
          <w:color w:val="000000"/>
        </w:rPr>
        <w:t xml:space="preserve"> </w:t>
      </w:r>
      <w:r>
        <w:rPr>
          <w:rFonts w:hint="eastAsia"/>
          <w:color w:val="000000"/>
        </w:rPr>
        <w:t>本条例自</w:t>
      </w:r>
      <w:r>
        <w:rPr>
          <w:color w:val="000000"/>
        </w:rPr>
        <w:t>2017</w:t>
      </w:r>
      <w:r>
        <w:rPr>
          <w:rFonts w:hint="eastAsia"/>
          <w:color w:val="000000"/>
        </w:rPr>
        <w:t>年</w:t>
      </w:r>
      <w:r>
        <w:rPr>
          <w:color w:val="000000"/>
        </w:rPr>
        <w:t>7</w:t>
      </w:r>
      <w:r>
        <w:rPr>
          <w:rFonts w:hint="eastAsia"/>
          <w:color w:val="000000"/>
        </w:rPr>
        <w:t>月</w:t>
      </w:r>
      <w:r>
        <w:rPr>
          <w:color w:val="000000"/>
        </w:rPr>
        <w:t>1</w:t>
      </w:r>
      <w:r>
        <w:rPr>
          <w:rFonts w:hint="eastAsia"/>
          <w:color w:val="000000"/>
        </w:rPr>
        <w:t>日起施行。</w:t>
      </w:r>
    </w:p>
    <w:p>
      <w:pPr>
        <w:pStyle w:val="Normal"/>
        <w:ind w:firstLineChars="0" w:firstLine="0" w:startChars="0" w:start="0" w:endChars="517"/>
        <w:rPr>
          <w:rFonts w:hint="eastAsia"/>
          <w:color w:val="000000"/>
        </w:rPr>
      </w:pPr>
      <w:r>
        <w:rPr>
          <w:rFonts w:hint="eastAsia"/>
          <w:color w:val="000000"/>
        </w:rPr>
      </w:r>
    </w:p>
    <w:p>
      <w:pPr>
        <w:pStyle w:val="Normal"/>
        <w:spacing w:lineRule="exact" w:line="620"/>
        <w:rPr>
          <w:rFonts w:hint="eastAsia"/>
        </w:rPr>
      </w:pPr>
      <w:r>
        <w:rPr>
          <w:rFonts w:hint="eastAsia"/>
        </w:rPr>
      </w:r>
    </w:p>
    <w:sectPr>
      <w:footerReference w:type="default" r:id="rId2"/>
      <w:type w:val="nextPage"/>
      <w:pgSz w:w="11906" w:h="16838"/>
      <w:pgMar w:left="1531" w:right="1531" w:gutter="0" w:header="0" w:top="1871" w:footer="1531"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20</w:t>
                          </w:r>
                          <w:r>
                            <w:rP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20</w:t>
                    </w:r>
                    <w:r>
                      <w:rP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Char">
    <w:name w:val=" Char Char"/>
    <w:basedOn w:val="Style14"/>
    <w:qFormat/>
    <w:rPr>
      <w:rFonts w:eastAsia="仿宋_GB2312"/>
      <w:kern w:val="2"/>
      <w:sz w:val="18"/>
      <w:szCs w:val="18"/>
      <w:lang w:bidi="ar-SA"/>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2015-12-23T15:02:00Z</dcterms:created>
  <dc:creator>汪红</dc:creator>
  <dc:description/>
  <cp:keywords/>
  <dc:language>en-US</dc:language>
  <cp:lastModifiedBy>段铭</cp:lastModifiedBy>
  <cp:lastPrinted>2015-12-23T14:51:00Z</cp:lastPrinted>
  <dcterms:modified xsi:type="dcterms:W3CDTF">2017-06-08T15:24:00Z</dcterms:modified>
  <cp:revision>3</cp:revision>
  <dc:subject/>
  <dc:title>安徽省实施宪法宣誓制度办法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