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合肥市燃放烟花爆竹管理规定</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《合肥市燃放烟花爆竹管理规定》</w:t>
      </w:r>
      <w:r>
        <w:rPr>
          <w:rFonts w:ascii="仿宋_GB2312" w:hAnsi="仿宋_GB2312"/>
          <w:color w:val="000000"/>
        </w:rPr>
        <w:t>，决定予以批准，由</w:t>
      </w:r>
      <w:r>
        <w:rPr>
          <w:rFonts w:ascii="仿宋_GB2312" w:hAnsi="仿宋_GB2312" w:hint="eastAsia"/>
          <w:color w:val="000000"/>
        </w:rPr>
        <w:t>合肥</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jc w:val="center"/>
        <w:rPr>
          <w:rFonts w:eastAsia="方正小标宋简体" w:hint="eastAsia"/>
          <w:color w:val="000000"/>
          <w:sz w:val="44"/>
          <w:szCs w:val="44"/>
        </w:rPr>
      </w:pPr>
      <w:r>
        <w:rPr>
          <w:rFonts w:eastAsia="方正小标宋简体" w:hint="eastAsia"/>
          <w:color w:val="000000"/>
          <w:sz w:val="44"/>
          <w:szCs w:val="44"/>
        </w:rPr>
      </w:r>
    </w:p>
    <w:p>
      <w:pPr>
        <w:pStyle w:val="0"/>
        <w:snapToGrid w:val="false"/>
        <w:spacing w:lineRule="exact" w:line="592"/>
        <w:jc w:val="center"/>
        <w:rPr>
          <w:rFonts w:ascii="Times New Roman" w:hAnsi="Times New Roman" w:eastAsia="方正小标宋简体" w:cs="Times New Roman" w:hint="eastAsia"/>
          <w:sz w:val="44"/>
          <w:szCs w:val="44"/>
        </w:rPr>
      </w:pPr>
      <w:r>
        <w:rPr>
          <w:rFonts w:ascii="Times New Roman" w:hAnsi="Times New Roman" w:hint="eastAsia" w:eastAsia="方正小标宋简体"/>
          <w:sz w:val="44"/>
          <w:szCs w:val="44"/>
        </w:rPr>
        <w:t>合肥市燃放烟花爆竹管理规定</w:t>
      </w:r>
    </w:p>
    <w:p>
      <w:pPr>
        <w:pStyle w:val="Normal"/>
        <w:jc w:val="center"/>
        <w:rPr>
          <w:rFonts w:ascii="Times New Roman" w:hAnsi="Times New Roman" w:eastAsia="方正小标宋简体" w:cs="Times New Roman" w:hint="eastAsia"/>
          <w:sz w:val="44"/>
          <w:szCs w:val="44"/>
        </w:rPr>
      </w:pPr>
      <w:r>
        <w:rPr>
          <w:rFonts w:eastAsia="方正小标宋简体" w:cs="Times New Roman" w:hint="eastAsia"/>
          <w:sz w:val="44"/>
          <w:szCs w:val="44"/>
        </w:rPr>
      </w:r>
    </w:p>
    <w:p>
      <w:pPr>
        <w:pStyle w:val="Normal"/>
        <w:ind w:firstLineChars="200" w:startChars="0" w:start="0" w:endChars="0" w:end="0"/>
        <w:rPr>
          <w:spacing w:val="-4"/>
        </w:rPr>
      </w:pPr>
      <w:r>
        <w:rPr>
          <w:rFonts w:cs="Calibri" w:hint="eastAsia" w:eastAsia="楷体_GB2312"/>
          <w:spacing w:val="-4"/>
        </w:rPr>
        <w:t>（</w:t>
      </w:r>
      <w:r>
        <w:rPr>
          <w:rFonts w:eastAsia="楷体_GB2312" w:hint="eastAsia"/>
          <w:bCs/>
          <w:spacing w:val="-4"/>
        </w:rPr>
        <w:t>2011</w:t>
      </w:r>
      <w:r>
        <w:rPr>
          <w:rFonts w:hint="eastAsia" w:eastAsia="楷体_GB2312"/>
          <w:bCs/>
          <w:spacing w:val="-4"/>
        </w:rPr>
        <w:t>年</w:t>
      </w:r>
      <w:r>
        <w:rPr>
          <w:rFonts w:eastAsia="楷体_GB2312" w:hint="eastAsia"/>
          <w:bCs/>
          <w:spacing w:val="-4"/>
        </w:rPr>
        <w:t>6</w:t>
      </w:r>
      <w:r>
        <w:rPr>
          <w:rFonts w:hint="eastAsia" w:eastAsia="楷体_GB2312"/>
          <w:bCs/>
          <w:spacing w:val="-4"/>
        </w:rPr>
        <w:t>月</w:t>
      </w:r>
      <w:r>
        <w:rPr>
          <w:rFonts w:eastAsia="楷体_GB2312" w:hint="eastAsia"/>
          <w:bCs/>
          <w:spacing w:val="-4"/>
        </w:rPr>
        <w:t>30</w:t>
      </w:r>
      <w:r>
        <w:rPr>
          <w:rFonts w:hint="eastAsia" w:eastAsia="楷体_GB2312"/>
          <w:bCs/>
          <w:spacing w:val="-4"/>
        </w:rPr>
        <w:t xml:space="preserve">日合肥市第十四届人民代表大会常务委员会第二十五次会议通过  </w:t>
      </w:r>
      <w:r>
        <w:rPr>
          <w:rFonts w:eastAsia="楷体_GB2312" w:hint="eastAsia"/>
          <w:bCs/>
          <w:spacing w:val="-4"/>
        </w:rPr>
        <w:t>2011</w:t>
      </w:r>
      <w:r>
        <w:rPr>
          <w:rFonts w:hint="eastAsia" w:eastAsia="楷体_GB2312"/>
          <w:bCs/>
          <w:spacing w:val="-4"/>
        </w:rPr>
        <w:t>年</w:t>
      </w:r>
      <w:r>
        <w:rPr>
          <w:rFonts w:eastAsia="楷体_GB2312" w:hint="eastAsia"/>
          <w:bCs/>
          <w:spacing w:val="-4"/>
        </w:rPr>
        <w:t>8</w:t>
      </w:r>
      <w:r>
        <w:rPr>
          <w:rFonts w:hint="eastAsia" w:eastAsia="楷体_GB2312"/>
          <w:bCs/>
          <w:spacing w:val="-4"/>
        </w:rPr>
        <w:t>月</w:t>
      </w:r>
      <w:r>
        <w:rPr>
          <w:rFonts w:eastAsia="楷体_GB2312" w:hint="eastAsia"/>
          <w:bCs/>
          <w:spacing w:val="-4"/>
        </w:rPr>
        <w:t>19</w:t>
      </w:r>
      <w:r>
        <w:rPr>
          <w:rFonts w:hint="eastAsia" w:eastAsia="楷体_GB2312"/>
          <w:bCs/>
          <w:spacing w:val="-4"/>
        </w:rPr>
        <w:t xml:space="preserve">日安徽省第十一届人民代表大会常务委员会第二十七次会议批准  </w:t>
      </w:r>
      <w:r>
        <w:rPr>
          <w:rFonts w:eastAsia="楷体_GB2312" w:hint="eastAsia"/>
          <w:bCs/>
          <w:spacing w:val="-4"/>
        </w:rPr>
        <w:t>2017</w:t>
      </w:r>
      <w:r>
        <w:rPr>
          <w:rFonts w:hint="eastAsia" w:eastAsia="楷体_GB2312"/>
          <w:bCs/>
          <w:spacing w:val="-4"/>
        </w:rPr>
        <w:t>年</w:t>
      </w:r>
      <w:r>
        <w:rPr>
          <w:rFonts w:eastAsia="楷体_GB2312" w:hint="eastAsia"/>
          <w:bCs/>
          <w:spacing w:val="-4"/>
        </w:rPr>
        <w:t>8</w:t>
      </w:r>
      <w:r>
        <w:rPr>
          <w:rFonts w:hint="eastAsia" w:eastAsia="楷体_GB2312"/>
          <w:bCs/>
          <w:spacing w:val="-4"/>
        </w:rPr>
        <w:t>月</w:t>
      </w:r>
      <w:r>
        <w:rPr>
          <w:rFonts w:eastAsia="楷体_GB2312" w:hint="eastAsia"/>
          <w:bCs/>
          <w:spacing w:val="-4"/>
        </w:rPr>
        <w:t>31</w:t>
      </w:r>
      <w:r>
        <w:rPr>
          <w:rFonts w:hint="eastAsia" w:eastAsia="楷体_GB2312"/>
          <w:bCs/>
          <w:spacing w:val="-4"/>
        </w:rPr>
        <w:t xml:space="preserve">日合肥市第十五届人民代表大会常务委员会第三十五次会议修订通过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cs="Calibri" w:hint="eastAsia" w:eastAsia="楷体_GB2312"/>
          <w:spacing w:val="-4"/>
        </w:rPr>
        <w:t>）</w:t>
      </w:r>
    </w:p>
    <w:p>
      <w:pPr>
        <w:pStyle w:val="Normal"/>
        <w:ind w:firstLineChars="200" w:startChars="0" w:start="0" w:endChars="0" w:end="0"/>
        <w:rPr>
          <w:rFonts w:hint="eastAsia"/>
          <w:spacing w:val="-4"/>
        </w:rPr>
      </w:pPr>
      <w:r>
        <w:rPr>
          <w:rFonts w:hint="eastAsia"/>
          <w:spacing w:val="-4"/>
        </w:rPr>
      </w:r>
    </w:p>
    <w:p>
      <w:pPr>
        <w:pStyle w:val="Normal"/>
        <w:ind w:firstLineChars="200" w:startChars="0" w:start="0" w:endChars="0" w:end="0"/>
        <w:rPr/>
      </w:pPr>
      <w:r>
        <w:rPr>
          <w:rFonts w:cs="Calibri" w:hint="eastAsia" w:eastAsia="黑体;SimHei"/>
        </w:rPr>
        <w:t>第一条</w:t>
      </w:r>
      <w:r>
        <w:rPr>
          <w:rFonts w:hint="eastAsia" w:eastAsia="黑体;SimHei"/>
        </w:rPr>
        <w:t xml:space="preserve">  </w:t>
      </w:r>
      <w:r>
        <w:rPr>
          <w:rFonts w:cs="Calibri" w:hint="eastAsia"/>
        </w:rPr>
        <w:t>为了加强燃放烟花爆竹安全管理，改善环境质量，保障公共安全和公民人身、财产的安全，根据国务院《烟花爆竹安全管理条例》和有关</w:t>
      </w:r>
      <w:hyperlink r:id="rId2">
        <w:r>
          <w:rPr>
            <w:rStyle w:val="Hyperlink"/>
            <w:rFonts w:cs="Calibri" w:hint="eastAsia"/>
          </w:rPr>
          <w:t>法律</w:t>
        </w:r>
      </w:hyperlink>
      <w:r>
        <w:rPr>
          <w:rFonts w:cs="Calibri" w:hint="eastAsia"/>
        </w:rPr>
        <w:t>、行政</w:t>
      </w:r>
      <w:hyperlink r:id="rId3">
        <w:r>
          <w:rPr>
            <w:rStyle w:val="Hyperlink"/>
            <w:rFonts w:cs="Calibri" w:hint="eastAsia"/>
          </w:rPr>
          <w:t>法规</w:t>
        </w:r>
      </w:hyperlink>
      <w:r>
        <w:rPr>
          <w:rFonts w:cs="Calibri" w:hint="eastAsia"/>
        </w:rPr>
        <w:t>的规定，结合本市实际，制定本规定。</w:t>
      </w:r>
    </w:p>
    <w:p>
      <w:pPr>
        <w:pStyle w:val="Normal"/>
        <w:ind w:firstLineChars="200" w:startChars="0" w:start="0" w:endChars="0" w:end="0"/>
        <w:rPr>
          <w:rFonts w:hint="eastAsia"/>
        </w:rPr>
      </w:pPr>
      <w:r>
        <w:rPr>
          <w:rFonts w:cs="Calibri" w:hint="eastAsia" w:eastAsia="黑体;SimHei"/>
        </w:rPr>
        <w:t>第二条</w:t>
      </w:r>
      <w:r>
        <w:rPr>
          <w:rFonts w:hint="eastAsia" w:eastAsia="黑体;SimHei"/>
        </w:rPr>
        <w:t xml:space="preserve">  </w:t>
      </w:r>
      <w:r>
        <w:rPr>
          <w:rFonts w:cs="Calibri" w:hint="eastAsia"/>
        </w:rPr>
        <w:t>本规定适用于本市行政区域燃放烟花爆竹及其相关安全管理工作。</w:t>
      </w:r>
    </w:p>
    <w:p>
      <w:pPr>
        <w:pStyle w:val="Normal"/>
        <w:ind w:firstLineChars="200" w:startChars="0" w:start="0" w:endChars="0" w:end="0"/>
        <w:rPr>
          <w:rFonts w:hint="eastAsia"/>
        </w:rPr>
      </w:pPr>
      <w:r>
        <w:rPr>
          <w:rFonts w:cs="Calibri" w:hint="eastAsia" w:eastAsia="黑体;SimHei"/>
        </w:rPr>
        <w:t>第三条</w:t>
      </w:r>
      <w:r>
        <w:rPr>
          <w:rFonts w:hint="eastAsia" w:eastAsia="黑体;SimHei"/>
        </w:rPr>
        <w:t xml:space="preserve">  </w:t>
      </w:r>
      <w:r>
        <w:rPr>
          <w:rFonts w:cs="Calibri" w:hint="eastAsia"/>
          <w:szCs w:val="22"/>
        </w:rPr>
        <w:t>市人民政府</w:t>
      </w:r>
      <w:r>
        <w:rPr>
          <w:rFonts w:cs="Calibri" w:hint="eastAsia"/>
        </w:rPr>
        <w:t>应当加强全市燃放烟花爆竹安全管理工作，建立燃放烟花爆竹安全管理联席会议制度，强化联防联控长效工作机制，完善燃放烟花爆竹安全管理工作责任制及考核问责机制，并将燃放烟花爆竹安全管理作为文明创建和社会治安综合治理的重要内容，纳入政府目标管理考核范围。</w:t>
      </w:r>
    </w:p>
    <w:p>
      <w:pPr>
        <w:pStyle w:val="Normal"/>
        <w:ind w:firstLineChars="200" w:startChars="0" w:start="0" w:endChars="0" w:end="0"/>
        <w:rPr>
          <w:rFonts w:hint="eastAsia"/>
        </w:rPr>
      </w:pPr>
      <w:r>
        <w:rPr>
          <w:rFonts w:cs="Calibri" w:hint="eastAsia"/>
        </w:rPr>
        <w:t>县（市、区）人民政府负责本辖区燃放烟花爆竹安全管理工作，督促有关部门依法履行燃放烟花爆竹安全管理职责。</w:t>
      </w:r>
    </w:p>
    <w:p>
      <w:pPr>
        <w:pStyle w:val="Normal"/>
        <w:ind w:firstLineChars="200" w:startChars="0" w:start="0" w:endChars="0" w:end="0"/>
        <w:rPr>
          <w:rFonts w:hint="eastAsia"/>
        </w:rPr>
      </w:pPr>
      <w:r>
        <w:rPr>
          <w:rFonts w:cs="Calibri" w:hint="eastAsia"/>
        </w:rPr>
        <w:t>乡（镇）人民政府、街道办事处应当将燃放烟花爆竹安全管理纳入基层社会治安综合治理工作，加强组织协调和指导监督。</w:t>
      </w:r>
    </w:p>
    <w:p>
      <w:pPr>
        <w:pStyle w:val="Normal"/>
        <w:ind w:firstLineChars="200" w:startChars="0" w:start="0" w:endChars="0" w:end="0"/>
        <w:rPr>
          <w:rFonts w:eastAsia="黑体;SimHei"/>
          <w:u w:val="double"/>
        </w:rPr>
      </w:pPr>
      <w:r>
        <w:rPr>
          <w:rFonts w:cs="Calibri" w:hint="eastAsia"/>
        </w:rPr>
        <w:t>高新技术产业开发区、经济技术开发区、新站高新技术产业开发区、合肥巢湖经济开发区管理委员会应当按照市人民政府的要求做好本辖区燃放烟花爆竹安全管理等相关工作。</w:t>
      </w:r>
    </w:p>
    <w:p>
      <w:pPr>
        <w:pStyle w:val="Normal"/>
        <w:ind w:firstLineChars="200" w:startChars="0" w:start="0" w:endChars="0" w:end="0"/>
        <w:rPr>
          <w:rFonts w:hint="eastAsia"/>
        </w:rPr>
      </w:pPr>
      <w:r>
        <w:rPr>
          <w:rFonts w:cs="Calibri" w:hint="eastAsia" w:eastAsia="黑体;SimHei"/>
        </w:rPr>
        <w:t>第四条</w:t>
      </w:r>
      <w:r>
        <w:rPr>
          <w:rFonts w:hint="eastAsia" w:eastAsia="黑体;SimHei"/>
        </w:rPr>
        <w:t xml:space="preserve">  </w:t>
      </w:r>
      <w:r>
        <w:rPr>
          <w:rFonts w:cs="Calibri" w:hint="eastAsia"/>
        </w:rPr>
        <w:t>公安机关是燃放烟花爆竹安全管理的行政主管部门，负责燃放烟花爆竹的公共安全管理，应当依法查处未经许可运输以及违法燃放烟花爆竹的行为，并会同有关部门建立联合执法和案件移送制度，及时发现和查处有关违法行为。</w:t>
      </w:r>
    </w:p>
    <w:p>
      <w:pPr>
        <w:pStyle w:val="Normal"/>
        <w:ind w:firstLineChars="200" w:startChars="0" w:start="0" w:endChars="0" w:end="0"/>
        <w:rPr>
          <w:rFonts w:hint="eastAsia"/>
        </w:rPr>
      </w:pPr>
      <w:r>
        <w:rPr>
          <w:rFonts w:cs="Calibri" w:hint="eastAsia"/>
        </w:rPr>
        <w:t>安全生产监督管理部门负责烟花爆竹的安全生产监督管理，应当依法查处非法生产、经营烟花爆竹的行为。</w:t>
      </w:r>
    </w:p>
    <w:p>
      <w:pPr>
        <w:pStyle w:val="Normal"/>
        <w:ind w:firstLineChars="200" w:startChars="0" w:start="0" w:endChars="0" w:end="0"/>
        <w:rPr>
          <w:rFonts w:cs="Calibri" w:hint="eastAsia"/>
        </w:rPr>
      </w:pPr>
      <w:r>
        <w:rPr>
          <w:rFonts w:cs="Calibri" w:hint="eastAsia"/>
        </w:rPr>
        <w:t>城市管理部门应当依法查处流动兜售烟花爆竹摊点以及燃放烟花爆竹影响环境卫生、毁坏城市绿化和市政设施等行为。</w:t>
      </w:r>
    </w:p>
    <w:p>
      <w:pPr>
        <w:pStyle w:val="Normal"/>
        <w:ind w:firstLineChars="200" w:startChars="0" w:start="0" w:endChars="0" w:end="0"/>
        <w:rPr>
          <w:rFonts w:cs="Calibri" w:hint="eastAsia"/>
        </w:rPr>
      </w:pPr>
      <w:r>
        <w:rPr>
          <w:rFonts w:cs="Calibri" w:hint="eastAsia"/>
        </w:rPr>
        <w:t>城乡建设部门应当督促建设、施工等单位遵守燃放烟花爆竹安全管理规定。</w:t>
      </w:r>
    </w:p>
    <w:p>
      <w:pPr>
        <w:pStyle w:val="Normal"/>
        <w:ind w:firstLineChars="200" w:startChars="0" w:start="0" w:endChars="0" w:end="0"/>
        <w:rPr>
          <w:rFonts w:hint="eastAsia"/>
          <w:spacing w:val="-4"/>
        </w:rPr>
      </w:pPr>
      <w:r>
        <w:rPr>
          <w:rFonts w:cs="Calibri" w:hint="eastAsia"/>
          <w:spacing w:val="-4"/>
        </w:rPr>
        <w:t>房地产管理部门应当督促物业服务企业做好服务区域燃放烟花爆竹安全管理以及违反规定燃放烟花爆竹的劝阻和举报工作。</w:t>
      </w:r>
    </w:p>
    <w:p>
      <w:pPr>
        <w:pStyle w:val="Normal"/>
        <w:ind w:firstLineChars="200" w:startChars="0" w:start="0" w:endChars="0" w:end="0"/>
        <w:rPr>
          <w:rFonts w:hint="eastAsia"/>
        </w:rPr>
      </w:pPr>
      <w:r>
        <w:rPr>
          <w:rFonts w:cs="Calibri" w:hint="eastAsia"/>
        </w:rPr>
        <w:t>民政部门应当指导婚姻登记、殡仪馆、陵园等单位开展宣传，引导婚丧嫁娶活动遵守燃放烟花爆竹安全管理规定。</w:t>
      </w:r>
    </w:p>
    <w:p>
      <w:pPr>
        <w:pStyle w:val="Normal"/>
        <w:ind w:firstLineChars="200" w:startChars="0" w:start="0" w:endChars="0" w:end="0"/>
        <w:rPr>
          <w:rFonts w:hint="eastAsia"/>
        </w:rPr>
      </w:pPr>
      <w:r>
        <w:rPr>
          <w:rFonts w:cs="Calibri" w:hint="eastAsia"/>
        </w:rPr>
        <w:t>交通运输、工商行政管理、质量技术监督等部门应当在各自职责范围内，协同做好燃放烟花爆竹安全管理相关工作。</w:t>
      </w:r>
    </w:p>
    <w:p>
      <w:pPr>
        <w:pStyle w:val="Normal"/>
        <w:ind w:firstLineChars="200" w:startChars="0" w:start="0" w:endChars="0" w:end="0"/>
        <w:rPr>
          <w:rFonts w:hint="eastAsia"/>
        </w:rPr>
      </w:pPr>
      <w:r>
        <w:rPr>
          <w:rFonts w:cs="Calibri" w:hint="eastAsia" w:eastAsia="黑体;SimHei"/>
        </w:rPr>
        <w:t>第五条</w:t>
      </w:r>
      <w:r>
        <w:rPr>
          <w:rFonts w:hint="eastAsia" w:eastAsia="黑体;SimHei"/>
        </w:rPr>
        <w:t xml:space="preserve">  </w:t>
      </w:r>
      <w:r>
        <w:rPr>
          <w:rFonts w:cs="Calibri" w:hint="eastAsia"/>
        </w:rPr>
        <w:t>机关、企事业单位、社会团体、其他组织，是本单位燃放烟花爆竹安全管理的责任主体，应当做好本单位燃放烟花爆竹安全管理工作。</w:t>
      </w:r>
    </w:p>
    <w:p>
      <w:pPr>
        <w:pStyle w:val="Normal"/>
        <w:ind w:firstLineChars="200" w:startChars="0" w:start="0" w:endChars="0" w:end="0"/>
        <w:rPr>
          <w:rFonts w:hint="eastAsia"/>
        </w:rPr>
      </w:pPr>
      <w:r>
        <w:rPr>
          <w:rFonts w:cs="Calibri" w:hint="eastAsia"/>
        </w:rPr>
        <w:t>居（村）民委员会、业主委员会、物业服务企业应当加强日常宣传、引导、监督，发现和劝阻违法燃放行为，可以组织属地管理或者服务区域的居民、村民、单位以及宾馆、酒店等单位，制定燃放烟花爆竹安全管理公约，并监督实施。</w:t>
      </w:r>
    </w:p>
    <w:p>
      <w:pPr>
        <w:pStyle w:val="Normal"/>
        <w:ind w:firstLineChars="200" w:startChars="0" w:start="0" w:endChars="0" w:end="0"/>
        <w:rPr>
          <w:rFonts w:hint="eastAsia"/>
        </w:rPr>
      </w:pPr>
      <w:r>
        <w:rPr>
          <w:rFonts w:cs="Calibri" w:hint="eastAsia"/>
        </w:rPr>
        <w:t>居（村）民委员会、业主委员会、物业服务企业以及宾馆、酒店等单位，对属地管理或者服务区域违反规定燃放烟花爆竹的行为，应当及时予以劝阻，或者向公安机关举报。</w:t>
      </w:r>
    </w:p>
    <w:p>
      <w:pPr>
        <w:pStyle w:val="Normal"/>
        <w:ind w:firstLineChars="200" w:startChars="0" w:start="0" w:endChars="0" w:end="0"/>
        <w:rPr/>
      </w:pPr>
      <w:r>
        <w:rPr>
          <w:rFonts w:cs="Calibri" w:hint="eastAsia" w:eastAsia="黑体;SimHei"/>
        </w:rPr>
        <w:t>第六条</w:t>
      </w:r>
      <w:r>
        <w:rPr>
          <w:rFonts w:hint="eastAsia" w:eastAsia="黑体;SimHei"/>
        </w:rPr>
        <w:t xml:space="preserve">  </w:t>
      </w:r>
      <w:r>
        <w:rPr>
          <w:rFonts w:cs="Calibri" w:hint="eastAsia"/>
        </w:rPr>
        <w:t>市、县（市、区）、乡镇人民政府及其有关部门、街道办事处、居（村）民委员会，以及企事业单位、社会团体应当定期组织开展燃放烟花爆竹安全管理的宣传。</w:t>
      </w:r>
    </w:p>
    <w:p>
      <w:pPr>
        <w:pStyle w:val="Normal"/>
        <w:ind w:firstLineChars="200" w:startChars="0" w:start="0" w:endChars="0" w:end="0"/>
        <w:rPr>
          <w:rFonts w:hint="eastAsia"/>
          <w:bCs/>
        </w:rPr>
      </w:pPr>
      <w:r>
        <w:rPr>
          <w:rFonts w:cs="Calibri" w:hint="eastAsia"/>
        </w:rPr>
        <w:t>广播、电视、报刊、网络等媒体</w:t>
      </w:r>
      <w:r>
        <w:rPr>
          <w:rFonts w:cs="Calibri" w:hint="eastAsia"/>
          <w:bCs/>
        </w:rPr>
        <w:t>应当定期开展燃放烟花爆竹安全管理和移风易俗的公益宣传。</w:t>
      </w:r>
    </w:p>
    <w:p>
      <w:pPr>
        <w:pStyle w:val="Normal"/>
        <w:ind w:firstLineChars="200" w:startChars="0" w:start="0" w:endChars="0" w:end="0"/>
        <w:rPr>
          <w:rFonts w:hint="eastAsia"/>
        </w:rPr>
      </w:pPr>
      <w:r>
        <w:rPr>
          <w:rFonts w:cs="Calibri" w:hint="eastAsia"/>
          <w:bCs/>
        </w:rPr>
        <w:t>学校和未成年人的监护人应</w:t>
      </w:r>
      <w:r>
        <w:rPr>
          <w:rFonts w:cs="Calibri" w:hint="eastAsia"/>
        </w:rPr>
        <w:t>当加强对学生、未成年人燃放烟花爆竹安全的教育和监管。</w:t>
      </w:r>
    </w:p>
    <w:p>
      <w:pPr>
        <w:pStyle w:val="Normal"/>
        <w:ind w:firstLineChars="200" w:startChars="0" w:start="0" w:endChars="0" w:end="0"/>
        <w:rPr>
          <w:rFonts w:hint="eastAsia"/>
        </w:rPr>
      </w:pPr>
      <w:r>
        <w:rPr>
          <w:rFonts w:cs="Calibri" w:hint="eastAsia" w:eastAsia="黑体;SimHei"/>
        </w:rPr>
        <w:t>第七条</w:t>
      </w:r>
      <w:r>
        <w:rPr>
          <w:rFonts w:hint="eastAsia" w:eastAsia="黑体;SimHei"/>
        </w:rPr>
        <w:t xml:space="preserve">  </w:t>
      </w:r>
      <w:r>
        <w:rPr>
          <w:rFonts w:cs="Calibri" w:hint="eastAsia"/>
        </w:rPr>
        <w:t>瑶海区、庐阳区、蜀山区、包河区、高新技术产业开发区、经济技术开发区、新站高新技术产业开发区、合肥巢湖经济开发区禁止燃放烟花爆竹。</w:t>
      </w:r>
    </w:p>
    <w:p>
      <w:pPr>
        <w:pStyle w:val="Normal"/>
        <w:ind w:firstLineChars="200" w:startChars="0" w:start="0" w:endChars="0" w:end="0"/>
        <w:rPr>
          <w:rFonts w:hint="eastAsia"/>
        </w:rPr>
      </w:pPr>
      <w:r>
        <w:rPr>
          <w:rFonts w:cs="Calibri" w:hint="eastAsia"/>
        </w:rPr>
        <w:t>肥东县、肥西县、长丰县、庐江县、巢湖市人民政府应当确定并公布禁止或者限制燃放烟花爆竹的区域。</w:t>
      </w:r>
    </w:p>
    <w:p>
      <w:pPr>
        <w:pStyle w:val="Normal"/>
        <w:ind w:firstLineChars="200" w:startChars="0" w:start="0" w:endChars="0" w:end="0"/>
        <w:rPr>
          <w:rFonts w:hint="eastAsia"/>
        </w:rPr>
      </w:pPr>
      <w:r>
        <w:rPr>
          <w:rFonts w:cs="黑体;SimHei" w:hint="eastAsia" w:eastAsia="黑体;SimHei"/>
        </w:rPr>
        <w:t>第八条　</w:t>
      </w:r>
      <w:r>
        <w:rPr>
          <w:rFonts w:cs="Calibri" w:hint="eastAsia"/>
        </w:rPr>
        <w:t>禁止燃放烟花爆竹区域外，下列场所禁止燃放烟花爆竹：</w:t>
      </w:r>
    </w:p>
    <w:p>
      <w:pPr>
        <w:pStyle w:val="Normal"/>
        <w:ind w:firstLineChars="200" w:startChars="0" w:start="0" w:endChars="0" w:end="0"/>
        <w:rPr>
          <w:rFonts w:hint="eastAsia"/>
        </w:rPr>
      </w:pPr>
      <w:r>
        <w:rPr>
          <w:rFonts w:cs="Calibri" w:hint="eastAsia"/>
        </w:rPr>
        <w:t>（一）国家机关；</w:t>
      </w:r>
    </w:p>
    <w:p>
      <w:pPr>
        <w:pStyle w:val="Normal"/>
        <w:ind w:firstLineChars="200" w:startChars="0" w:start="0" w:endChars="0" w:end="0"/>
        <w:rPr>
          <w:rFonts w:hint="eastAsia"/>
        </w:rPr>
      </w:pPr>
      <w:r>
        <w:rPr>
          <w:rFonts w:cs="Calibri" w:hint="eastAsia"/>
        </w:rPr>
        <w:t>（二）文物保护单位；</w:t>
      </w:r>
    </w:p>
    <w:p>
      <w:pPr>
        <w:pStyle w:val="Normal"/>
        <w:ind w:firstLineChars="200" w:startChars="0" w:start="0" w:endChars="0" w:end="0"/>
        <w:rPr>
          <w:rFonts w:hint="eastAsia"/>
        </w:rPr>
      </w:pPr>
      <w:r>
        <w:rPr>
          <w:rFonts w:cs="Calibri" w:hint="eastAsia"/>
        </w:rPr>
        <w:t>（三）交通枢纽及城市主干道、</w:t>
      </w:r>
      <w:r>
        <w:rPr>
          <w:rFonts w:cs="仿宋" w:hint="eastAsia"/>
        </w:rPr>
        <w:t>轨道交通设施、</w:t>
      </w:r>
      <w:r>
        <w:rPr>
          <w:rFonts w:cs="Calibri" w:hint="eastAsia"/>
        </w:rPr>
        <w:t>铁路线路安全保护区内；</w:t>
      </w:r>
    </w:p>
    <w:p>
      <w:pPr>
        <w:pStyle w:val="Normal"/>
        <w:ind w:firstLineChars="200" w:startChars="0" w:start="0" w:endChars="0" w:end="0"/>
        <w:rPr>
          <w:rFonts w:hint="eastAsia"/>
        </w:rPr>
      </w:pPr>
      <w:r>
        <w:rPr>
          <w:rFonts w:cs="Calibri" w:hint="eastAsia"/>
        </w:rPr>
        <w:t>（四）易燃易爆等危险物品生产、储存、经营单位及周边一百米范围内；</w:t>
      </w:r>
    </w:p>
    <w:p>
      <w:pPr>
        <w:pStyle w:val="Normal"/>
        <w:ind w:firstLineChars="200" w:startChars="0" w:start="0" w:endChars="0" w:end="0"/>
        <w:rPr>
          <w:rFonts w:hint="eastAsia"/>
        </w:rPr>
      </w:pPr>
      <w:r>
        <w:rPr>
          <w:rFonts w:cs="Calibri" w:hint="eastAsia"/>
        </w:rPr>
        <w:t>（五）输变电设施安全保护区内；</w:t>
      </w:r>
    </w:p>
    <w:p>
      <w:pPr>
        <w:pStyle w:val="Normal"/>
        <w:ind w:firstLineChars="200" w:startChars="0" w:start="0" w:endChars="0" w:end="0"/>
        <w:rPr>
          <w:rFonts w:hint="eastAsia"/>
        </w:rPr>
      </w:pPr>
      <w:r>
        <w:rPr>
          <w:rFonts w:cs="Calibri" w:hint="eastAsia"/>
        </w:rPr>
        <w:t>（六）医疗机构、养老机构、学校、图书馆、档案馆、博物馆、儿童活动场所等及其周边；</w:t>
      </w:r>
    </w:p>
    <w:p>
      <w:pPr>
        <w:pStyle w:val="Normal"/>
        <w:ind w:firstLineChars="200" w:startChars="0" w:start="0" w:endChars="0" w:end="0"/>
        <w:rPr>
          <w:rFonts w:hint="eastAsia"/>
        </w:rPr>
      </w:pPr>
      <w:r>
        <w:rPr>
          <w:rFonts w:cs="Calibri" w:hint="eastAsia"/>
        </w:rPr>
        <w:t>（七）经营性墓地、公益性墓地、陵园；</w:t>
      </w:r>
    </w:p>
    <w:p>
      <w:pPr>
        <w:pStyle w:val="Normal"/>
        <w:ind w:firstLineChars="200" w:startChars="0" w:start="0" w:endChars="0" w:end="0"/>
        <w:rPr>
          <w:rFonts w:hint="eastAsia"/>
        </w:rPr>
      </w:pPr>
      <w:r>
        <w:rPr>
          <w:rFonts w:cs="Calibri" w:hint="eastAsia"/>
        </w:rPr>
        <w:t>（八）监狱、看守所、拘留所、戒毒所等及其周边；</w:t>
      </w:r>
    </w:p>
    <w:p>
      <w:pPr>
        <w:pStyle w:val="Normal"/>
        <w:ind w:firstLineChars="200" w:startChars="0" w:start="0" w:endChars="0" w:end="0"/>
        <w:rPr>
          <w:rFonts w:hint="eastAsia"/>
        </w:rPr>
      </w:pPr>
      <w:r>
        <w:rPr>
          <w:rFonts w:cs="Calibri" w:hint="eastAsia"/>
        </w:rPr>
        <w:t>（九）风景名胜区、山林、公园、绿地、苗圃；</w:t>
      </w:r>
    </w:p>
    <w:p>
      <w:pPr>
        <w:pStyle w:val="Normal"/>
        <w:ind w:firstLineChars="200" w:startChars="0" w:start="0" w:endChars="0" w:end="0"/>
        <w:rPr>
          <w:rFonts w:hint="eastAsia"/>
        </w:rPr>
      </w:pPr>
      <w:r>
        <w:rPr>
          <w:rFonts w:cs="Calibri" w:hint="eastAsia"/>
        </w:rPr>
        <w:t>（十）商场、集贸市场、公共文化活动场所等人员密集地；</w:t>
      </w:r>
    </w:p>
    <w:p>
      <w:pPr>
        <w:pStyle w:val="Normal"/>
        <w:ind w:firstLineChars="200" w:startChars="0" w:start="0" w:endChars="0" w:end="0"/>
        <w:rPr>
          <w:rFonts w:hint="eastAsia"/>
        </w:rPr>
      </w:pPr>
      <w:r>
        <w:rPr>
          <w:rFonts w:cs="Calibri" w:hint="eastAsia"/>
        </w:rPr>
        <w:t>（十一）其他应当禁止燃放烟花爆竹的场所。</w:t>
      </w:r>
    </w:p>
    <w:p>
      <w:pPr>
        <w:pStyle w:val="Normal"/>
        <w:ind w:firstLineChars="200" w:startChars="0" w:start="0" w:endChars="0" w:end="0"/>
        <w:rPr>
          <w:rFonts w:hint="eastAsia"/>
        </w:rPr>
      </w:pPr>
      <w:r>
        <w:rPr>
          <w:rFonts w:cs="Calibri" w:hint="eastAsia"/>
        </w:rPr>
        <w:t>禁止燃放烟花爆竹的场所，其所有权人、使用权人或者管理单位应当设置禁止燃放烟花爆竹警示标识，并负责管理和维护。</w:t>
      </w:r>
    </w:p>
    <w:p>
      <w:pPr>
        <w:pStyle w:val="Normal"/>
        <w:ind w:firstLineChars="200" w:startChars="0" w:start="0" w:endChars="0" w:end="0"/>
        <w:rPr>
          <w:rFonts w:hint="eastAsia"/>
        </w:rPr>
      </w:pPr>
      <w:r>
        <w:rPr>
          <w:rFonts w:cs="Calibri" w:hint="eastAsia" w:eastAsia="黑体;SimHei"/>
        </w:rPr>
        <w:t>第九条</w:t>
      </w:r>
      <w:r>
        <w:rPr>
          <w:rFonts w:hint="eastAsia" w:eastAsia="黑体;SimHei"/>
        </w:rPr>
        <w:t xml:space="preserve">  </w:t>
      </w:r>
      <w:r>
        <w:rPr>
          <w:rFonts w:cs="Calibri" w:hint="eastAsia"/>
        </w:rPr>
        <w:t>禁止燃放烟花爆竹区域和场所，不得燃放烟花爆竹；限制燃放烟花爆竹区域，只能在规定的时间、规定的区域燃放规定等级的烟花爆竹。</w:t>
      </w:r>
    </w:p>
    <w:p>
      <w:pPr>
        <w:pStyle w:val="Normal"/>
        <w:ind w:firstLineChars="200" w:startChars="0" w:start="0" w:endChars="0" w:end="0"/>
        <w:rPr>
          <w:rFonts w:hint="eastAsia"/>
        </w:rPr>
      </w:pPr>
      <w:r>
        <w:rPr>
          <w:rFonts w:cs="Calibri" w:hint="eastAsia" w:eastAsia="黑体;SimHei"/>
        </w:rPr>
        <w:t>第十条</w:t>
      </w:r>
      <w:r>
        <w:rPr>
          <w:rFonts w:hint="eastAsia" w:eastAsia="黑体;SimHei"/>
        </w:rPr>
        <w:t xml:space="preserve">  </w:t>
      </w:r>
      <w:r>
        <w:rPr>
          <w:rFonts w:cs="Calibri" w:hint="eastAsia"/>
        </w:rPr>
        <w:t>在禁止燃放烟花爆竹区域，不得设置烟花爆竹销售网点，不得销售烟花爆竹。</w:t>
      </w:r>
    </w:p>
    <w:p>
      <w:pPr>
        <w:pStyle w:val="Normal"/>
        <w:ind w:firstLineChars="200" w:startChars="0" w:start="0" w:endChars="0" w:end="0"/>
        <w:rPr>
          <w:rFonts w:cs="宋体;SimSun" w:hint="eastAsia"/>
        </w:rPr>
      </w:pPr>
      <w:r>
        <w:rPr>
          <w:rFonts w:cs="Calibri" w:hint="eastAsia"/>
        </w:rPr>
        <w:t>限制燃放烟花爆竹区域只能设置烟花爆竹临时零售网点，安全生产监督管理部门应当按照合理布局、总量控制、逐步减少的原则进行审批。</w:t>
      </w:r>
    </w:p>
    <w:p>
      <w:pPr>
        <w:pStyle w:val="Normal"/>
        <w:ind w:firstLineChars="200" w:startChars="0" w:start="0" w:endChars="0" w:end="0"/>
        <w:rPr/>
      </w:pPr>
      <w:r>
        <w:rPr>
          <w:rFonts w:cs="宋体;SimSun" w:hint="eastAsia" w:eastAsia="黑体;SimHei"/>
        </w:rPr>
        <w:t xml:space="preserve">第十一条  </w:t>
      </w:r>
      <w:r>
        <w:rPr>
          <w:rFonts w:cs="Calibri" w:hint="eastAsia"/>
        </w:rPr>
        <w:t>烟花爆竹的批发企业、零售经营者应当如实记录烟花爆竹经营信息。</w:t>
      </w:r>
    </w:p>
    <w:p>
      <w:pPr>
        <w:pStyle w:val="Normal"/>
        <w:ind w:firstLineChars="200" w:startChars="0" w:start="0" w:endChars="0" w:end="0"/>
        <w:rPr/>
      </w:pPr>
      <w:r>
        <w:rPr>
          <w:rFonts w:cs="宋体;SimSun" w:hint="eastAsia" w:eastAsia="黑体;SimHei"/>
        </w:rPr>
        <w:t xml:space="preserve">第十二条  </w:t>
      </w:r>
      <w:r>
        <w:rPr>
          <w:rFonts w:cs="Calibri" w:hint="eastAsia"/>
        </w:rPr>
        <w:t>在允许燃放烟花爆竹时间、区域，燃放烟花爆竹应当遵守下列规定：</w:t>
      </w:r>
    </w:p>
    <w:p>
      <w:pPr>
        <w:pStyle w:val="Normal"/>
        <w:ind w:firstLineChars="200" w:startChars="0" w:start="0" w:endChars="0" w:end="0"/>
        <w:rPr>
          <w:rFonts w:hint="eastAsia"/>
        </w:rPr>
      </w:pPr>
      <w:r>
        <w:rPr>
          <w:rFonts w:cs="Calibri" w:hint="eastAsia"/>
        </w:rPr>
        <w:t>（一）不得在建筑物、构筑物内燃放或者从阳台、窗户向外抛掷燃放烟花爆竹；</w:t>
      </w:r>
    </w:p>
    <w:p>
      <w:pPr>
        <w:pStyle w:val="Normal"/>
        <w:ind w:firstLineChars="200" w:startChars="0" w:start="0" w:endChars="0" w:end="0"/>
        <w:rPr>
          <w:rFonts w:hint="eastAsia"/>
        </w:rPr>
      </w:pPr>
      <w:r>
        <w:rPr>
          <w:rFonts w:cs="Calibri" w:hint="eastAsia"/>
        </w:rPr>
        <w:t>（二）不得向烟花爆竹零售网点、行人、车辆、建筑物、构筑物、在建工地、树木、河道、公共绿地、窨井等投掷燃放烟花爆竹；</w:t>
      </w:r>
    </w:p>
    <w:p>
      <w:pPr>
        <w:pStyle w:val="Normal"/>
        <w:ind w:firstLineChars="200" w:startChars="0" w:start="0" w:endChars="0" w:end="0"/>
        <w:rPr>
          <w:rFonts w:hint="eastAsia"/>
        </w:rPr>
      </w:pPr>
      <w:r>
        <w:rPr>
          <w:rFonts w:cs="Calibri" w:hint="eastAsia"/>
        </w:rPr>
        <w:t>（三）不得影响道路交通安全；</w:t>
      </w:r>
    </w:p>
    <w:p>
      <w:pPr>
        <w:pStyle w:val="Normal"/>
        <w:ind w:firstLineChars="200" w:startChars="0" w:start="0" w:endChars="0" w:end="0"/>
        <w:rPr>
          <w:rFonts w:hint="eastAsia"/>
        </w:rPr>
      </w:pPr>
      <w:r>
        <w:rPr>
          <w:rFonts w:cs="Calibri" w:hint="eastAsia"/>
        </w:rPr>
        <w:t>（四）不得采用其他危害公共安全和公民人身、财产安全的方式燃放。</w:t>
      </w:r>
    </w:p>
    <w:p>
      <w:pPr>
        <w:pStyle w:val="Normal"/>
        <w:ind w:firstLineChars="200" w:startChars="0" w:start="0" w:endChars="0" w:end="0"/>
        <w:rPr>
          <w:bCs/>
        </w:rPr>
      </w:pPr>
      <w:r>
        <w:rPr>
          <w:rFonts w:cs="Calibri" w:hint="eastAsia" w:eastAsia="黑体;SimHei"/>
        </w:rPr>
        <w:t>第十三条</w:t>
      </w:r>
      <w:r>
        <w:rPr>
          <w:rFonts w:hint="eastAsia" w:eastAsia="黑体;SimHei"/>
        </w:rPr>
        <w:t xml:space="preserve">  </w:t>
      </w:r>
      <w:r>
        <w:rPr>
          <w:rFonts w:cs="Calibri" w:hint="eastAsia"/>
          <w:bCs/>
        </w:rPr>
        <w:t>鼓励单位和个人对</w:t>
      </w:r>
      <w:r>
        <w:rPr>
          <w:rFonts w:cs="Arial" w:hint="eastAsia"/>
        </w:rPr>
        <w:t>违反本规定的行</w:t>
      </w:r>
      <w:r>
        <w:rPr>
          <w:rFonts w:cs="宋体;SimSun" w:hint="eastAsia"/>
        </w:rPr>
        <w:t>为</w:t>
      </w:r>
      <w:r>
        <w:rPr>
          <w:rFonts w:cs="Calibri" w:hint="eastAsia"/>
          <w:bCs/>
        </w:rPr>
        <w:t>进行劝阻、举报。</w:t>
      </w:r>
    </w:p>
    <w:p>
      <w:pPr>
        <w:pStyle w:val="Normal"/>
        <w:ind w:firstLineChars="200" w:startChars="0" w:start="0" w:endChars="0" w:end="0"/>
        <w:rPr>
          <w:rFonts w:hint="eastAsia"/>
        </w:rPr>
      </w:pPr>
      <w:r>
        <w:rPr>
          <w:rFonts w:cs="Calibri" w:hint="eastAsia"/>
        </w:rPr>
        <w:t>公安机关、安全生产监督管理等部门应当建立燃放烟花爆竹安全管理举报反馈制度，对相关投诉举报，及时登记、查处，并在五个工作日内向投诉举报人反馈查处结果。对查证属实的，给予举报人奖励，奖励标准由市人民政府规定。</w:t>
      </w:r>
    </w:p>
    <w:p>
      <w:pPr>
        <w:pStyle w:val="Normal"/>
        <w:ind w:firstLineChars="200" w:startChars="0" w:start="0" w:endChars="0" w:end="0"/>
        <w:rPr>
          <w:rFonts w:hint="eastAsia"/>
        </w:rPr>
      </w:pPr>
      <w:r>
        <w:rPr>
          <w:rFonts w:cs="Calibri" w:hint="eastAsia" w:eastAsia="黑体;SimHei"/>
        </w:rPr>
        <w:t>第十四条</w:t>
      </w:r>
      <w:r>
        <w:rPr>
          <w:rFonts w:cs="Calibri" w:hint="eastAsia"/>
          <w:bCs/>
        </w:rPr>
        <w:t>　居（村）民委员会、业主委员会对属地管理或者服务区域违反规定燃放烟花爆竹行为不劝阻、不举报的，由其所在地的乡（镇）人民政府、街道办事处责令改正。</w:t>
      </w:r>
    </w:p>
    <w:p>
      <w:pPr>
        <w:pStyle w:val="Normal"/>
        <w:ind w:firstLineChars="200" w:startChars="0" w:start="0" w:endChars="0" w:end="0"/>
        <w:rPr>
          <w:rFonts w:hint="eastAsia"/>
          <w:bCs/>
        </w:rPr>
      </w:pPr>
      <w:r>
        <w:rPr>
          <w:rFonts w:cs="宋体;SimSun" w:hint="eastAsia" w:eastAsia="黑体;SimHei"/>
        </w:rPr>
        <w:t xml:space="preserve">第十五条  </w:t>
      </w:r>
      <w:r>
        <w:rPr>
          <w:rFonts w:cs="Calibri" w:hint="eastAsia"/>
          <w:bCs/>
        </w:rPr>
        <w:t>违反本规定第五条第三款规定，物业服务企业、宾馆、酒店等单位，对服务区域违反规定燃放烟花爆竹行为不劝阻、不举报的，由公安机关处以一千元以上二千元以下的罚款。</w:t>
      </w:r>
    </w:p>
    <w:p>
      <w:pPr>
        <w:pStyle w:val="Normal"/>
        <w:ind w:firstLineChars="200" w:startChars="0" w:start="0" w:endChars="0" w:end="0"/>
        <w:rPr>
          <w:rFonts w:cs="Calibri"/>
          <w:spacing w:val="-4"/>
        </w:rPr>
      </w:pPr>
      <w:r>
        <w:rPr>
          <w:rFonts w:cs="黑体;SimHei" w:hint="eastAsia" w:eastAsia="黑体;SimHei"/>
        </w:rPr>
        <w:t>第十六条</w:t>
      </w:r>
      <w:r>
        <w:rPr>
          <w:rFonts w:hint="eastAsia" w:eastAsia="黑体;SimHei"/>
        </w:rPr>
        <w:t xml:space="preserve">  </w:t>
      </w:r>
      <w:r>
        <w:rPr>
          <w:rFonts w:cs="Calibri" w:hint="eastAsia"/>
        </w:rPr>
        <w:t>违反</w:t>
      </w:r>
      <w:r>
        <w:rPr>
          <w:rFonts w:cs="Calibri" w:hint="eastAsia"/>
          <w:bCs/>
        </w:rPr>
        <w:t>本规定第七条第一款、第八条第一款、第十二条规定，在禁止燃放烟花爆竹区域、场所和时间燃放烟花爆竹，或者以危害公共安全和公民人身、财产安全的方式燃放烟花爆竹的，由公安机关责令停止燃放，处以五百元的罚款；构成违反治</w:t>
      </w:r>
      <w:r>
        <w:rPr>
          <w:rFonts w:cs="Calibri" w:hint="eastAsia"/>
          <w:spacing w:val="-4"/>
        </w:rPr>
        <w:t>安管理行为的，依法给予治安管理处罚；构成犯罪的，依法追究刑事责任；造成财产损失或者公民人身伤害的，依法承担民事责任。</w:t>
      </w:r>
    </w:p>
    <w:p>
      <w:pPr>
        <w:pStyle w:val="Normal"/>
        <w:ind w:firstLineChars="200" w:startChars="0" w:start="0" w:endChars="0" w:end="0"/>
        <w:rPr>
          <w:rFonts w:hint="eastAsia"/>
          <w:bCs/>
        </w:rPr>
      </w:pPr>
      <w:r>
        <w:rPr>
          <w:rFonts w:cs="宋体;SimSun" w:hint="eastAsia" w:eastAsia="黑体;SimHei"/>
        </w:rPr>
        <w:t xml:space="preserve">第十七条  </w:t>
      </w:r>
      <w:r>
        <w:rPr>
          <w:rFonts w:cs="Calibri" w:hint="eastAsia"/>
          <w:bCs/>
        </w:rPr>
        <w:t>违反本规定第十条第一款规定，在禁止燃放烟花爆竹区域、场所销售烟花爆竹的，由安全生产监督管理部门责令其停止违法行为，对批发企业处以二万元以上十万元以下的罚款，对零售经营者处以一千元以上五千元以下的罚款，并没收烟花爆竹及违法所得，情节严重的，依法吊销烟花爆竹经营许可证。</w:t>
      </w:r>
    </w:p>
    <w:p>
      <w:pPr>
        <w:pStyle w:val="Normal"/>
        <w:ind w:firstLineChars="200" w:startChars="0" w:start="0" w:endChars="0" w:end="0"/>
        <w:rPr>
          <w:rFonts w:hint="eastAsia"/>
          <w:bCs/>
        </w:rPr>
      </w:pPr>
      <w:r>
        <w:rPr>
          <w:rFonts w:cs="宋体;SimSun" w:hint="eastAsia" w:eastAsia="黑体;SimHei"/>
        </w:rPr>
        <w:t xml:space="preserve">第十八条  </w:t>
      </w:r>
      <w:r>
        <w:rPr>
          <w:rFonts w:cs="Calibri" w:hint="eastAsia"/>
        </w:rPr>
        <w:t>烟花爆竹安全管理有关部门及其工作人员违反本规定，有下列情形之一的，由有关部门或者监察部门依法给予行政处分；</w:t>
      </w:r>
      <w:r>
        <w:rPr>
          <w:rFonts w:cs="Calibri" w:hint="eastAsia"/>
          <w:bCs/>
        </w:rPr>
        <w:t>构成犯罪的，依法追究刑事责任：</w:t>
      </w:r>
    </w:p>
    <w:p>
      <w:pPr>
        <w:pStyle w:val="Normal"/>
        <w:ind w:firstLineChars="200" w:startChars="0" w:start="0" w:endChars="0" w:end="0"/>
        <w:rPr>
          <w:rFonts w:hint="eastAsia"/>
          <w:bCs/>
        </w:rPr>
      </w:pPr>
      <w:r>
        <w:rPr>
          <w:rFonts w:cs="Calibri" w:hint="eastAsia"/>
          <w:bCs/>
        </w:rPr>
        <w:t>（一）对相关投诉举报不及时登记、查处和反馈的；</w:t>
      </w:r>
    </w:p>
    <w:p>
      <w:pPr>
        <w:pStyle w:val="Normal"/>
        <w:ind w:firstLineChars="200" w:startChars="0" w:start="0" w:endChars="0" w:end="0"/>
        <w:rPr>
          <w:rFonts w:hint="eastAsia"/>
          <w:bCs/>
        </w:rPr>
      </w:pPr>
      <w:r>
        <w:rPr>
          <w:rFonts w:cs="Calibri" w:hint="eastAsia"/>
          <w:bCs/>
        </w:rPr>
        <w:t>（二）对违法生产、销售、运输、燃放烟花爆竹的行为不依法查处的；</w:t>
      </w:r>
    </w:p>
    <w:p>
      <w:pPr>
        <w:pStyle w:val="Normal"/>
        <w:ind w:firstLineChars="200" w:startChars="0" w:start="0" w:endChars="0" w:end="0"/>
        <w:rPr>
          <w:bCs/>
        </w:rPr>
      </w:pPr>
      <w:r>
        <w:rPr>
          <w:rFonts w:cs="Calibri" w:hint="eastAsia"/>
          <w:bCs/>
        </w:rPr>
        <w:t>（三）其他滥用职权、玩忽职守、徇私舞弊等情形。</w:t>
      </w:r>
    </w:p>
    <w:p>
      <w:pPr>
        <w:pStyle w:val="Normal"/>
        <w:ind w:firstLineChars="200" w:startChars="0" w:start="0" w:endChars="0" w:end="0"/>
        <w:rPr>
          <w:rFonts w:hint="eastAsia"/>
          <w:bCs/>
        </w:rPr>
      </w:pPr>
      <w:r>
        <w:rPr>
          <w:rFonts w:cs="宋体;SimSun" w:hint="eastAsia" w:eastAsia="黑体;SimHei"/>
        </w:rPr>
        <w:t xml:space="preserve">第十九条  </w:t>
      </w:r>
      <w:r>
        <w:rPr>
          <w:rFonts w:cs="Calibri" w:hint="eastAsia"/>
          <w:bCs/>
        </w:rPr>
        <w:t>违反本规定的行为，法律、法规已有处罚规定的，从其规定。</w:t>
      </w:r>
    </w:p>
    <w:p>
      <w:pPr>
        <w:pStyle w:val="Normal"/>
        <w:ind w:firstLineChars="200" w:startChars="0" w:start="0" w:endChars="0" w:end="0"/>
        <w:rPr>
          <w:rFonts w:hint="eastAsia"/>
          <w:bCs/>
        </w:rPr>
      </w:pPr>
      <w:r>
        <w:rPr>
          <w:rFonts w:cs="宋体;SimSun" w:hint="eastAsia" w:eastAsia="黑体;SimHei"/>
          <w:szCs w:val="22"/>
        </w:rPr>
        <w:t xml:space="preserve">第二十条  </w:t>
      </w:r>
      <w:r>
        <w:rPr>
          <w:rFonts w:hint="eastAsia"/>
          <w:szCs w:val="22"/>
        </w:rPr>
        <w:t>本规定自</w:t>
      </w:r>
      <w:r>
        <w:rPr>
          <w:rFonts w:hint="eastAsia"/>
          <w:szCs w:val="22"/>
        </w:rPr>
        <w:t>2018</w:t>
      </w:r>
      <w:r>
        <w:rPr>
          <w:rFonts w:hint="eastAsia"/>
          <w:szCs w:val="22"/>
        </w:rPr>
        <w:t>年</w:t>
      </w:r>
      <w:r>
        <w:rPr>
          <w:rFonts w:hint="eastAsia"/>
          <w:szCs w:val="22"/>
        </w:rPr>
        <w:t>1</w:t>
      </w:r>
      <w:r>
        <w:rPr>
          <w:rFonts w:hint="eastAsia"/>
          <w:szCs w:val="22"/>
        </w:rPr>
        <w:t>月</w:t>
      </w:r>
      <w:r>
        <w:rPr>
          <w:rFonts w:hint="eastAsia"/>
          <w:szCs w:val="22"/>
        </w:rPr>
        <w:t>1</w:t>
      </w:r>
      <w:r>
        <w:rPr>
          <w:rFonts w:hint="eastAsia"/>
          <w:szCs w:val="22"/>
        </w:rPr>
        <w:t>日起施行，《合肥市禁止燃放烟花爆竹的规定》同时废止。</w:t>
      </w:r>
    </w:p>
    <w:p>
      <w:pPr>
        <w:pStyle w:val="Normal"/>
        <w:rPr>
          <w:rFonts w:hint="eastAsia"/>
          <w:bCs/>
          <w:sz w:val="28"/>
          <w:szCs w:val="28"/>
        </w:rPr>
      </w:pPr>
      <w:r>
        <w:rPr>
          <w:rFonts w:hint="eastAsia"/>
          <w:bCs/>
          <w:sz w:val="28"/>
          <w:szCs w:val="28"/>
        </w:rPr>
      </w:r>
    </w:p>
    <w:sectPr>
      <w:footerReference w:type="default" r:id="rId4"/>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CharChar">
    <w:name w:val=" Char Char"/>
    <w:basedOn w:val="Style13"/>
    <w:qFormat/>
    <w:rPr>
      <w:rFonts w:eastAsia="仿宋_GB2312"/>
      <w:kern w:val="2"/>
      <w:sz w:val="32"/>
      <w:szCs w:val="24"/>
      <w:lang w:bidi="ar-SA"/>
    </w:rPr>
  </w:style>
  <w:style w:type="character" w:styleId="Strong">
    <w:name w:val="Strong"/>
    <w:qFormat/>
    <w:rPr>
      <w:rFonts w:ascii="Times New Roman" w:hAnsi="Times New Roman" w:cs="Times New Roman"/>
      <w:b/>
      <w:bCs w:val="false"/>
      <w:lang w:bidi="ar-SA"/>
    </w:rPr>
  </w:style>
  <w:style w:type="character" w:styleId="PageNumber">
    <w:name w:val="page number"/>
    <w:basedOn w:val="Style13"/>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6">
    <w:name w:val="批注框文本"/>
    <w:basedOn w:val="Normal"/>
    <w:qFormat/>
    <w:pPr/>
    <w:rPr>
      <w:sz w:val="18"/>
      <w:szCs w:val="18"/>
    </w:rPr>
  </w:style>
  <w:style w:type="paragraph" w:styleId="0">
    <w:name w:val="正文_0"/>
    <w:qFormat/>
    <w:pPr>
      <w:widowControl w:val="false"/>
      <w:bidi w:val="0"/>
      <w:jc w:val="both"/>
    </w:pPr>
    <w:rPr>
      <w:rFonts w:ascii="Calibri" w:hAnsi="Calibri" w:eastAsia="宋体;SimSun" w:cs="Calibri"/>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2017-10-09T15:25:00Z</dcterms:created>
  <dc:creator>梁艳</dc:creator>
  <dc:description/>
  <cp:keywords/>
  <dc:language>en-US</dc:language>
  <cp:lastModifiedBy>陈慧</cp:lastModifiedBy>
  <cp:lastPrinted>2017-09-27T19:05:00Z</cp:lastPrinted>
  <dcterms:modified xsi:type="dcterms:W3CDTF">2017-10-09T15:27:00Z</dcterms:modified>
  <cp:revision>4</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